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08079" w14:textId="0B6B19C6" w:rsidR="00255C6B" w:rsidRPr="00812777" w:rsidRDefault="00E525D8" w:rsidP="00255C6B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End w:id="0"/>
      <w:r>
        <w:rPr>
          <w:rFonts w:ascii="Verdana" w:hAnsi="Verdana"/>
          <w:color w:val="000000"/>
          <w:sz w:val="36"/>
          <w:szCs w:val="36"/>
        </w:rPr>
        <w:t xml:space="preserve">Compass - </w:t>
      </w:r>
      <w:r w:rsidR="00450A1F">
        <w:rPr>
          <w:rFonts w:ascii="Verdana" w:hAnsi="Verdana"/>
          <w:color w:val="000000"/>
          <w:sz w:val="36"/>
          <w:szCs w:val="36"/>
        </w:rPr>
        <w:t>H</w:t>
      </w:r>
      <w:r w:rsidR="00797A4B">
        <w:rPr>
          <w:rFonts w:ascii="Verdana" w:hAnsi="Verdana"/>
          <w:color w:val="000000"/>
          <w:sz w:val="36"/>
          <w:szCs w:val="36"/>
        </w:rPr>
        <w:t>ealth Reimbursement Account (H</w:t>
      </w:r>
      <w:r w:rsidR="00450A1F">
        <w:rPr>
          <w:rFonts w:ascii="Verdana" w:hAnsi="Verdana"/>
          <w:color w:val="000000"/>
          <w:sz w:val="36"/>
          <w:szCs w:val="36"/>
        </w:rPr>
        <w:t>RA</w:t>
      </w:r>
      <w:r w:rsidR="00797A4B">
        <w:rPr>
          <w:rFonts w:ascii="Verdana" w:hAnsi="Verdana"/>
          <w:color w:val="000000"/>
          <w:sz w:val="36"/>
          <w:szCs w:val="36"/>
        </w:rPr>
        <w:t>)</w:t>
      </w:r>
    </w:p>
    <w:p w14:paraId="2CF94B59" w14:textId="77777777" w:rsidR="00D66C21" w:rsidRDefault="00D66C21">
      <w:pPr>
        <w:pStyle w:val="TOC2"/>
        <w:rPr>
          <w:rStyle w:val="Hyperlink"/>
          <w:rFonts w:ascii="Verdana" w:hAnsi="Verdana"/>
        </w:rPr>
      </w:pPr>
    </w:p>
    <w:p w14:paraId="56E926B4" w14:textId="128254BB" w:rsidR="00F53717" w:rsidRDefault="00014A03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rPr>
          <w:rStyle w:val="Hyperlink"/>
          <w:rFonts w:ascii="Verdana" w:hAnsi="Verdana"/>
        </w:rPr>
        <w:fldChar w:fldCharType="begin"/>
      </w:r>
      <w:r>
        <w:rPr>
          <w:rStyle w:val="Hyperlink"/>
          <w:rFonts w:ascii="Verdana" w:hAnsi="Verdana"/>
        </w:rPr>
        <w:instrText xml:space="preserve"> TOC \o "2-3" \n \p " " \h \z \u </w:instrText>
      </w:r>
      <w:r>
        <w:rPr>
          <w:rStyle w:val="Hyperlink"/>
          <w:rFonts w:ascii="Verdana" w:hAnsi="Verdana"/>
        </w:rPr>
        <w:fldChar w:fldCharType="separate"/>
      </w:r>
      <w:hyperlink w:anchor="_Toc167259684" w:history="1">
        <w:r w:rsidR="00F53717" w:rsidRPr="005713C5">
          <w:rPr>
            <w:rStyle w:val="Hyperlink"/>
            <w:rFonts w:ascii="Verdana" w:hAnsi="Verdana"/>
            <w:noProof/>
          </w:rPr>
          <w:t>What is an HRA (Health Reimbursement Account)?</w:t>
        </w:r>
      </w:hyperlink>
    </w:p>
    <w:p w14:paraId="497EB250" w14:textId="6B2D2AC9" w:rsidR="00F53717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7259685" w:history="1">
        <w:r w:rsidR="00F53717" w:rsidRPr="005713C5">
          <w:rPr>
            <w:rStyle w:val="Hyperlink"/>
            <w:rFonts w:ascii="Verdana" w:hAnsi="Verdana"/>
            <w:noProof/>
          </w:rPr>
          <w:t>Determining Nature of HRA Call</w:t>
        </w:r>
      </w:hyperlink>
    </w:p>
    <w:p w14:paraId="1C8B889F" w14:textId="30CC87C1" w:rsidR="00F53717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7259686" w:history="1">
        <w:r w:rsidR="00F53717" w:rsidRPr="005713C5">
          <w:rPr>
            <w:rStyle w:val="Hyperlink"/>
            <w:rFonts w:ascii="Verdana" w:hAnsi="Verdana"/>
            <w:noProof/>
          </w:rPr>
          <w:t>HRA Account Balance</w:t>
        </w:r>
      </w:hyperlink>
    </w:p>
    <w:p w14:paraId="30050245" w14:textId="33B7EB04" w:rsidR="00F53717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7259687" w:history="1">
        <w:r w:rsidR="00F53717" w:rsidRPr="005713C5">
          <w:rPr>
            <w:rStyle w:val="Hyperlink"/>
            <w:rFonts w:ascii="Verdana" w:hAnsi="Verdana"/>
            <w:noProof/>
          </w:rPr>
          <w:t>HRA Copays</w:t>
        </w:r>
      </w:hyperlink>
    </w:p>
    <w:p w14:paraId="4B34E7FC" w14:textId="241C19A4" w:rsidR="00F53717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7259688" w:history="1">
        <w:r w:rsidR="00F53717" w:rsidRPr="005713C5">
          <w:rPr>
            <w:rStyle w:val="Hyperlink"/>
            <w:rFonts w:ascii="Verdana" w:hAnsi="Verdana"/>
            <w:noProof/>
          </w:rPr>
          <w:t>HRA Disputes</w:t>
        </w:r>
      </w:hyperlink>
    </w:p>
    <w:p w14:paraId="47B47CFF" w14:textId="409CABC4" w:rsidR="00F53717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7259689" w:history="1">
        <w:r w:rsidR="00F53717" w:rsidRPr="005713C5">
          <w:rPr>
            <w:rStyle w:val="Hyperlink"/>
            <w:rFonts w:ascii="Verdana" w:hAnsi="Verdana"/>
            <w:noProof/>
          </w:rPr>
          <w:t>Related Documents</w:t>
        </w:r>
      </w:hyperlink>
    </w:p>
    <w:p w14:paraId="51B8D54A" w14:textId="722C234B" w:rsidR="00014A03" w:rsidRDefault="00014A03" w:rsidP="00014A03">
      <w:pPr>
        <w:rPr>
          <w:rFonts w:ascii="Verdana" w:hAnsi="Verdana"/>
          <w:b/>
          <w:bCs/>
        </w:rPr>
      </w:pPr>
      <w:r>
        <w:rPr>
          <w:rStyle w:val="Hyperlink"/>
          <w:rFonts w:ascii="Verdana" w:hAnsi="Verdana"/>
        </w:rPr>
        <w:fldChar w:fldCharType="end"/>
      </w:r>
      <w:bookmarkStart w:id="1" w:name="_Overview"/>
      <w:bookmarkEnd w:id="1"/>
    </w:p>
    <w:p w14:paraId="3BF896DE" w14:textId="6A341818" w:rsidR="009D651C" w:rsidRDefault="00014A03" w:rsidP="00E942DC">
      <w:pPr>
        <w:spacing w:before="120" w:after="120"/>
        <w:rPr>
          <w:rFonts w:ascii="Verdana" w:hAnsi="Verdana"/>
        </w:rPr>
      </w:pPr>
      <w:r w:rsidRPr="00D076A9">
        <w:rPr>
          <w:rFonts w:ascii="Verdana" w:hAnsi="Verdana"/>
          <w:b/>
          <w:bCs/>
        </w:rPr>
        <w:t>Description:</w:t>
      </w:r>
      <w:r>
        <w:rPr>
          <w:rFonts w:ascii="Verdana" w:hAnsi="Verdana"/>
        </w:rPr>
        <w:t xml:space="preserve">  </w:t>
      </w:r>
      <w:bookmarkStart w:id="2" w:name="OLE_LINK82"/>
      <w:r w:rsidR="007D597F">
        <w:rPr>
          <w:rFonts w:ascii="Verdana" w:hAnsi="Verdana"/>
        </w:rPr>
        <w:t>Information about a</w:t>
      </w:r>
      <w:r w:rsidR="00207D3A">
        <w:rPr>
          <w:rFonts w:ascii="Verdana" w:hAnsi="Verdana"/>
        </w:rPr>
        <w:t>n</w:t>
      </w:r>
      <w:r w:rsidR="007D597F">
        <w:rPr>
          <w:rFonts w:ascii="Verdana" w:hAnsi="Verdana"/>
        </w:rPr>
        <w:t xml:space="preserve"> </w:t>
      </w:r>
      <w:r w:rsidR="009D651C">
        <w:rPr>
          <w:rFonts w:ascii="Verdana" w:hAnsi="Verdana"/>
        </w:rPr>
        <w:t>HRA</w:t>
      </w:r>
      <w:r w:rsidR="0056128E">
        <w:rPr>
          <w:rFonts w:ascii="Verdana" w:hAnsi="Verdana"/>
        </w:rPr>
        <w:t xml:space="preserve"> (Health Reimbursement Account)</w:t>
      </w:r>
      <w:r w:rsidR="009D651C">
        <w:rPr>
          <w:rFonts w:ascii="Verdana" w:hAnsi="Verdana"/>
        </w:rPr>
        <w:t xml:space="preserve"> </w:t>
      </w:r>
      <w:bookmarkEnd w:id="2"/>
      <w:r w:rsidR="007D597F">
        <w:rPr>
          <w:rFonts w:ascii="Verdana" w:hAnsi="Verdana"/>
        </w:rPr>
        <w:t>and how to view</w:t>
      </w:r>
      <w:r w:rsidR="000101B8">
        <w:rPr>
          <w:rFonts w:ascii="Verdana" w:hAnsi="Verdana"/>
        </w:rPr>
        <w:t xml:space="preserve"> in Compass</w:t>
      </w:r>
      <w:r w:rsidR="00E942DC">
        <w:rPr>
          <w:rFonts w:ascii="Verdana" w:hAnsi="Verdana"/>
        </w:rPr>
        <w:t>.</w:t>
      </w:r>
      <w:r w:rsidR="009D651C" w:rsidRPr="0035332D">
        <w:rPr>
          <w:rFonts w:ascii="Verdana" w:hAnsi="Verdana"/>
        </w:rPr>
        <w:t xml:space="preserve"> </w:t>
      </w:r>
    </w:p>
    <w:p w14:paraId="7D420CCA" w14:textId="77777777" w:rsidR="00D43EE1" w:rsidRDefault="00D43EE1" w:rsidP="00E942DC">
      <w:pPr>
        <w:spacing w:before="120" w:after="120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9D651C" w:rsidRPr="009E6DA7" w14:paraId="599F4053" w14:textId="77777777" w:rsidTr="00384861">
        <w:tc>
          <w:tcPr>
            <w:tcW w:w="5000" w:type="pct"/>
            <w:shd w:val="clear" w:color="auto" w:fill="C0C0C0"/>
          </w:tcPr>
          <w:p w14:paraId="4AC0984B" w14:textId="1A8873C9" w:rsidR="009D651C" w:rsidRPr="009E6DA7" w:rsidRDefault="00C404C7" w:rsidP="00D076A9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3" w:name="_Potential_HRA-related_Questions_"/>
            <w:bookmarkStart w:id="4" w:name="_Toc167259684"/>
            <w:bookmarkEnd w:id="3"/>
            <w:r>
              <w:rPr>
                <w:rFonts w:ascii="Verdana" w:hAnsi="Verdana"/>
                <w:i w:val="0"/>
                <w:iCs w:val="0"/>
              </w:rPr>
              <w:t>What is an HRA (Health Reimbursement Account)?</w:t>
            </w:r>
            <w:bookmarkEnd w:id="4"/>
          </w:p>
        </w:tc>
      </w:tr>
    </w:tbl>
    <w:p w14:paraId="4D738A24" w14:textId="77777777" w:rsidR="00420E55" w:rsidRDefault="00420E55" w:rsidP="00D076A9">
      <w:pPr>
        <w:pStyle w:val="BodyTextIndent2"/>
        <w:spacing w:before="120" w:line="240" w:lineRule="auto"/>
        <w:ind w:left="0"/>
        <w:rPr>
          <w:rFonts w:ascii="Verdana" w:hAnsi="Verdana"/>
        </w:rPr>
      </w:pPr>
      <w:r w:rsidRPr="00420E55">
        <w:rPr>
          <w:rFonts w:ascii="Verdana" w:hAnsi="Verdana"/>
        </w:rPr>
        <w:t>With a</w:t>
      </w:r>
      <w:r w:rsidR="00926AC1">
        <w:rPr>
          <w:rFonts w:ascii="Verdana" w:hAnsi="Verdana"/>
        </w:rPr>
        <w:t>n</w:t>
      </w:r>
      <w:r w:rsidRPr="00420E55">
        <w:rPr>
          <w:rFonts w:ascii="Verdana" w:hAnsi="Verdana"/>
        </w:rPr>
        <w:t xml:space="preserve"> HRA, the </w:t>
      </w:r>
      <w:r w:rsidR="00151A76">
        <w:rPr>
          <w:rFonts w:ascii="Verdana" w:hAnsi="Verdana"/>
        </w:rPr>
        <w:t>member</w:t>
      </w:r>
      <w:r w:rsidRPr="00420E55">
        <w:rPr>
          <w:rFonts w:ascii="Verdana" w:hAnsi="Verdana"/>
        </w:rPr>
        <w:t xml:space="preserve"> will have funds stored in an account (</w:t>
      </w:r>
      <w:r w:rsidR="00024F3D">
        <w:rPr>
          <w:rFonts w:ascii="Verdana" w:hAnsi="Verdana"/>
        </w:rPr>
        <w:t>sometimes</w:t>
      </w:r>
      <w:r w:rsidRPr="00420E55">
        <w:rPr>
          <w:rFonts w:ascii="Verdana" w:hAnsi="Verdana"/>
        </w:rPr>
        <w:t xml:space="preserve"> accessible with a debit card) that can be spent on eligible medical and/or prescription expenses.  </w:t>
      </w:r>
      <w:r>
        <w:rPr>
          <w:rFonts w:ascii="Verdana" w:hAnsi="Verdana"/>
        </w:rPr>
        <w:t xml:space="preserve">The funds are tax-exempt and provided by the employer.  </w:t>
      </w:r>
      <w:r w:rsidRPr="00420E55">
        <w:rPr>
          <w:rFonts w:ascii="Verdana" w:hAnsi="Verdana"/>
        </w:rPr>
        <w:t xml:space="preserve">Once the funds in the HRA have been exhausted, the </w:t>
      </w:r>
      <w:r w:rsidR="00151A76">
        <w:rPr>
          <w:rFonts w:ascii="Verdana" w:hAnsi="Verdana"/>
        </w:rPr>
        <w:t>member</w:t>
      </w:r>
      <w:r w:rsidRPr="00420E55">
        <w:rPr>
          <w:rFonts w:ascii="Verdana" w:hAnsi="Verdana"/>
        </w:rPr>
        <w:t xml:space="preserve"> will be responsible for paying subsequent out of pocket costs.</w:t>
      </w:r>
    </w:p>
    <w:p w14:paraId="6CBAC901" w14:textId="77777777" w:rsidR="00A76E6E" w:rsidRDefault="00A76E6E" w:rsidP="00D076A9">
      <w:pPr>
        <w:pStyle w:val="BodyTextIndent2"/>
        <w:spacing w:before="120" w:line="240" w:lineRule="auto"/>
        <w:ind w:left="0"/>
        <w:rPr>
          <w:rFonts w:ascii="Verdana" w:hAnsi="Verdana"/>
        </w:rPr>
      </w:pPr>
    </w:p>
    <w:p w14:paraId="07ED183C" w14:textId="43814444" w:rsidR="00A76E6E" w:rsidRPr="00151A76" w:rsidRDefault="00D66C21" w:rsidP="00A76E6E">
      <w:pPr>
        <w:spacing w:before="120" w:after="120"/>
        <w:rPr>
          <w:rFonts w:ascii="Verdana" w:hAnsi="Verdana"/>
          <w:color w:val="000000"/>
        </w:rPr>
      </w:pPr>
      <w:r>
        <w:pict w14:anchorId="05750F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8" o:spid="_x0000_i1025" type="#_x0000_t75" style="width:18.6pt;height:17pt;visibility:visible" o:bullet="t">
            <v:imagedata r:id="rId11" o:title=""/>
          </v:shape>
        </w:pict>
      </w:r>
      <w:r w:rsidR="008A1756">
        <w:t xml:space="preserve"> </w:t>
      </w:r>
      <w:r w:rsidR="00A76E6E" w:rsidRPr="00151A76">
        <w:rPr>
          <w:rFonts w:ascii="Verdana" w:hAnsi="Verdana"/>
          <w:color w:val="000000"/>
        </w:rPr>
        <w:t>HRA contributions are calculated based on a single claim transaction. The amount due is subject to change after processing</w:t>
      </w:r>
      <w:r w:rsidR="008A1756">
        <w:rPr>
          <w:rFonts w:ascii="Verdana" w:hAnsi="Verdana"/>
          <w:color w:val="000000"/>
        </w:rPr>
        <w:t>:</w:t>
      </w:r>
    </w:p>
    <w:p w14:paraId="2DC76E98" w14:textId="2947B9C0" w:rsidR="00A76E6E" w:rsidRPr="00151A76" w:rsidRDefault="00A76E6E" w:rsidP="00701C61">
      <w:pPr>
        <w:spacing w:before="120" w:after="120"/>
        <w:ind w:left="720"/>
        <w:rPr>
          <w:rFonts w:ascii="Verdana" w:hAnsi="Verdana"/>
          <w:color w:val="000000"/>
        </w:rPr>
      </w:pPr>
      <w:r w:rsidRPr="00151A76">
        <w:rPr>
          <w:rFonts w:ascii="Verdana" w:hAnsi="Verdana"/>
          <w:color w:val="000000"/>
        </w:rPr>
        <w:t>This indicates that the member’s available HRA funds will be calculated</w:t>
      </w:r>
      <w:r w:rsidR="00D43A60">
        <w:rPr>
          <w:rFonts w:ascii="Verdana" w:hAnsi="Verdana"/>
          <w:color w:val="000000"/>
        </w:rPr>
        <w:t xml:space="preserve"> by</w:t>
      </w:r>
      <w:r w:rsidRPr="00151A76">
        <w:rPr>
          <w:rFonts w:ascii="Verdana" w:hAnsi="Verdana"/>
          <w:color w:val="000000"/>
        </w:rPr>
        <w:t xml:space="preserve"> the cost </w:t>
      </w:r>
      <w:r w:rsidR="00D66C21">
        <w:rPr>
          <w:rFonts w:ascii="Verdana" w:hAnsi="Verdana"/>
          <w:color w:val="000000"/>
        </w:rPr>
        <w:t xml:space="preserve">that </w:t>
      </w:r>
      <w:r w:rsidRPr="00151A76">
        <w:rPr>
          <w:rFonts w:ascii="Verdana" w:hAnsi="Verdana"/>
          <w:color w:val="000000"/>
        </w:rPr>
        <w:t xml:space="preserve">is factored into each claim on an individual basis, not the </w:t>
      </w:r>
      <w:proofErr w:type="gramStart"/>
      <w:r w:rsidRPr="00151A76">
        <w:rPr>
          <w:rFonts w:ascii="Verdana" w:hAnsi="Verdana"/>
          <w:color w:val="000000"/>
        </w:rPr>
        <w:t>order as a whole, and</w:t>
      </w:r>
      <w:proofErr w:type="gramEnd"/>
      <w:r w:rsidRPr="00151A76">
        <w:rPr>
          <w:rFonts w:ascii="Verdana" w:hAnsi="Verdana"/>
          <w:color w:val="000000"/>
        </w:rPr>
        <w:t xml:space="preserve"> may change after processing is complete.</w:t>
      </w:r>
    </w:p>
    <w:p w14:paraId="648766AF" w14:textId="77777777" w:rsidR="00420E55" w:rsidRDefault="00420E55" w:rsidP="00D076A9">
      <w:pPr>
        <w:pStyle w:val="BodyTextIndent2"/>
        <w:spacing w:before="120" w:line="240" w:lineRule="auto"/>
        <w:ind w:left="0"/>
        <w:rPr>
          <w:rFonts w:ascii="Verdana" w:hAnsi="Verdana"/>
        </w:rPr>
      </w:pPr>
    </w:p>
    <w:p w14:paraId="397B3F16" w14:textId="7491C40F" w:rsidR="00420E55" w:rsidRDefault="00420E55" w:rsidP="00D076A9">
      <w:pPr>
        <w:pStyle w:val="BodyTextIndent2"/>
        <w:spacing w:before="120" w:line="240" w:lineRule="auto"/>
        <w:ind w:left="0"/>
        <w:rPr>
          <w:rFonts w:ascii="Verdana" w:hAnsi="Verdana"/>
        </w:rPr>
      </w:pPr>
      <w:r w:rsidRPr="00420E55">
        <w:rPr>
          <w:rFonts w:ascii="Verdana" w:hAnsi="Verdana"/>
        </w:rPr>
        <w:t xml:space="preserve">HRA’s are </w:t>
      </w:r>
      <w:r w:rsidR="0063354B" w:rsidRPr="00420E55">
        <w:rPr>
          <w:rFonts w:ascii="Verdana" w:hAnsi="Verdana"/>
        </w:rPr>
        <w:t>client specific</w:t>
      </w:r>
      <w:r w:rsidRPr="00420E55">
        <w:rPr>
          <w:rFonts w:ascii="Verdana" w:hAnsi="Verdana"/>
        </w:rPr>
        <w:t>.  It is the employer’s decision whether or not to offer a</w:t>
      </w:r>
      <w:r w:rsidR="00926AC1">
        <w:rPr>
          <w:rFonts w:ascii="Verdana" w:hAnsi="Verdana"/>
        </w:rPr>
        <w:t>n</w:t>
      </w:r>
      <w:r w:rsidRPr="00420E55">
        <w:rPr>
          <w:rFonts w:ascii="Verdana" w:hAnsi="Verdana"/>
        </w:rPr>
        <w:t xml:space="preserve"> HRA, </w:t>
      </w:r>
      <w:r w:rsidR="00EA6082">
        <w:rPr>
          <w:rFonts w:ascii="Verdana" w:hAnsi="Verdana"/>
        </w:rPr>
        <w:t xml:space="preserve">and </w:t>
      </w:r>
      <w:r w:rsidRPr="00420E55">
        <w:rPr>
          <w:rFonts w:ascii="Verdana" w:hAnsi="Verdana"/>
        </w:rPr>
        <w:t>how much to provide in each employee’s account</w:t>
      </w:r>
      <w:r w:rsidR="00EA6082">
        <w:rPr>
          <w:rFonts w:ascii="Verdana" w:hAnsi="Verdana"/>
        </w:rPr>
        <w:t xml:space="preserve">.  HRA’s can be </w:t>
      </w:r>
      <w:r w:rsidR="00EA6082" w:rsidRPr="00420E55">
        <w:rPr>
          <w:rFonts w:ascii="Verdana" w:hAnsi="Verdana"/>
        </w:rPr>
        <w:t>at the Individual or Family level</w:t>
      </w:r>
      <w:r w:rsidR="00EA6082">
        <w:rPr>
          <w:rFonts w:ascii="Verdana" w:hAnsi="Verdana"/>
        </w:rPr>
        <w:t xml:space="preserve">, and </w:t>
      </w:r>
      <w:r w:rsidR="00EA6082" w:rsidRPr="00420E55">
        <w:rPr>
          <w:rFonts w:ascii="Verdana" w:hAnsi="Verdana"/>
        </w:rPr>
        <w:t>may be shared between medical and prescription expenses, also known as an “integrated” HRA</w:t>
      </w:r>
      <w:r w:rsidR="00EA6082">
        <w:rPr>
          <w:rFonts w:ascii="Verdana" w:hAnsi="Verdana"/>
        </w:rPr>
        <w:t xml:space="preserve">.  </w:t>
      </w:r>
      <w:r w:rsidRPr="00420E55">
        <w:rPr>
          <w:rFonts w:ascii="Verdana" w:hAnsi="Verdana"/>
        </w:rPr>
        <w:t xml:space="preserve">HRA’s can be maintained by </w:t>
      </w:r>
      <w:r w:rsidR="005D4B93">
        <w:rPr>
          <w:rFonts w:ascii="Verdana" w:hAnsi="Verdana"/>
        </w:rPr>
        <w:t xml:space="preserve">the </w:t>
      </w:r>
      <w:r w:rsidR="005574FB">
        <w:rPr>
          <w:rFonts w:ascii="Verdana" w:hAnsi="Verdana"/>
        </w:rPr>
        <w:t>PBM</w:t>
      </w:r>
      <w:r w:rsidRPr="00420E55">
        <w:rPr>
          <w:rFonts w:ascii="Verdana" w:hAnsi="Verdana"/>
        </w:rPr>
        <w:t xml:space="preserve"> or by other companies, who would then send us files detailing the amounts contributed to and deducted from the account.</w:t>
      </w:r>
    </w:p>
    <w:p w14:paraId="482FFDF7" w14:textId="77777777" w:rsidR="00151A76" w:rsidRPr="00AA2512" w:rsidRDefault="00151A76" w:rsidP="00D076A9">
      <w:pPr>
        <w:pStyle w:val="BodyTextIndent2"/>
        <w:spacing w:before="120" w:line="240" w:lineRule="auto"/>
        <w:ind w:left="0"/>
        <w:rPr>
          <w:rFonts w:ascii="Verdana" w:hAnsi="Verdana"/>
          <w:color w:val="000000"/>
        </w:rPr>
      </w:pPr>
    </w:p>
    <w:p w14:paraId="742ED7CD" w14:textId="69EEEF7C" w:rsidR="00151A76" w:rsidRDefault="00151A76" w:rsidP="00D076A9">
      <w:pPr>
        <w:pStyle w:val="BodyTextIndent2"/>
        <w:spacing w:before="120" w:line="240" w:lineRule="auto"/>
        <w:ind w:left="0"/>
        <w:rPr>
          <w:rFonts w:ascii="Verdana" w:hAnsi="Verdana"/>
        </w:rPr>
      </w:pPr>
      <w:r w:rsidRPr="00AA2512">
        <w:rPr>
          <w:rFonts w:ascii="Verdana" w:hAnsi="Verdana"/>
          <w:color w:val="000000"/>
        </w:rPr>
        <w:t xml:space="preserve">Members with HRAs may also have </w:t>
      </w:r>
      <w:r w:rsidR="0053249F" w:rsidRPr="00AA2512">
        <w:rPr>
          <w:rFonts w:ascii="Verdana" w:hAnsi="Verdana"/>
          <w:color w:val="000000"/>
        </w:rPr>
        <w:t>High</w:t>
      </w:r>
      <w:r w:rsidR="001970B2" w:rsidRPr="001970B2">
        <w:rPr>
          <w:rFonts w:ascii="Verdana" w:hAnsi="Verdana"/>
        </w:rPr>
        <w:t xml:space="preserve"> Deductible Health Plans (HDHP)</w:t>
      </w:r>
      <w:r w:rsidRPr="00AA2512">
        <w:rPr>
          <w:rFonts w:ascii="Verdana" w:hAnsi="Verdana"/>
          <w:color w:val="000000"/>
        </w:rPr>
        <w:t xml:space="preserve">.  </w:t>
      </w:r>
      <w:r w:rsidR="009D651C">
        <w:rPr>
          <w:rFonts w:ascii="Verdana" w:hAnsi="Verdana"/>
          <w:color w:val="000000"/>
        </w:rPr>
        <w:t xml:space="preserve"> </w:t>
      </w:r>
    </w:p>
    <w:p w14:paraId="4419C2F7" w14:textId="77777777" w:rsidR="008C6FF4" w:rsidRDefault="008C6FF4" w:rsidP="00D076A9">
      <w:pPr>
        <w:pStyle w:val="BodyTextIndent2"/>
        <w:spacing w:before="120" w:line="240" w:lineRule="auto"/>
        <w:ind w:left="0"/>
        <w:rPr>
          <w:rFonts w:ascii="Verdana" w:hAnsi="Verdana"/>
        </w:rPr>
      </w:pPr>
    </w:p>
    <w:p w14:paraId="23E3132C" w14:textId="63982D47" w:rsidR="00540E5A" w:rsidRDefault="00620B0B" w:rsidP="00D076A9">
      <w:pPr>
        <w:pStyle w:val="BodyTextIndent2"/>
        <w:spacing w:before="120" w:line="240" w:lineRule="auto"/>
        <w:ind w:left="0"/>
        <w:rPr>
          <w:rFonts w:ascii="Verdana" w:hAnsi="Verdana"/>
        </w:rPr>
      </w:pPr>
      <w:r>
        <w:rPr>
          <w:noProof/>
        </w:rPr>
        <w:drawing>
          <wp:inline distT="0" distB="0" distL="0" distR="0" wp14:anchorId="0748C50F" wp14:editId="392B7376">
            <wp:extent cx="238095" cy="209524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78DDC97">
        <w:rPr>
          <w:rFonts w:ascii="Verdana" w:hAnsi="Verdana"/>
        </w:rPr>
        <w:t xml:space="preserve"> </w:t>
      </w:r>
      <w:r w:rsidR="00540E5A" w:rsidRPr="00321754">
        <w:rPr>
          <w:rFonts w:ascii="Verdana" w:hAnsi="Verdana"/>
        </w:rPr>
        <w:t>HRA funds</w:t>
      </w:r>
      <w:r w:rsidR="00902ABF" w:rsidRPr="178DDC97">
        <w:rPr>
          <w:rFonts w:ascii="Verdana" w:hAnsi="Verdana"/>
        </w:rPr>
        <w:t xml:space="preserve"> (debit card or account)</w:t>
      </w:r>
      <w:r w:rsidR="00540E5A" w:rsidRPr="00321754">
        <w:rPr>
          <w:rFonts w:ascii="Verdana" w:hAnsi="Verdana"/>
        </w:rPr>
        <w:t xml:space="preserve"> are </w:t>
      </w:r>
      <w:r w:rsidR="00C2745E" w:rsidRPr="178DDC97">
        <w:rPr>
          <w:rFonts w:ascii="Verdana" w:hAnsi="Verdana"/>
        </w:rPr>
        <w:t xml:space="preserve">debited </w:t>
      </w:r>
      <w:r w:rsidR="00540E5A" w:rsidRPr="00321754">
        <w:rPr>
          <w:rFonts w:ascii="Verdana" w:hAnsi="Verdana"/>
        </w:rPr>
        <w:t>automatically</w:t>
      </w:r>
      <w:r w:rsidR="00C2745E" w:rsidRPr="178DDC97">
        <w:rPr>
          <w:rFonts w:ascii="Verdana" w:hAnsi="Verdana"/>
        </w:rPr>
        <w:t xml:space="preserve"> for </w:t>
      </w:r>
      <w:r w:rsidR="008B75DE" w:rsidRPr="178DDC97">
        <w:rPr>
          <w:rFonts w:ascii="Verdana" w:hAnsi="Verdana"/>
        </w:rPr>
        <w:t xml:space="preserve">the cost of the </w:t>
      </w:r>
      <w:r w:rsidR="00C2745E" w:rsidRPr="178DDC97">
        <w:rPr>
          <w:rFonts w:ascii="Verdana" w:hAnsi="Verdana"/>
        </w:rPr>
        <w:t>prescription</w:t>
      </w:r>
      <w:r w:rsidR="001D531A" w:rsidRPr="178DDC97">
        <w:rPr>
          <w:rFonts w:ascii="Verdana" w:hAnsi="Verdana"/>
        </w:rPr>
        <w:t>.  T</w:t>
      </w:r>
      <w:r w:rsidR="00540E5A" w:rsidRPr="00321754">
        <w:rPr>
          <w:rFonts w:ascii="Verdana" w:hAnsi="Verdana"/>
        </w:rPr>
        <w:t xml:space="preserve">he only way to not use these funds is to </w:t>
      </w:r>
      <w:r w:rsidR="00540E5A" w:rsidRPr="00321754">
        <w:rPr>
          <w:rFonts w:ascii="Verdana" w:hAnsi="Verdana"/>
          <w:b/>
          <w:bCs/>
        </w:rPr>
        <w:t>not</w:t>
      </w:r>
      <w:r w:rsidR="00540E5A" w:rsidRPr="00321754">
        <w:rPr>
          <w:rFonts w:ascii="Verdana" w:hAnsi="Verdana"/>
        </w:rPr>
        <w:t xml:space="preserve"> have the claim processed through the insurance. </w:t>
      </w:r>
    </w:p>
    <w:p w14:paraId="76EAE042" w14:textId="77777777" w:rsidR="00B579BC" w:rsidRDefault="00B579BC">
      <w:pPr>
        <w:pStyle w:val="BodyTextIndent2"/>
        <w:spacing w:before="120" w:line="240" w:lineRule="auto"/>
        <w:ind w:left="0"/>
        <w:rPr>
          <w:rFonts w:ascii="Verdana" w:hAnsi="Verdana"/>
        </w:rPr>
      </w:pPr>
    </w:p>
    <w:p w14:paraId="275A1BC6" w14:textId="1B5185B5" w:rsidR="00072C14" w:rsidRDefault="008C6FF4" w:rsidP="00D076A9">
      <w:pPr>
        <w:pStyle w:val="BodyTextIndent2"/>
        <w:spacing w:before="120" w:line="240" w:lineRule="auto"/>
        <w:ind w:left="0"/>
        <w:rPr>
          <w:rFonts w:ascii="Verdana" w:hAnsi="Verdana"/>
        </w:rPr>
      </w:pPr>
      <w:r w:rsidRPr="04B11698">
        <w:rPr>
          <w:rFonts w:ascii="Verdana" w:hAnsi="Verdana"/>
        </w:rPr>
        <w:t>HRAs</w:t>
      </w:r>
      <w:r w:rsidR="009A1AFD" w:rsidRPr="04B11698">
        <w:rPr>
          <w:rFonts w:ascii="Verdana" w:hAnsi="Verdana"/>
        </w:rPr>
        <w:t xml:space="preserve"> (Health Reimbursement Accounts)</w:t>
      </w:r>
      <w:r w:rsidRPr="04B11698">
        <w:rPr>
          <w:rFonts w:ascii="Verdana" w:hAnsi="Verdana"/>
        </w:rPr>
        <w:t xml:space="preserve"> may have a debit card associated with their </w:t>
      </w:r>
      <w:r w:rsidR="0007620A" w:rsidRPr="04B11698">
        <w:rPr>
          <w:rFonts w:ascii="Verdana" w:hAnsi="Verdana"/>
        </w:rPr>
        <w:t>account or the</w:t>
      </w:r>
      <w:r w:rsidR="009A1AFD" w:rsidRPr="04B11698">
        <w:rPr>
          <w:rFonts w:ascii="Verdana" w:hAnsi="Verdana"/>
        </w:rPr>
        <w:t xml:space="preserve"> account may</w:t>
      </w:r>
      <w:r w:rsidR="407017D3" w:rsidRPr="04B11698">
        <w:rPr>
          <w:rFonts w:ascii="Verdana" w:hAnsi="Verdana"/>
        </w:rPr>
        <w:t xml:space="preserve"> </w:t>
      </w:r>
      <w:r w:rsidR="009A1AFD" w:rsidRPr="04B11698">
        <w:rPr>
          <w:rFonts w:ascii="Verdana" w:hAnsi="Verdana"/>
        </w:rPr>
        <w:t>be directly debited</w:t>
      </w:r>
      <w:r w:rsidRPr="04B11698">
        <w:rPr>
          <w:rFonts w:ascii="Verdana" w:hAnsi="Verdana"/>
        </w:rPr>
        <w:t xml:space="preserve">. </w:t>
      </w:r>
      <w:r w:rsidR="00072C14" w:rsidRPr="04B11698">
        <w:rPr>
          <w:rFonts w:ascii="Verdana" w:hAnsi="Verdana"/>
        </w:rPr>
        <w:t xml:space="preserve"> The HRA (debit card or account) will pay for their medications until </w:t>
      </w:r>
      <w:r w:rsidR="00604F5D" w:rsidRPr="04B11698">
        <w:rPr>
          <w:rFonts w:ascii="Verdana" w:hAnsi="Verdana"/>
        </w:rPr>
        <w:t>the funds have been depleted</w:t>
      </w:r>
      <w:r w:rsidR="00072C14" w:rsidRPr="04B11698">
        <w:rPr>
          <w:rFonts w:ascii="Verdana" w:hAnsi="Verdana"/>
        </w:rPr>
        <w:t>.</w:t>
      </w:r>
    </w:p>
    <w:p w14:paraId="28A39FB0" w14:textId="77777777" w:rsidR="002562F4" w:rsidRDefault="002562F4" w:rsidP="00D076A9">
      <w:pPr>
        <w:pStyle w:val="BodyTextIndent2"/>
        <w:spacing w:before="120" w:line="240" w:lineRule="auto"/>
        <w:ind w:left="0"/>
        <w:rPr>
          <w:rFonts w:ascii="Verdana" w:hAnsi="Verdana"/>
        </w:rPr>
      </w:pPr>
    </w:p>
    <w:p w14:paraId="1F1F3B17" w14:textId="1996B76E" w:rsidR="00420E55" w:rsidRDefault="0063354B" w:rsidP="00D076A9">
      <w:pPr>
        <w:pStyle w:val="BodyTextIndent2"/>
        <w:spacing w:before="12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>The</w:t>
      </w:r>
      <w:r w:rsidR="008C6FF4" w:rsidRPr="008C6FF4">
        <w:rPr>
          <w:rFonts w:ascii="Verdana" w:hAnsi="Verdana"/>
        </w:rPr>
        <w:t xml:space="preserve"> HRA is visible to </w:t>
      </w:r>
      <w:r w:rsidR="007925C9">
        <w:rPr>
          <w:rFonts w:ascii="Verdana" w:hAnsi="Verdana"/>
        </w:rPr>
        <w:t>C</w:t>
      </w:r>
      <w:r w:rsidR="008C6FF4" w:rsidRPr="008C6FF4">
        <w:rPr>
          <w:rFonts w:ascii="Verdana" w:hAnsi="Verdana"/>
        </w:rPr>
        <w:t xml:space="preserve">ustomer </w:t>
      </w:r>
      <w:r w:rsidR="007925C9">
        <w:rPr>
          <w:rFonts w:ascii="Verdana" w:hAnsi="Verdana"/>
        </w:rPr>
        <w:t>C</w:t>
      </w:r>
      <w:r w:rsidR="008C6FF4" w:rsidRPr="008C6FF4">
        <w:rPr>
          <w:rFonts w:ascii="Verdana" w:hAnsi="Verdana"/>
        </w:rPr>
        <w:t xml:space="preserve">are on the </w:t>
      </w:r>
      <w:r w:rsidR="0065531E" w:rsidRPr="008A508F">
        <w:rPr>
          <w:rFonts w:ascii="Verdana" w:hAnsi="Verdana"/>
          <w:b/>
          <w:bCs/>
        </w:rPr>
        <w:t>Accumulations</w:t>
      </w:r>
      <w:r w:rsidR="0065531E">
        <w:rPr>
          <w:rFonts w:ascii="Verdana" w:hAnsi="Verdana"/>
        </w:rPr>
        <w:t xml:space="preserve"> </w:t>
      </w:r>
      <w:r w:rsidR="008C6FF4" w:rsidRPr="008C6FF4">
        <w:rPr>
          <w:rFonts w:ascii="Verdana" w:hAnsi="Verdana"/>
        </w:rPr>
        <w:t xml:space="preserve">screen, </w:t>
      </w:r>
      <w:r w:rsidR="0065531E" w:rsidRPr="008A508F">
        <w:rPr>
          <w:rFonts w:ascii="Verdana" w:hAnsi="Verdana"/>
          <w:b/>
          <w:bCs/>
        </w:rPr>
        <w:t>Financial Details</w:t>
      </w:r>
      <w:r w:rsidR="0065531E">
        <w:rPr>
          <w:rFonts w:ascii="Verdana" w:hAnsi="Verdana"/>
        </w:rPr>
        <w:t xml:space="preserve"> </w:t>
      </w:r>
      <w:r w:rsidR="0076313C">
        <w:rPr>
          <w:rFonts w:ascii="Verdana" w:hAnsi="Verdana"/>
          <w:bCs/>
        </w:rPr>
        <w:t xml:space="preserve">screen for a paid claim or the </w:t>
      </w:r>
      <w:r w:rsidR="0050405A" w:rsidRPr="008A508F">
        <w:rPr>
          <w:rFonts w:ascii="Verdana" w:hAnsi="Verdana"/>
          <w:b/>
        </w:rPr>
        <w:t>Mail Mbr.Pay</w:t>
      </w:r>
      <w:r w:rsidR="00A17983" w:rsidRPr="008A508F">
        <w:rPr>
          <w:rFonts w:ascii="Verdana" w:hAnsi="Verdana"/>
          <w:b/>
        </w:rPr>
        <w:t>/Retail Mbr.Pay</w:t>
      </w:r>
      <w:r w:rsidR="00A17983">
        <w:rPr>
          <w:rFonts w:ascii="Verdana" w:hAnsi="Verdana"/>
          <w:bCs/>
        </w:rPr>
        <w:t xml:space="preserve"> hyperlink </w:t>
      </w:r>
      <w:r w:rsidR="0076313C">
        <w:rPr>
          <w:rFonts w:ascii="Verdana" w:hAnsi="Verdana"/>
        </w:rPr>
        <w:t>for a test claim</w:t>
      </w:r>
      <w:r w:rsidR="008A508F">
        <w:rPr>
          <w:rFonts w:ascii="Verdana" w:hAnsi="Verdana"/>
        </w:rPr>
        <w:t>.</w:t>
      </w:r>
      <w:r w:rsidR="0076313C" w:rsidRPr="008C6FF4" w:rsidDel="00072C14">
        <w:rPr>
          <w:rFonts w:ascii="Verdana" w:hAnsi="Verdana"/>
        </w:rPr>
        <w:t xml:space="preserve"> </w:t>
      </w:r>
    </w:p>
    <w:p w14:paraId="3F089E9C" w14:textId="77777777" w:rsidR="008F1213" w:rsidRDefault="008F1213" w:rsidP="00D076A9">
      <w:pPr>
        <w:pStyle w:val="BodyTextIndent2"/>
        <w:spacing w:before="120" w:line="240" w:lineRule="auto"/>
        <w:ind w:left="0"/>
        <w:rPr>
          <w:rFonts w:ascii="Verdana" w:hAnsi="Verdana"/>
        </w:rPr>
      </w:pPr>
    </w:p>
    <w:p w14:paraId="61BE2459" w14:textId="4607A411" w:rsidR="008F1213" w:rsidRDefault="008F1213" w:rsidP="00D076A9">
      <w:pPr>
        <w:pStyle w:val="BodyTextIndent2"/>
        <w:spacing w:before="120" w:line="240" w:lineRule="auto"/>
        <w:ind w:left="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4DCCA5E7" wp14:editId="2A1F335C">
            <wp:extent cx="238095" cy="209524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t xml:space="preserve"> These types of calls should not be transferred to the Senior Team unless the member specifically request to escalate the issue.</w:t>
      </w:r>
    </w:p>
    <w:p w14:paraId="7B0662A2" w14:textId="77777777" w:rsidR="008A508F" w:rsidRDefault="008A508F" w:rsidP="00B1205D">
      <w:pPr>
        <w:jc w:val="right"/>
        <w:rPr>
          <w:rFonts w:ascii="Verdana" w:hAnsi="Verdana"/>
        </w:rPr>
      </w:pPr>
      <w:bookmarkStart w:id="5" w:name="_Rationale"/>
      <w:bookmarkEnd w:id="5"/>
    </w:p>
    <w:p w14:paraId="0C2AA8C4" w14:textId="77777777" w:rsidR="00B1205D" w:rsidRDefault="00000000" w:rsidP="00B1205D">
      <w:pPr>
        <w:jc w:val="right"/>
        <w:rPr>
          <w:rFonts w:ascii="Verdana" w:hAnsi="Verdana"/>
        </w:rPr>
      </w:pPr>
      <w:hyperlink w:anchor="_top" w:history="1">
        <w:r w:rsidR="00B1205D" w:rsidRPr="00B1205D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9D651C" w:rsidRPr="009E6DA7" w14:paraId="1C39B008" w14:textId="77777777" w:rsidTr="001A194F">
        <w:tc>
          <w:tcPr>
            <w:tcW w:w="5000" w:type="pct"/>
            <w:shd w:val="clear" w:color="auto" w:fill="C0C0C0"/>
          </w:tcPr>
          <w:p w14:paraId="5B991EA6" w14:textId="77777777" w:rsidR="009D651C" w:rsidRPr="009E6DA7" w:rsidRDefault="009D651C" w:rsidP="00D076A9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6" w:name="_Toc525571366"/>
            <w:bookmarkStart w:id="7" w:name="_Toc167259685"/>
            <w:r>
              <w:rPr>
                <w:rFonts w:ascii="Verdana" w:hAnsi="Verdana"/>
                <w:i w:val="0"/>
                <w:iCs w:val="0"/>
              </w:rPr>
              <w:t>Determining Nature of HRA Call</w:t>
            </w:r>
            <w:bookmarkEnd w:id="6"/>
            <w:bookmarkEnd w:id="7"/>
          </w:p>
        </w:tc>
      </w:tr>
    </w:tbl>
    <w:p w14:paraId="6C22E1B2" w14:textId="77777777" w:rsidR="00862DCC" w:rsidRDefault="00862DCC" w:rsidP="00D076A9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Perform the following steps: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40"/>
        <w:gridCol w:w="6977"/>
        <w:gridCol w:w="5133"/>
      </w:tblGrid>
      <w:tr w:rsidR="00862DCC" w:rsidRPr="009E6DA7" w14:paraId="67242A00" w14:textId="77777777" w:rsidTr="008D697C">
        <w:tc>
          <w:tcPr>
            <w:tcW w:w="0" w:type="auto"/>
            <w:shd w:val="clear" w:color="auto" w:fill="E6E6E6"/>
          </w:tcPr>
          <w:p w14:paraId="11394BC0" w14:textId="77777777" w:rsidR="00862DCC" w:rsidRPr="009E6DA7" w:rsidRDefault="00862DCC" w:rsidP="00D076A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9E6DA7">
              <w:rPr>
                <w:rFonts w:ascii="Verdana" w:hAnsi="Verdana"/>
                <w:b/>
              </w:rPr>
              <w:t>Step</w:t>
            </w:r>
          </w:p>
        </w:tc>
        <w:tc>
          <w:tcPr>
            <w:tcW w:w="0" w:type="auto"/>
            <w:gridSpan w:val="2"/>
            <w:shd w:val="clear" w:color="auto" w:fill="E6E6E6"/>
          </w:tcPr>
          <w:p w14:paraId="5E1BAF62" w14:textId="77777777" w:rsidR="00862DCC" w:rsidRPr="009E6DA7" w:rsidRDefault="00862DCC" w:rsidP="00D076A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9E6DA7">
              <w:rPr>
                <w:rFonts w:ascii="Verdana" w:hAnsi="Verdana"/>
                <w:b/>
              </w:rPr>
              <w:t>Action</w:t>
            </w:r>
          </w:p>
        </w:tc>
      </w:tr>
      <w:tr w:rsidR="00862DCC" w:rsidRPr="009E6DA7" w14:paraId="6A9F037B" w14:textId="77777777" w:rsidTr="008D697C">
        <w:tc>
          <w:tcPr>
            <w:tcW w:w="0" w:type="auto"/>
            <w:vMerge w:val="restart"/>
          </w:tcPr>
          <w:p w14:paraId="716C3550" w14:textId="77777777" w:rsidR="00862DCC" w:rsidRPr="009E6DA7" w:rsidRDefault="007925C9" w:rsidP="00D076A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</w:tcPr>
          <w:p w14:paraId="2231C6A9" w14:textId="0CED556A" w:rsidR="001A194F" w:rsidRPr="009E6DA7" w:rsidRDefault="00862DCC" w:rsidP="00D076A9">
            <w:pPr>
              <w:spacing w:before="120" w:after="120"/>
              <w:rPr>
                <w:rFonts w:ascii="Verdana" w:hAnsi="Verdana"/>
              </w:rPr>
            </w:pPr>
            <w:r w:rsidRPr="009E6DA7">
              <w:rPr>
                <w:rFonts w:ascii="Verdana" w:hAnsi="Verdana"/>
              </w:rPr>
              <w:t xml:space="preserve">Determine the reason </w:t>
            </w:r>
            <w:r w:rsidR="00014A03">
              <w:rPr>
                <w:rFonts w:ascii="Verdana" w:hAnsi="Verdana"/>
              </w:rPr>
              <w:t>for the call</w:t>
            </w:r>
            <w:r w:rsidRPr="009E6DA7">
              <w:rPr>
                <w:rFonts w:ascii="Verdana" w:hAnsi="Verdana"/>
              </w:rPr>
              <w:t>:</w:t>
            </w:r>
          </w:p>
        </w:tc>
      </w:tr>
      <w:tr w:rsidR="00862DCC" w:rsidRPr="009E6DA7" w14:paraId="2083FECA" w14:textId="77777777" w:rsidTr="007925C9">
        <w:tc>
          <w:tcPr>
            <w:tcW w:w="0" w:type="auto"/>
            <w:vMerge/>
          </w:tcPr>
          <w:p w14:paraId="71556776" w14:textId="77777777" w:rsidR="00862DCC" w:rsidRPr="009E6DA7" w:rsidRDefault="00862DCC" w:rsidP="00D076A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694" w:type="pct"/>
            <w:shd w:val="clear" w:color="auto" w:fill="E6E6E6"/>
          </w:tcPr>
          <w:p w14:paraId="746F1BA4" w14:textId="77777777" w:rsidR="00862DCC" w:rsidRPr="009E6DA7" w:rsidRDefault="00862DCC" w:rsidP="00D076A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9E6DA7">
              <w:rPr>
                <w:rFonts w:ascii="Verdana" w:hAnsi="Verdana"/>
                <w:b/>
              </w:rPr>
              <w:t xml:space="preserve">If the </w:t>
            </w:r>
            <w:r w:rsidR="00151A76">
              <w:rPr>
                <w:rFonts w:ascii="Verdana" w:hAnsi="Verdana"/>
                <w:b/>
              </w:rPr>
              <w:t>member</w:t>
            </w:r>
            <w:r w:rsidRPr="009E6DA7">
              <w:rPr>
                <w:rFonts w:ascii="Verdana" w:hAnsi="Verdana"/>
                <w:b/>
              </w:rPr>
              <w:t xml:space="preserve"> is asking…</w:t>
            </w:r>
          </w:p>
        </w:tc>
        <w:tc>
          <w:tcPr>
            <w:tcW w:w="1982" w:type="pct"/>
            <w:shd w:val="clear" w:color="auto" w:fill="E6E6E6"/>
          </w:tcPr>
          <w:p w14:paraId="6584537E" w14:textId="77777777" w:rsidR="00862DCC" w:rsidRPr="009E6DA7" w:rsidRDefault="00862DCC" w:rsidP="00D076A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9E6DA7">
              <w:rPr>
                <w:rFonts w:ascii="Verdana" w:hAnsi="Verdana"/>
                <w:b/>
              </w:rPr>
              <w:t>Then…</w:t>
            </w:r>
          </w:p>
        </w:tc>
      </w:tr>
      <w:tr w:rsidR="008D697C" w:rsidRPr="009E6DA7" w14:paraId="35B22BD6" w14:textId="77777777" w:rsidTr="007925C9">
        <w:trPr>
          <w:trHeight w:val="1524"/>
        </w:trPr>
        <w:tc>
          <w:tcPr>
            <w:tcW w:w="0" w:type="auto"/>
            <w:vMerge/>
          </w:tcPr>
          <w:p w14:paraId="02D24216" w14:textId="77777777" w:rsidR="008D697C" w:rsidRPr="009E6DA7" w:rsidRDefault="008D697C" w:rsidP="00D076A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694" w:type="pct"/>
          </w:tcPr>
          <w:p w14:paraId="573DEA08" w14:textId="77777777" w:rsidR="008D697C" w:rsidRPr="009E6DA7" w:rsidRDefault="008D697C" w:rsidP="00D076A9">
            <w:pPr>
              <w:numPr>
                <w:ilvl w:val="0"/>
                <w:numId w:val="9"/>
              </w:numPr>
              <w:spacing w:before="120" w:after="120"/>
              <w:rPr>
                <w:rFonts w:ascii="Verdana" w:hAnsi="Verdana"/>
              </w:rPr>
            </w:pPr>
            <w:r w:rsidRPr="009E6DA7">
              <w:rPr>
                <w:rFonts w:ascii="Verdana" w:hAnsi="Verdana"/>
              </w:rPr>
              <w:t>How much do I have in my HRA account?</w:t>
            </w:r>
          </w:p>
          <w:p w14:paraId="7D481CE8" w14:textId="77777777" w:rsidR="008D697C" w:rsidRPr="009E6DA7" w:rsidRDefault="008D697C" w:rsidP="00D076A9">
            <w:pPr>
              <w:numPr>
                <w:ilvl w:val="0"/>
                <w:numId w:val="9"/>
              </w:numPr>
              <w:spacing w:before="120" w:after="120"/>
              <w:rPr>
                <w:rFonts w:ascii="Verdana" w:hAnsi="Verdana"/>
              </w:rPr>
            </w:pPr>
            <w:r w:rsidRPr="009E6DA7">
              <w:rPr>
                <w:rFonts w:ascii="Verdana" w:hAnsi="Verdana"/>
              </w:rPr>
              <w:t>What is my current balance?</w:t>
            </w:r>
          </w:p>
          <w:p w14:paraId="5289E59E" w14:textId="77777777" w:rsidR="008D697C" w:rsidRPr="009E6DA7" w:rsidRDefault="008D697C" w:rsidP="00D076A9">
            <w:pPr>
              <w:numPr>
                <w:ilvl w:val="0"/>
                <w:numId w:val="9"/>
              </w:numPr>
              <w:spacing w:before="120" w:after="120"/>
              <w:rPr>
                <w:rFonts w:ascii="Verdana" w:hAnsi="Verdana"/>
              </w:rPr>
            </w:pPr>
            <w:r w:rsidRPr="009E6DA7">
              <w:rPr>
                <w:rFonts w:ascii="Verdana" w:hAnsi="Verdana"/>
              </w:rPr>
              <w:t>Why is that my current balance?</w:t>
            </w:r>
          </w:p>
          <w:p w14:paraId="0F3AC9A0" w14:textId="77777777" w:rsidR="008D697C" w:rsidRPr="009E6DA7" w:rsidRDefault="008D697C" w:rsidP="00D076A9">
            <w:pPr>
              <w:numPr>
                <w:ilvl w:val="0"/>
                <w:numId w:val="9"/>
              </w:numPr>
              <w:spacing w:before="120" w:after="120"/>
              <w:rPr>
                <w:rFonts w:ascii="Verdana" w:hAnsi="Verdana"/>
              </w:rPr>
            </w:pPr>
            <w:r w:rsidRPr="009E6DA7">
              <w:rPr>
                <w:rFonts w:ascii="Verdana" w:hAnsi="Verdana"/>
              </w:rPr>
              <w:t>Which claims have been applied to my HRA?</w:t>
            </w:r>
          </w:p>
        </w:tc>
        <w:tc>
          <w:tcPr>
            <w:tcW w:w="1982" w:type="pct"/>
          </w:tcPr>
          <w:p w14:paraId="5D55AFD4" w14:textId="34C201C6" w:rsidR="008D697C" w:rsidRDefault="008D697C" w:rsidP="00D076A9">
            <w:pPr>
              <w:spacing w:before="120" w:after="120"/>
              <w:rPr>
                <w:rFonts w:ascii="Verdana" w:hAnsi="Verdana"/>
              </w:rPr>
            </w:pPr>
            <w:r w:rsidRPr="009E6DA7">
              <w:rPr>
                <w:rFonts w:ascii="Verdana" w:hAnsi="Verdana"/>
              </w:rPr>
              <w:t xml:space="preserve">Refer to </w:t>
            </w:r>
            <w:hyperlink w:anchor="_Account_Balance" w:history="1">
              <w:r w:rsidRPr="009E6DA7">
                <w:rPr>
                  <w:rStyle w:val="Hyperlink"/>
                  <w:rFonts w:ascii="Verdana" w:hAnsi="Verdana"/>
                </w:rPr>
                <w:t>HRA Account Balance</w:t>
              </w:r>
            </w:hyperlink>
            <w:r w:rsidRPr="009E6DA7">
              <w:rPr>
                <w:rFonts w:ascii="Verdana" w:hAnsi="Verdana"/>
              </w:rPr>
              <w:t>.</w:t>
            </w:r>
          </w:p>
          <w:p w14:paraId="3B473467" w14:textId="77777777" w:rsidR="008D697C" w:rsidRPr="009E6DA7" w:rsidRDefault="008D697C" w:rsidP="00D076A9">
            <w:pPr>
              <w:spacing w:before="120" w:after="120"/>
              <w:rPr>
                <w:rFonts w:ascii="Verdana" w:hAnsi="Verdana"/>
              </w:rPr>
            </w:pPr>
          </w:p>
        </w:tc>
      </w:tr>
      <w:tr w:rsidR="00862DCC" w:rsidRPr="009E6DA7" w14:paraId="5E5B6C48" w14:textId="77777777" w:rsidTr="007925C9">
        <w:tc>
          <w:tcPr>
            <w:tcW w:w="0" w:type="auto"/>
            <w:vMerge/>
          </w:tcPr>
          <w:p w14:paraId="0F48711C" w14:textId="77777777" w:rsidR="00862DCC" w:rsidRPr="009E6DA7" w:rsidRDefault="00862DCC" w:rsidP="00D076A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694" w:type="pct"/>
          </w:tcPr>
          <w:p w14:paraId="6927F3C5" w14:textId="77777777" w:rsidR="00862DCC" w:rsidRPr="009E6DA7" w:rsidRDefault="00862DCC" w:rsidP="00D076A9">
            <w:pPr>
              <w:numPr>
                <w:ilvl w:val="0"/>
                <w:numId w:val="13"/>
              </w:numPr>
              <w:spacing w:before="120" w:after="120"/>
              <w:rPr>
                <w:rFonts w:ascii="Verdana" w:hAnsi="Verdana"/>
              </w:rPr>
            </w:pPr>
            <w:r w:rsidRPr="009E6DA7">
              <w:rPr>
                <w:rFonts w:ascii="Verdana" w:hAnsi="Verdana"/>
              </w:rPr>
              <w:t>Why did I pay a copay for this prescription?</w:t>
            </w:r>
          </w:p>
          <w:p w14:paraId="2250D392" w14:textId="07F26887" w:rsidR="008D697C" w:rsidRPr="009E6DA7" w:rsidRDefault="00862DCC" w:rsidP="00D076A9">
            <w:pPr>
              <w:numPr>
                <w:ilvl w:val="0"/>
                <w:numId w:val="13"/>
              </w:numPr>
              <w:spacing w:before="120" w:after="120"/>
              <w:rPr>
                <w:rFonts w:ascii="Verdana" w:hAnsi="Verdana"/>
              </w:rPr>
            </w:pPr>
            <w:r w:rsidRPr="009E6DA7">
              <w:rPr>
                <w:rFonts w:ascii="Verdana" w:hAnsi="Verdana"/>
              </w:rPr>
              <w:t>Why wasn’t my HRA used to pay for this prescription?</w:t>
            </w:r>
          </w:p>
        </w:tc>
        <w:tc>
          <w:tcPr>
            <w:tcW w:w="1982" w:type="pct"/>
            <w:tcBorders>
              <w:bottom w:val="single" w:sz="4" w:space="0" w:color="auto"/>
            </w:tcBorders>
          </w:tcPr>
          <w:p w14:paraId="11D15BE3" w14:textId="11CAC7A6" w:rsidR="008D697C" w:rsidRDefault="008D697C" w:rsidP="00D076A9">
            <w:pPr>
              <w:spacing w:before="120" w:after="120"/>
              <w:rPr>
                <w:rFonts w:ascii="Verdana" w:hAnsi="Verdana"/>
              </w:rPr>
            </w:pPr>
            <w:r w:rsidRPr="009E6DA7">
              <w:rPr>
                <w:rFonts w:ascii="Verdana" w:hAnsi="Verdana"/>
              </w:rPr>
              <w:t xml:space="preserve">Refer to </w:t>
            </w:r>
            <w:hyperlink w:anchor="_Copay" w:history="1">
              <w:r w:rsidRPr="009E6DA7">
                <w:rPr>
                  <w:rStyle w:val="Hyperlink"/>
                  <w:rFonts w:ascii="Verdana" w:hAnsi="Verdana"/>
                </w:rPr>
                <w:t>HRA Copays</w:t>
              </w:r>
            </w:hyperlink>
            <w:r w:rsidRPr="009E6DA7">
              <w:rPr>
                <w:rFonts w:ascii="Verdana" w:hAnsi="Verdana"/>
              </w:rPr>
              <w:t>.</w:t>
            </w:r>
          </w:p>
          <w:p w14:paraId="27BED0C2" w14:textId="77777777" w:rsidR="00862DCC" w:rsidRPr="009E6DA7" w:rsidRDefault="00862DCC" w:rsidP="00D076A9">
            <w:pPr>
              <w:spacing w:before="120" w:after="120"/>
              <w:rPr>
                <w:rFonts w:ascii="Verdana" w:hAnsi="Verdana"/>
              </w:rPr>
            </w:pPr>
          </w:p>
        </w:tc>
      </w:tr>
      <w:tr w:rsidR="00862DCC" w:rsidRPr="009E6DA7" w14:paraId="603203E7" w14:textId="77777777" w:rsidTr="007925C9">
        <w:tc>
          <w:tcPr>
            <w:tcW w:w="0" w:type="auto"/>
            <w:vMerge/>
          </w:tcPr>
          <w:p w14:paraId="7455DCC5" w14:textId="77777777" w:rsidR="00862DCC" w:rsidRPr="009E6DA7" w:rsidRDefault="00862DCC" w:rsidP="00D076A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694" w:type="pct"/>
          </w:tcPr>
          <w:p w14:paraId="280DE5DE" w14:textId="65FC99A4" w:rsidR="001A194F" w:rsidRPr="009E6DA7" w:rsidRDefault="00862DCC" w:rsidP="00D076A9">
            <w:pPr>
              <w:spacing w:before="120" w:after="120"/>
              <w:rPr>
                <w:rFonts w:ascii="Verdana" w:hAnsi="Verdana"/>
              </w:rPr>
            </w:pPr>
            <w:r w:rsidRPr="009E6DA7">
              <w:rPr>
                <w:rFonts w:ascii="Verdana" w:hAnsi="Verdana"/>
              </w:rPr>
              <w:t xml:space="preserve">That </w:t>
            </w:r>
            <w:r w:rsidR="0063354B" w:rsidRPr="009E6DA7">
              <w:rPr>
                <w:rFonts w:ascii="Verdana" w:hAnsi="Verdana"/>
              </w:rPr>
              <w:t>cannot</w:t>
            </w:r>
            <w:r w:rsidRPr="009E6DA7">
              <w:rPr>
                <w:rFonts w:ascii="Verdana" w:hAnsi="Verdana"/>
              </w:rPr>
              <w:t xml:space="preserve"> be right.  I should still have money left in my HRA.</w:t>
            </w:r>
          </w:p>
        </w:tc>
        <w:tc>
          <w:tcPr>
            <w:tcW w:w="1982" w:type="pct"/>
          </w:tcPr>
          <w:p w14:paraId="38383ABC" w14:textId="77777777" w:rsidR="00862DCC" w:rsidRPr="009E6DA7" w:rsidRDefault="00862DCC" w:rsidP="00D076A9">
            <w:pPr>
              <w:spacing w:before="120" w:after="120"/>
              <w:rPr>
                <w:rFonts w:ascii="Verdana" w:hAnsi="Verdana"/>
              </w:rPr>
            </w:pPr>
            <w:r w:rsidRPr="009E6DA7">
              <w:rPr>
                <w:rFonts w:ascii="Verdana" w:hAnsi="Verdana"/>
              </w:rPr>
              <w:t xml:space="preserve">Refer to </w:t>
            </w:r>
            <w:hyperlink w:anchor="_RxClaim_Disputes" w:history="1">
              <w:r w:rsidRPr="009E6DA7">
                <w:rPr>
                  <w:rStyle w:val="Hyperlink"/>
                  <w:rFonts w:ascii="Verdana" w:hAnsi="Verdana"/>
                </w:rPr>
                <w:t>HRA Disputes</w:t>
              </w:r>
            </w:hyperlink>
            <w:r w:rsidRPr="009E6DA7">
              <w:rPr>
                <w:rFonts w:ascii="Verdana" w:hAnsi="Verdana"/>
              </w:rPr>
              <w:t>.</w:t>
            </w:r>
          </w:p>
        </w:tc>
      </w:tr>
    </w:tbl>
    <w:p w14:paraId="79CCAB4D" w14:textId="77777777" w:rsidR="00862DCC" w:rsidRDefault="00862DCC" w:rsidP="00862DCC">
      <w:pPr>
        <w:rPr>
          <w:rFonts w:ascii="Verdana" w:hAnsi="Verdana"/>
        </w:rPr>
      </w:pPr>
      <w:r>
        <w:rPr>
          <w:rFonts w:ascii="Verdana" w:hAnsi="Verdana"/>
        </w:rPr>
        <w:t xml:space="preserve">  </w:t>
      </w:r>
    </w:p>
    <w:p w14:paraId="3BD4A8E0" w14:textId="77777777" w:rsidR="00B1205D" w:rsidRDefault="00000000" w:rsidP="00B1205D">
      <w:pPr>
        <w:jc w:val="right"/>
        <w:rPr>
          <w:rFonts w:ascii="Verdana" w:hAnsi="Verdana"/>
        </w:rPr>
      </w:pPr>
      <w:hyperlink w:anchor="_top" w:history="1">
        <w:r w:rsidR="00B1205D" w:rsidRPr="00B1205D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6342AC" w:rsidRPr="009E6DA7" w14:paraId="312FD284" w14:textId="77777777" w:rsidTr="001A194F">
        <w:tc>
          <w:tcPr>
            <w:tcW w:w="5000" w:type="pct"/>
            <w:shd w:val="clear" w:color="auto" w:fill="C0C0C0"/>
          </w:tcPr>
          <w:p w14:paraId="685F759C" w14:textId="2B59E00E" w:rsidR="006342AC" w:rsidRPr="009E6DA7" w:rsidRDefault="009A3DC7" w:rsidP="00D076A9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8" w:name="_Process_for_Handling"/>
            <w:bookmarkStart w:id="9" w:name="_Process"/>
            <w:bookmarkStart w:id="10" w:name="_Potential_HRA-Related_Questions"/>
            <w:bookmarkStart w:id="11" w:name="_Account_Balance"/>
            <w:bookmarkStart w:id="12" w:name="_RxClaim_Account_Balance"/>
            <w:bookmarkStart w:id="13" w:name="_Account_Balance_-"/>
            <w:bookmarkStart w:id="14" w:name="_HRA_Account_Balance"/>
            <w:bookmarkStart w:id="15" w:name="_Toc167259686"/>
            <w:bookmarkStart w:id="16" w:name="_Toc52557136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r w:rsidRPr="009E6DA7">
              <w:rPr>
                <w:rFonts w:ascii="Verdana" w:hAnsi="Verdana"/>
                <w:i w:val="0"/>
                <w:iCs w:val="0"/>
              </w:rPr>
              <w:t xml:space="preserve">HRA </w:t>
            </w:r>
            <w:r w:rsidR="006342AC" w:rsidRPr="009E6DA7">
              <w:rPr>
                <w:rFonts w:ascii="Verdana" w:hAnsi="Verdana"/>
                <w:i w:val="0"/>
                <w:iCs w:val="0"/>
              </w:rPr>
              <w:t>Account Balance</w:t>
            </w:r>
            <w:bookmarkEnd w:id="15"/>
            <w:r w:rsidR="00A779FA" w:rsidRPr="009E6DA7">
              <w:rPr>
                <w:rFonts w:ascii="Verdana" w:hAnsi="Verdana"/>
                <w:i w:val="0"/>
                <w:iCs w:val="0"/>
              </w:rPr>
              <w:t xml:space="preserve"> </w:t>
            </w:r>
            <w:bookmarkEnd w:id="16"/>
          </w:p>
        </w:tc>
      </w:tr>
    </w:tbl>
    <w:p w14:paraId="65EC7A29" w14:textId="1B03F541" w:rsidR="0022608A" w:rsidRPr="00176400" w:rsidRDefault="00806CC6" w:rsidP="00D076A9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 xml:space="preserve">Perform the </w:t>
      </w:r>
      <w:r w:rsidR="009A3DC7">
        <w:rPr>
          <w:rFonts w:ascii="Verdana" w:hAnsi="Verdana"/>
        </w:rPr>
        <w:t xml:space="preserve">following </w:t>
      </w:r>
      <w:r>
        <w:rPr>
          <w:rFonts w:ascii="Verdana" w:hAnsi="Verdana"/>
        </w:rPr>
        <w:t xml:space="preserve">steps </w:t>
      </w:r>
      <w:r w:rsidR="0060568A">
        <w:rPr>
          <w:rFonts w:ascii="Verdana" w:hAnsi="Verdana"/>
        </w:rPr>
        <w:t>to research</w:t>
      </w:r>
      <w:r w:rsidR="0022608A">
        <w:rPr>
          <w:rFonts w:ascii="Verdana" w:hAnsi="Verdana"/>
        </w:rPr>
        <w:t xml:space="preserve"> the </w:t>
      </w:r>
      <w:r w:rsidR="009A3DC7">
        <w:rPr>
          <w:rFonts w:ascii="Verdana" w:hAnsi="Verdana"/>
        </w:rPr>
        <w:t xml:space="preserve">HRA balance for a </w:t>
      </w:r>
      <w:r w:rsidR="00151A76">
        <w:rPr>
          <w:rFonts w:ascii="Verdana" w:hAnsi="Verdana"/>
        </w:rPr>
        <w:t>member</w:t>
      </w:r>
      <w:r>
        <w:rPr>
          <w:rFonts w:ascii="Verdana" w:hAnsi="Verdana"/>
        </w:rPr>
        <w:t xml:space="preserve">: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729"/>
        <w:gridCol w:w="12221"/>
      </w:tblGrid>
      <w:tr w:rsidR="00CB6046" w:rsidRPr="009E6DA7" w14:paraId="7CECFD8E" w14:textId="77777777" w:rsidTr="00DE1055">
        <w:tc>
          <w:tcPr>
            <w:tcW w:w="348" w:type="pct"/>
            <w:shd w:val="clear" w:color="auto" w:fill="E6E6E6"/>
          </w:tcPr>
          <w:p w14:paraId="3C176B69" w14:textId="77777777" w:rsidR="006342AC" w:rsidRPr="009E6DA7" w:rsidRDefault="006342AC" w:rsidP="00D076A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9E6DA7">
              <w:rPr>
                <w:rFonts w:ascii="Verdana" w:hAnsi="Verdana"/>
                <w:b/>
              </w:rPr>
              <w:t>Step</w:t>
            </w:r>
          </w:p>
        </w:tc>
        <w:tc>
          <w:tcPr>
            <w:tcW w:w="4652" w:type="pct"/>
            <w:shd w:val="clear" w:color="auto" w:fill="E6E6E6"/>
          </w:tcPr>
          <w:p w14:paraId="69805FED" w14:textId="77777777" w:rsidR="006342AC" w:rsidRPr="009E6DA7" w:rsidRDefault="006342AC" w:rsidP="00D076A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9E6DA7">
              <w:rPr>
                <w:rFonts w:ascii="Verdana" w:hAnsi="Verdana"/>
                <w:b/>
              </w:rPr>
              <w:t xml:space="preserve">Action </w:t>
            </w:r>
          </w:p>
        </w:tc>
      </w:tr>
      <w:tr w:rsidR="00CB6046" w:rsidRPr="009E6DA7" w14:paraId="7657C83C" w14:textId="77777777" w:rsidTr="00DE1055">
        <w:tc>
          <w:tcPr>
            <w:tcW w:w="348" w:type="pct"/>
          </w:tcPr>
          <w:p w14:paraId="702E4D98" w14:textId="60DEF002" w:rsidR="00325B5D" w:rsidRPr="009E6DA7" w:rsidRDefault="000507D3" w:rsidP="00D076A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4652" w:type="pct"/>
          </w:tcPr>
          <w:p w14:paraId="5B446E19" w14:textId="77777777" w:rsidR="00325B5D" w:rsidRDefault="00325B5D" w:rsidP="00D076A9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From the </w:t>
            </w:r>
            <w:r w:rsidRPr="008A508F">
              <w:rPr>
                <w:rFonts w:ascii="Verdana" w:hAnsi="Verdana"/>
                <w:b/>
                <w:bCs/>
                <w:color w:val="000000"/>
              </w:rPr>
              <w:t>Member Snapshot Landing Page</w:t>
            </w:r>
            <w:r w:rsidRPr="009E6DA7">
              <w:rPr>
                <w:rFonts w:ascii="Verdana" w:hAnsi="Verdana"/>
                <w:color w:val="000000"/>
              </w:rPr>
              <w:t xml:space="preserve">, click the </w:t>
            </w:r>
            <w:r w:rsidRPr="008A508F">
              <w:rPr>
                <w:rFonts w:ascii="Verdana" w:hAnsi="Verdana"/>
                <w:b/>
                <w:bCs/>
                <w:color w:val="000000"/>
              </w:rPr>
              <w:t xml:space="preserve">Accumulations </w:t>
            </w:r>
            <w:r>
              <w:rPr>
                <w:rFonts w:ascii="Verdana" w:hAnsi="Verdana"/>
                <w:color w:val="000000"/>
              </w:rPr>
              <w:t xml:space="preserve">hyperlink in the </w:t>
            </w:r>
            <w:r w:rsidRPr="008A508F">
              <w:rPr>
                <w:rFonts w:ascii="Verdana" w:hAnsi="Verdana"/>
                <w:b/>
                <w:bCs/>
                <w:color w:val="000000"/>
              </w:rPr>
              <w:t>Quick Actions</w:t>
            </w:r>
            <w:r>
              <w:rPr>
                <w:rFonts w:ascii="Verdana" w:hAnsi="Verdana"/>
                <w:color w:val="000000"/>
              </w:rPr>
              <w:t xml:space="preserve"> panel</w:t>
            </w:r>
            <w:r w:rsidR="00617B0E">
              <w:rPr>
                <w:rFonts w:ascii="Verdana" w:hAnsi="Verdana"/>
                <w:color w:val="000000"/>
              </w:rPr>
              <w:t>.</w:t>
            </w:r>
          </w:p>
          <w:p w14:paraId="3B63A466" w14:textId="774CBD2E" w:rsidR="00617B0E" w:rsidRDefault="00617B0E" w:rsidP="00D076A9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8D2341">
              <w:rPr>
                <w:rFonts w:ascii="Verdana" w:hAnsi="Verdana"/>
                <w:b/>
                <w:bCs/>
                <w:color w:val="000000"/>
              </w:rPr>
              <w:t>Result:</w:t>
            </w:r>
            <w:r>
              <w:rPr>
                <w:rFonts w:ascii="Verdana" w:hAnsi="Verdana"/>
                <w:color w:val="000000"/>
              </w:rPr>
              <w:t xml:space="preserve"> The </w:t>
            </w:r>
            <w:r w:rsidRPr="006208C3">
              <w:rPr>
                <w:rFonts w:ascii="Verdana" w:hAnsi="Verdana"/>
                <w:color w:val="000000"/>
              </w:rPr>
              <w:t>Accumulations</w:t>
            </w:r>
            <w:r w:rsidRPr="008D2341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screen displays</w:t>
            </w:r>
          </w:p>
        </w:tc>
      </w:tr>
      <w:tr w:rsidR="00CB6046" w:rsidRPr="009E6DA7" w14:paraId="64E5FA46" w14:textId="77777777" w:rsidTr="00DE1055">
        <w:tc>
          <w:tcPr>
            <w:tcW w:w="348" w:type="pct"/>
          </w:tcPr>
          <w:p w14:paraId="2AC83775" w14:textId="01E48593" w:rsidR="006342AC" w:rsidRPr="009E6DA7" w:rsidRDefault="000507D3" w:rsidP="00D076A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4652" w:type="pct"/>
          </w:tcPr>
          <w:p w14:paraId="6639E197" w14:textId="7E410C9B" w:rsidR="00806CC6" w:rsidRPr="009E6DA7" w:rsidRDefault="00806CC6" w:rsidP="00D076A9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9E6DA7">
              <w:rPr>
                <w:rFonts w:ascii="Verdana" w:hAnsi="Verdana"/>
                <w:color w:val="000000"/>
              </w:rPr>
              <w:t xml:space="preserve">This screen </w:t>
            </w:r>
            <w:r w:rsidR="007925C9">
              <w:rPr>
                <w:rFonts w:ascii="Verdana" w:hAnsi="Verdana"/>
                <w:color w:val="000000"/>
              </w:rPr>
              <w:t>displays</w:t>
            </w:r>
            <w:r w:rsidRPr="009E6DA7">
              <w:rPr>
                <w:rFonts w:ascii="Verdana" w:hAnsi="Verdana"/>
                <w:color w:val="000000"/>
              </w:rPr>
              <w:t xml:space="preserve"> all </w:t>
            </w:r>
            <w:r w:rsidR="00F8377F" w:rsidRPr="009E6DA7">
              <w:rPr>
                <w:rFonts w:ascii="Verdana" w:hAnsi="Verdana"/>
                <w:color w:val="000000"/>
              </w:rPr>
              <w:t xml:space="preserve">HRA </w:t>
            </w:r>
            <w:r w:rsidRPr="009E6DA7">
              <w:rPr>
                <w:rFonts w:ascii="Verdana" w:hAnsi="Verdana"/>
                <w:color w:val="000000"/>
              </w:rPr>
              <w:t>account</w:t>
            </w:r>
            <w:r w:rsidR="00F8377F" w:rsidRPr="009E6DA7">
              <w:rPr>
                <w:rFonts w:ascii="Verdana" w:hAnsi="Verdana"/>
                <w:color w:val="000000"/>
              </w:rPr>
              <w:t>s</w:t>
            </w:r>
            <w:r w:rsidRPr="009E6DA7">
              <w:rPr>
                <w:rFonts w:ascii="Verdana" w:hAnsi="Verdana"/>
                <w:color w:val="000000"/>
              </w:rPr>
              <w:t xml:space="preserve"> managed by </w:t>
            </w:r>
            <w:r w:rsidR="005D4B93">
              <w:rPr>
                <w:rFonts w:ascii="Verdana" w:hAnsi="Verdana"/>
                <w:color w:val="000000"/>
              </w:rPr>
              <w:t>the PBM</w:t>
            </w:r>
            <w:r w:rsidRPr="009E6DA7">
              <w:rPr>
                <w:rFonts w:ascii="Verdana" w:hAnsi="Verdana"/>
                <w:color w:val="000000"/>
              </w:rPr>
              <w:t>.</w:t>
            </w:r>
          </w:p>
          <w:p w14:paraId="55904974" w14:textId="77777777" w:rsidR="00F86646" w:rsidRPr="009E6DA7" w:rsidRDefault="00F86646" w:rsidP="00D076A9">
            <w:pPr>
              <w:numPr>
                <w:ilvl w:val="0"/>
                <w:numId w:val="7"/>
              </w:numPr>
              <w:tabs>
                <w:tab w:val="clear" w:pos="720"/>
              </w:tabs>
              <w:spacing w:before="120" w:after="120"/>
              <w:ind w:left="376"/>
              <w:rPr>
                <w:rFonts w:ascii="Verdana" w:hAnsi="Verdana"/>
              </w:rPr>
            </w:pPr>
            <w:r w:rsidRPr="009E6DA7">
              <w:rPr>
                <w:rFonts w:ascii="Verdana" w:hAnsi="Verdana"/>
                <w:b/>
              </w:rPr>
              <w:t>Accumulated Amount</w:t>
            </w:r>
            <w:r w:rsidRPr="009E6DA7">
              <w:rPr>
                <w:rFonts w:ascii="Verdana" w:hAnsi="Verdana"/>
              </w:rPr>
              <w:t xml:space="preserve"> </w:t>
            </w:r>
            <w:r w:rsidR="007925C9">
              <w:rPr>
                <w:rFonts w:ascii="Verdana" w:hAnsi="Verdana"/>
              </w:rPr>
              <w:t>displays</w:t>
            </w:r>
            <w:r w:rsidRPr="009E6DA7">
              <w:rPr>
                <w:rFonts w:ascii="Verdana" w:hAnsi="Verdana"/>
              </w:rPr>
              <w:t xml:space="preserve"> how much of the HRA has been used.  </w:t>
            </w:r>
          </w:p>
          <w:p w14:paraId="1B5EBAB0" w14:textId="77777777" w:rsidR="00F86646" w:rsidRPr="009E6DA7" w:rsidRDefault="00F86646" w:rsidP="00D076A9">
            <w:pPr>
              <w:numPr>
                <w:ilvl w:val="0"/>
                <w:numId w:val="7"/>
              </w:numPr>
              <w:tabs>
                <w:tab w:val="clear" w:pos="720"/>
              </w:tabs>
              <w:spacing w:before="120" w:after="120"/>
              <w:ind w:left="376"/>
              <w:rPr>
                <w:rFonts w:ascii="Verdana" w:hAnsi="Verdana"/>
              </w:rPr>
            </w:pPr>
            <w:r w:rsidRPr="009E6DA7">
              <w:rPr>
                <w:rFonts w:ascii="Verdana" w:hAnsi="Verdana"/>
                <w:b/>
              </w:rPr>
              <w:t>Limit Amount</w:t>
            </w:r>
            <w:r w:rsidRPr="009E6DA7">
              <w:rPr>
                <w:rFonts w:ascii="Verdana" w:hAnsi="Verdana"/>
              </w:rPr>
              <w:t xml:space="preserve"> </w:t>
            </w:r>
            <w:r w:rsidR="007925C9">
              <w:rPr>
                <w:rFonts w:ascii="Verdana" w:hAnsi="Verdana"/>
              </w:rPr>
              <w:t>displays</w:t>
            </w:r>
            <w:r w:rsidRPr="009E6DA7">
              <w:rPr>
                <w:rFonts w:ascii="Verdana" w:hAnsi="Verdana"/>
              </w:rPr>
              <w:t xml:space="preserve"> the total amount of funds that were initially available.  </w:t>
            </w:r>
          </w:p>
          <w:p w14:paraId="1C2CB9B9" w14:textId="3F7274FE" w:rsidR="00F86646" w:rsidRPr="009E6DA7" w:rsidRDefault="00F86646" w:rsidP="00D076A9">
            <w:pPr>
              <w:numPr>
                <w:ilvl w:val="0"/>
                <w:numId w:val="7"/>
              </w:numPr>
              <w:tabs>
                <w:tab w:val="clear" w:pos="720"/>
              </w:tabs>
              <w:spacing w:before="120" w:after="120"/>
              <w:ind w:left="376"/>
              <w:rPr>
                <w:rFonts w:ascii="Verdana" w:hAnsi="Verdana"/>
              </w:rPr>
            </w:pPr>
            <w:r w:rsidRPr="009E6DA7">
              <w:rPr>
                <w:rFonts w:ascii="Verdana" w:hAnsi="Verdana"/>
                <w:b/>
              </w:rPr>
              <w:t>Remaining Amount</w:t>
            </w:r>
            <w:r w:rsidRPr="009E6DA7">
              <w:rPr>
                <w:rFonts w:ascii="Verdana" w:hAnsi="Verdana"/>
              </w:rPr>
              <w:t xml:space="preserve"> </w:t>
            </w:r>
            <w:r w:rsidR="007925C9">
              <w:rPr>
                <w:rFonts w:ascii="Verdana" w:hAnsi="Verdana"/>
              </w:rPr>
              <w:t xml:space="preserve">displays the amount </w:t>
            </w:r>
            <w:r w:rsidRPr="009E6DA7">
              <w:rPr>
                <w:rFonts w:ascii="Verdana" w:hAnsi="Verdana"/>
              </w:rPr>
              <w:t>left in the HRA account</w:t>
            </w:r>
            <w:r w:rsidR="006208C3">
              <w:rPr>
                <w:rFonts w:ascii="Verdana" w:hAnsi="Verdana"/>
              </w:rPr>
              <w:t>.</w:t>
            </w:r>
          </w:p>
          <w:p w14:paraId="106E2DA0" w14:textId="20A8BA50" w:rsidR="00806CC6" w:rsidRPr="009E6DA7" w:rsidRDefault="00806CC6" w:rsidP="008A508F">
            <w:pPr>
              <w:spacing w:before="120" w:after="120"/>
              <w:rPr>
                <w:rFonts w:ascii="Verdana" w:hAnsi="Verdana"/>
              </w:rPr>
            </w:pPr>
          </w:p>
          <w:p w14:paraId="1376D3BF" w14:textId="5EE21880" w:rsidR="00DC4504" w:rsidRDefault="00B90878" w:rsidP="00D076A9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22D2C570" wp14:editId="7AB6D4CD">
                  <wp:extent cx="8229600" cy="3466030"/>
                  <wp:effectExtent l="19050" t="19050" r="19050" b="2032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34660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209E54" w14:textId="77777777" w:rsidR="004B51FB" w:rsidRDefault="004B51FB" w:rsidP="00D076A9">
            <w:pPr>
              <w:spacing w:before="120" w:after="120"/>
              <w:jc w:val="center"/>
              <w:rPr>
                <w:rFonts w:ascii="Verdana" w:hAnsi="Verdana"/>
              </w:rPr>
            </w:pPr>
          </w:p>
          <w:p w14:paraId="1D57E778" w14:textId="6185C5D6" w:rsidR="004B51FB" w:rsidRDefault="004B51FB" w:rsidP="004B51FB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Click the </w:t>
            </w:r>
            <w:r w:rsidRPr="00CE2807">
              <w:rPr>
                <w:rFonts w:ascii="Verdana" w:hAnsi="Verdana"/>
                <w:b/>
                <w:bCs/>
              </w:rPr>
              <w:t>Summary Details</w:t>
            </w:r>
            <w:r>
              <w:rPr>
                <w:rFonts w:ascii="Verdana" w:hAnsi="Verdana"/>
              </w:rPr>
              <w:t xml:space="preserve"> chevron to view the following:</w:t>
            </w:r>
          </w:p>
          <w:p w14:paraId="229A7BC1" w14:textId="07D4B24E" w:rsidR="004B51FB" w:rsidRDefault="004B51FB" w:rsidP="004B51FB">
            <w:pPr>
              <w:pStyle w:val="ListParagraph"/>
              <w:numPr>
                <w:ilvl w:val="0"/>
                <w:numId w:val="15"/>
              </w:numPr>
              <w:spacing w:before="120" w:after="120"/>
              <w:contextualSpacing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Ac</w:t>
            </w:r>
            <w:r w:rsidR="00E0252A">
              <w:rPr>
                <w:rFonts w:ascii="Verdana" w:hAnsi="Verdana"/>
              </w:rPr>
              <w:t>cumulation Type</w:t>
            </w:r>
          </w:p>
          <w:p w14:paraId="40D3260A" w14:textId="65295A7C" w:rsidR="00E0252A" w:rsidRDefault="00E0252A" w:rsidP="004B51FB">
            <w:pPr>
              <w:pStyle w:val="ListParagraph"/>
              <w:numPr>
                <w:ilvl w:val="0"/>
                <w:numId w:val="15"/>
              </w:numPr>
              <w:spacing w:before="120" w:after="120"/>
              <w:contextualSpacing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Account Type</w:t>
            </w:r>
          </w:p>
          <w:p w14:paraId="0F984EFB" w14:textId="635631F5" w:rsidR="00E0252A" w:rsidRDefault="00E0252A" w:rsidP="004B51FB">
            <w:pPr>
              <w:pStyle w:val="ListParagraph"/>
              <w:numPr>
                <w:ilvl w:val="0"/>
                <w:numId w:val="15"/>
              </w:numPr>
              <w:spacing w:before="120" w:after="120"/>
              <w:contextualSpacing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Start Accumulation</w:t>
            </w:r>
          </w:p>
          <w:p w14:paraId="6182DD0C" w14:textId="1091C694" w:rsidR="00E0252A" w:rsidRDefault="00E0252A" w:rsidP="004B51FB">
            <w:pPr>
              <w:pStyle w:val="ListParagraph"/>
              <w:numPr>
                <w:ilvl w:val="0"/>
                <w:numId w:val="15"/>
              </w:numPr>
              <w:spacing w:before="120" w:after="120"/>
              <w:contextualSpacing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Accumulation Period</w:t>
            </w:r>
          </w:p>
          <w:p w14:paraId="60954ED1" w14:textId="0B27895E" w:rsidR="00E0252A" w:rsidRDefault="00E0252A" w:rsidP="004B51FB">
            <w:pPr>
              <w:pStyle w:val="ListParagraph"/>
              <w:numPr>
                <w:ilvl w:val="0"/>
                <w:numId w:val="15"/>
              </w:numPr>
              <w:spacing w:before="120" w:after="120"/>
              <w:contextualSpacing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Integ</w:t>
            </w:r>
            <w:r w:rsidR="00403DCD">
              <w:rPr>
                <w:rFonts w:ascii="Verdana" w:hAnsi="Verdana"/>
              </w:rPr>
              <w:t>r</w:t>
            </w:r>
            <w:r>
              <w:rPr>
                <w:rFonts w:ascii="Verdana" w:hAnsi="Verdana"/>
              </w:rPr>
              <w:t>ated Benefits</w:t>
            </w:r>
          </w:p>
          <w:p w14:paraId="7E5F0CB6" w14:textId="1F2C1E8B" w:rsidR="00E0252A" w:rsidRPr="008A508F" w:rsidRDefault="00E0252A" w:rsidP="008A508F">
            <w:pPr>
              <w:pStyle w:val="ListParagraph"/>
              <w:numPr>
                <w:ilvl w:val="0"/>
                <w:numId w:val="15"/>
              </w:numPr>
              <w:spacing w:before="120" w:after="120"/>
              <w:contextualSpacing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Claim Type</w:t>
            </w:r>
          </w:p>
          <w:p w14:paraId="6DD8FD3B" w14:textId="0BE5ACA7" w:rsidR="00AD430A" w:rsidRPr="009E6DA7" w:rsidRDefault="00AD430A" w:rsidP="00D076A9">
            <w:pPr>
              <w:spacing w:before="120" w:after="120"/>
              <w:jc w:val="center"/>
              <w:rPr>
                <w:rFonts w:ascii="Verdana" w:hAnsi="Verdana"/>
              </w:rPr>
            </w:pPr>
          </w:p>
        </w:tc>
      </w:tr>
      <w:tr w:rsidR="00CB6046" w:rsidRPr="009E6DA7" w14:paraId="61A87DE6" w14:textId="77777777" w:rsidTr="00DE1055">
        <w:tc>
          <w:tcPr>
            <w:tcW w:w="348" w:type="pct"/>
          </w:tcPr>
          <w:p w14:paraId="659EB987" w14:textId="77777777" w:rsidR="006342AC" w:rsidRPr="009E6DA7" w:rsidRDefault="006342AC" w:rsidP="00D076A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9E6DA7">
              <w:rPr>
                <w:rFonts w:ascii="Verdana" w:hAnsi="Verdana"/>
                <w:b/>
              </w:rPr>
              <w:t>2</w:t>
            </w:r>
          </w:p>
        </w:tc>
        <w:tc>
          <w:tcPr>
            <w:tcW w:w="4652" w:type="pct"/>
          </w:tcPr>
          <w:p w14:paraId="15406323" w14:textId="4D5E1B59" w:rsidR="00F8377F" w:rsidRDefault="00FE1BAE" w:rsidP="00D076A9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Click </w:t>
            </w:r>
            <w:r w:rsidR="008124FF" w:rsidRPr="008A508F">
              <w:rPr>
                <w:rFonts w:ascii="Verdana" w:hAnsi="Verdana"/>
                <w:b/>
                <w:bCs/>
              </w:rPr>
              <w:t>View Claims</w:t>
            </w:r>
            <w:r w:rsidR="008124FF">
              <w:rPr>
                <w:rFonts w:ascii="Verdana" w:hAnsi="Verdana"/>
              </w:rPr>
              <w:t xml:space="preserve"> under Health Reimbursement </w:t>
            </w:r>
            <w:r w:rsidR="00E23018">
              <w:rPr>
                <w:rFonts w:ascii="Verdana" w:hAnsi="Verdana"/>
              </w:rPr>
              <w:t xml:space="preserve">to populate </w:t>
            </w:r>
            <w:r w:rsidR="00E23018" w:rsidRPr="00224E06">
              <w:rPr>
                <w:rFonts w:ascii="Verdana" w:hAnsi="Verdana"/>
                <w:b/>
                <w:bCs/>
              </w:rPr>
              <w:t xml:space="preserve">Claims For: </w:t>
            </w:r>
            <w:r w:rsidR="00DE1055">
              <w:rPr>
                <w:rFonts w:ascii="Verdana" w:hAnsi="Verdana"/>
                <w:b/>
                <w:bCs/>
              </w:rPr>
              <w:t xml:space="preserve"> </w:t>
            </w:r>
            <w:r w:rsidR="00E23018" w:rsidRPr="00224E06">
              <w:rPr>
                <w:rFonts w:ascii="Verdana" w:hAnsi="Verdana"/>
                <w:b/>
                <w:bCs/>
              </w:rPr>
              <w:t>Health Reimburs</w:t>
            </w:r>
            <w:r w:rsidR="008B117F" w:rsidRPr="00224E06">
              <w:rPr>
                <w:rFonts w:ascii="Verdana" w:hAnsi="Verdana"/>
                <w:b/>
                <w:bCs/>
              </w:rPr>
              <w:t>ement</w:t>
            </w:r>
          </w:p>
          <w:p w14:paraId="7C69456E" w14:textId="77777777" w:rsidR="00FD3707" w:rsidRDefault="00FD3707" w:rsidP="00D076A9">
            <w:pPr>
              <w:spacing w:before="120" w:after="120"/>
              <w:rPr>
                <w:rFonts w:ascii="Verdana" w:hAnsi="Verdana"/>
              </w:rPr>
            </w:pPr>
          </w:p>
          <w:p w14:paraId="09C4849F" w14:textId="3C3EC25F" w:rsidR="00FD3707" w:rsidRPr="009E6DA7" w:rsidRDefault="00FD3707" w:rsidP="008A508F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4EB39359" wp14:editId="3CE143C8">
                  <wp:extent cx="8229600" cy="4769530"/>
                  <wp:effectExtent l="19050" t="19050" r="19050" b="1206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4769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29CE79" w14:textId="77777777" w:rsidR="00450A1F" w:rsidRPr="009E6DA7" w:rsidRDefault="00450A1F" w:rsidP="00D076A9">
            <w:pPr>
              <w:spacing w:before="120" w:after="120"/>
              <w:rPr>
                <w:rFonts w:ascii="Verdana" w:hAnsi="Verdana"/>
              </w:rPr>
            </w:pPr>
          </w:p>
          <w:p w14:paraId="7ACFE749" w14:textId="42A3580B" w:rsidR="00FD3707" w:rsidRPr="009E6DA7" w:rsidRDefault="00FD3707" w:rsidP="00224E06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Result</w:t>
            </w:r>
            <w:r w:rsidR="00450A1F" w:rsidRPr="00AA2512">
              <w:rPr>
                <w:rFonts w:ascii="Verdana" w:hAnsi="Verdana"/>
                <w:b/>
              </w:rPr>
              <w:t xml:space="preserve">: </w:t>
            </w:r>
            <w:r w:rsidR="00450A1F" w:rsidRPr="009E6DA7">
              <w:rPr>
                <w:rFonts w:ascii="Verdana" w:hAnsi="Verdana"/>
              </w:rPr>
              <w:t xml:space="preserve"> </w:t>
            </w:r>
            <w:r w:rsidR="00F1718F">
              <w:rPr>
                <w:rFonts w:ascii="Verdana" w:hAnsi="Verdana"/>
              </w:rPr>
              <w:t xml:space="preserve">Claims For: </w:t>
            </w:r>
            <w:r w:rsidR="00DE1055">
              <w:rPr>
                <w:rFonts w:ascii="Verdana" w:hAnsi="Verdana"/>
              </w:rPr>
              <w:t xml:space="preserve"> </w:t>
            </w:r>
            <w:r w:rsidR="00F1718F">
              <w:rPr>
                <w:rFonts w:ascii="Verdana" w:hAnsi="Verdana"/>
              </w:rPr>
              <w:t xml:space="preserve">Health Reimbursement </w:t>
            </w:r>
            <w:r w:rsidR="00F8377F" w:rsidRPr="009E6DA7">
              <w:rPr>
                <w:rFonts w:ascii="Verdana" w:hAnsi="Verdana"/>
              </w:rPr>
              <w:t>display</w:t>
            </w:r>
            <w:r w:rsidR="00C603DC">
              <w:rPr>
                <w:rFonts w:ascii="Verdana" w:hAnsi="Verdana"/>
              </w:rPr>
              <w:t>s</w:t>
            </w:r>
            <w:r w:rsidR="00F8377F" w:rsidRPr="009E6DA7">
              <w:rPr>
                <w:rFonts w:ascii="Verdana" w:hAnsi="Verdana"/>
              </w:rPr>
              <w:t xml:space="preserve"> </w:t>
            </w:r>
            <w:r w:rsidR="00450A1F" w:rsidRPr="009E6DA7">
              <w:rPr>
                <w:rFonts w:ascii="Verdana" w:hAnsi="Verdana"/>
              </w:rPr>
              <w:t>all paid claim</w:t>
            </w:r>
            <w:r w:rsidR="007F4167" w:rsidRPr="009E6DA7">
              <w:rPr>
                <w:rFonts w:ascii="Verdana" w:hAnsi="Verdana"/>
              </w:rPr>
              <w:t>s</w:t>
            </w:r>
            <w:r w:rsidR="00450A1F" w:rsidRPr="009E6DA7">
              <w:rPr>
                <w:rFonts w:ascii="Verdana" w:hAnsi="Verdana"/>
              </w:rPr>
              <w:t xml:space="preserve"> accumulating under t</w:t>
            </w:r>
            <w:r w:rsidR="00F8377F" w:rsidRPr="009E6DA7">
              <w:rPr>
                <w:rFonts w:ascii="Verdana" w:hAnsi="Verdana"/>
              </w:rPr>
              <w:t>he HRA account for a specific t</w:t>
            </w:r>
            <w:r w:rsidR="00450A1F" w:rsidRPr="009E6DA7">
              <w:rPr>
                <w:rFonts w:ascii="Verdana" w:hAnsi="Verdana"/>
              </w:rPr>
              <w:t>imeframe</w:t>
            </w:r>
            <w:r w:rsidR="00F8377F" w:rsidRPr="009E6DA7">
              <w:rPr>
                <w:rFonts w:ascii="Verdana" w:hAnsi="Verdana"/>
              </w:rPr>
              <w:t xml:space="preserve">.  Medical claim transactions </w:t>
            </w:r>
            <w:r w:rsidR="00DE1055" w:rsidRPr="00DE1055">
              <w:rPr>
                <w:rFonts w:ascii="Verdana" w:hAnsi="Verdana"/>
              </w:rPr>
              <w:t>are</w:t>
            </w:r>
            <w:r w:rsidR="00F8377F" w:rsidRPr="00DE1055">
              <w:rPr>
                <w:rFonts w:ascii="Verdana" w:hAnsi="Verdana"/>
              </w:rPr>
              <w:t xml:space="preserve"> </w:t>
            </w:r>
            <w:r w:rsidR="00F8377F" w:rsidRPr="009E6DA7">
              <w:rPr>
                <w:rFonts w:ascii="Verdana" w:hAnsi="Verdana"/>
              </w:rPr>
              <w:t>included if the HRA is shared between prescription and medical benefits.</w:t>
            </w:r>
            <w:r w:rsidR="00CB6046">
              <w:rPr>
                <w:noProof/>
              </w:rPr>
              <w:t xml:space="preserve"> </w:t>
            </w:r>
          </w:p>
          <w:p w14:paraId="7BDCD371" w14:textId="77777777" w:rsidR="002F3BF6" w:rsidRPr="009E6DA7" w:rsidRDefault="002F3BF6" w:rsidP="00224E06">
            <w:pPr>
              <w:spacing w:before="120" w:after="120"/>
              <w:rPr>
                <w:rFonts w:ascii="Verdana" w:hAnsi="Verdana"/>
              </w:rPr>
            </w:pPr>
          </w:p>
        </w:tc>
      </w:tr>
      <w:tr w:rsidR="00CB6046" w:rsidRPr="009E6DA7" w14:paraId="5BA0B8DB" w14:textId="77777777" w:rsidTr="00DE1055">
        <w:tc>
          <w:tcPr>
            <w:tcW w:w="348" w:type="pct"/>
          </w:tcPr>
          <w:p w14:paraId="17F2D778" w14:textId="77777777" w:rsidR="00806CC6" w:rsidRPr="009E6DA7" w:rsidRDefault="00806CC6" w:rsidP="00DE1055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9E6DA7">
              <w:rPr>
                <w:rFonts w:ascii="Verdana" w:hAnsi="Verdana"/>
                <w:b/>
              </w:rPr>
              <w:t>3</w:t>
            </w:r>
          </w:p>
        </w:tc>
        <w:tc>
          <w:tcPr>
            <w:tcW w:w="4652" w:type="pct"/>
          </w:tcPr>
          <w:p w14:paraId="5A40D42F" w14:textId="06D68A01" w:rsidR="00F8377F" w:rsidRDefault="00177CBA" w:rsidP="00DE1055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</w:t>
            </w:r>
            <w:r w:rsidR="000B70BA">
              <w:rPr>
                <w:rFonts w:ascii="Verdana" w:hAnsi="Verdana"/>
              </w:rPr>
              <w:t xml:space="preserve">n the </w:t>
            </w:r>
            <w:r w:rsidR="000B70BA" w:rsidRPr="00224E06">
              <w:rPr>
                <w:rFonts w:ascii="Verdana" w:hAnsi="Verdana"/>
                <w:b/>
                <w:bCs/>
              </w:rPr>
              <w:t>Amount Applied</w:t>
            </w:r>
            <w:r w:rsidR="000B70BA">
              <w:rPr>
                <w:rFonts w:ascii="Verdana" w:hAnsi="Verdana"/>
              </w:rPr>
              <w:t xml:space="preserve"> column</w:t>
            </w:r>
            <w:r w:rsidR="00224E06">
              <w:rPr>
                <w:rFonts w:ascii="Verdana" w:hAnsi="Verdana"/>
              </w:rPr>
              <w:t>,</w:t>
            </w:r>
            <w:r w:rsidR="000B70BA">
              <w:rPr>
                <w:rFonts w:ascii="Verdana" w:hAnsi="Verdana"/>
              </w:rPr>
              <w:t xml:space="preserve"> c</w:t>
            </w:r>
            <w:r w:rsidR="00EB5B4A">
              <w:rPr>
                <w:rFonts w:ascii="Verdana" w:hAnsi="Verdana"/>
              </w:rPr>
              <w:t xml:space="preserve">lick the </w:t>
            </w:r>
            <w:r w:rsidR="00EB5B4A" w:rsidRPr="00224E06">
              <w:rPr>
                <w:rFonts w:ascii="Verdana" w:hAnsi="Verdana"/>
                <w:b/>
                <w:bCs/>
              </w:rPr>
              <w:t>$ amount</w:t>
            </w:r>
            <w:r w:rsidR="00EB5B4A">
              <w:rPr>
                <w:rFonts w:ascii="Verdana" w:hAnsi="Verdana"/>
              </w:rPr>
              <w:t xml:space="preserve"> hyperlink of </w:t>
            </w:r>
            <w:r w:rsidR="003E59F5" w:rsidRPr="009E6DA7">
              <w:rPr>
                <w:rFonts w:ascii="Verdana" w:hAnsi="Verdana"/>
              </w:rPr>
              <w:t>each claim</w:t>
            </w:r>
            <w:r w:rsidR="00EB5B4A">
              <w:rPr>
                <w:rFonts w:ascii="Verdana" w:hAnsi="Verdana"/>
              </w:rPr>
              <w:t xml:space="preserve"> paid claim</w:t>
            </w:r>
            <w:r w:rsidR="005F3717">
              <w:rPr>
                <w:rFonts w:ascii="Verdana" w:hAnsi="Verdana"/>
              </w:rPr>
              <w:t>.</w:t>
            </w:r>
          </w:p>
          <w:p w14:paraId="2D58884E" w14:textId="77777777" w:rsidR="00167665" w:rsidRDefault="00167665" w:rsidP="00DE1055">
            <w:pPr>
              <w:spacing w:before="120" w:after="120"/>
              <w:rPr>
                <w:rFonts w:ascii="Verdana" w:hAnsi="Verdana"/>
              </w:rPr>
            </w:pPr>
          </w:p>
          <w:p w14:paraId="6BEDB9EE" w14:textId="61F4A5EE" w:rsidR="00167665" w:rsidRPr="009E6DA7" w:rsidRDefault="002152EC" w:rsidP="00DE1055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018E8710" wp14:editId="771A2101">
                  <wp:extent cx="9232792" cy="1362521"/>
                  <wp:effectExtent l="19050" t="19050" r="26035" b="2857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3873" cy="13715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18F4C2" w14:textId="77777777" w:rsidR="00F8377F" w:rsidRPr="009E6DA7" w:rsidRDefault="00F8377F" w:rsidP="00DE1055">
            <w:pPr>
              <w:spacing w:before="120" w:after="120"/>
              <w:rPr>
                <w:rFonts w:ascii="Verdana" w:hAnsi="Verdana"/>
              </w:rPr>
            </w:pPr>
          </w:p>
          <w:p w14:paraId="4C72563F" w14:textId="7DC9F9D4" w:rsidR="00450A1F" w:rsidRPr="0063354B" w:rsidRDefault="00405207" w:rsidP="00DE1055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Result</w:t>
            </w:r>
            <w:r w:rsidR="00F8377F" w:rsidRPr="009E6DA7">
              <w:rPr>
                <w:rFonts w:ascii="Verdana" w:hAnsi="Verdana"/>
                <w:b/>
              </w:rPr>
              <w:t>:</w:t>
            </w:r>
            <w:r w:rsidR="00F8377F" w:rsidRPr="009E6DA7">
              <w:rPr>
                <w:rFonts w:ascii="Verdana" w:hAnsi="Verdana"/>
              </w:rPr>
              <w:t xml:space="preserve">  T</w:t>
            </w:r>
            <w:r w:rsidR="00450A1F" w:rsidRPr="009E6DA7">
              <w:rPr>
                <w:rFonts w:ascii="Verdana" w:hAnsi="Verdana"/>
              </w:rPr>
              <w:t xml:space="preserve">he </w:t>
            </w:r>
            <w:r w:rsidR="00F8377F" w:rsidRPr="00D076A9">
              <w:rPr>
                <w:rFonts w:ascii="Verdana" w:hAnsi="Verdana"/>
                <w:bCs/>
              </w:rPr>
              <w:t>Accumulation Details</w:t>
            </w:r>
            <w:r w:rsidR="00450A1F" w:rsidRPr="009E6DA7">
              <w:rPr>
                <w:rFonts w:ascii="Verdana" w:hAnsi="Verdana"/>
              </w:rPr>
              <w:t xml:space="preserve"> pop-up display</w:t>
            </w:r>
            <w:r w:rsidR="007925C9">
              <w:rPr>
                <w:rFonts w:ascii="Verdana" w:hAnsi="Verdana"/>
              </w:rPr>
              <w:t>s</w:t>
            </w:r>
            <w:r w:rsidR="00450A1F" w:rsidRPr="009E6DA7">
              <w:rPr>
                <w:rFonts w:ascii="Verdana" w:hAnsi="Verdana"/>
              </w:rPr>
              <w:t xml:space="preserve"> the breakdown of the amount that has been applied to HRA account</w:t>
            </w:r>
            <w:r w:rsidR="00F8377F" w:rsidRPr="009E6DA7">
              <w:rPr>
                <w:rFonts w:ascii="Verdana" w:hAnsi="Verdana"/>
              </w:rPr>
              <w:t>, as well as other a</w:t>
            </w:r>
            <w:r w:rsidR="00F86646" w:rsidRPr="009E6DA7">
              <w:rPr>
                <w:rFonts w:ascii="Verdana" w:hAnsi="Verdana"/>
              </w:rPr>
              <w:t xml:space="preserve">ccumulators such as deductible, maximum out-of-pocket, </w:t>
            </w:r>
            <w:r w:rsidR="00F86646" w:rsidRPr="0063354B">
              <w:rPr>
                <w:rFonts w:ascii="Verdana" w:hAnsi="Verdana"/>
              </w:rPr>
              <w:t>etc</w:t>
            </w:r>
            <w:r w:rsidR="0063354B" w:rsidRPr="0063354B">
              <w:rPr>
                <w:rFonts w:ascii="Verdana" w:hAnsi="Verdana"/>
              </w:rPr>
              <w:t>etera</w:t>
            </w:r>
            <w:r w:rsidR="00F86646" w:rsidRPr="0063354B">
              <w:rPr>
                <w:rFonts w:ascii="Verdana" w:hAnsi="Verdana"/>
              </w:rPr>
              <w:t>.</w:t>
            </w:r>
          </w:p>
          <w:p w14:paraId="59638953" w14:textId="77777777" w:rsidR="00806CC6" w:rsidRPr="009E6DA7" w:rsidRDefault="00806CC6" w:rsidP="00DE1055">
            <w:pPr>
              <w:spacing w:before="120" w:after="120"/>
              <w:rPr>
                <w:rFonts w:ascii="Verdana" w:hAnsi="Verdana"/>
              </w:rPr>
            </w:pPr>
          </w:p>
          <w:p w14:paraId="5A981835" w14:textId="7A0D992B" w:rsidR="00450A1F" w:rsidRPr="009E6DA7" w:rsidRDefault="00FB0C07" w:rsidP="00DE1055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0CF57DD" wp14:editId="3451EDB5">
                  <wp:extent cx="4392440" cy="4987322"/>
                  <wp:effectExtent l="19050" t="19050" r="27305" b="2286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6183" cy="500292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E5880A" w14:textId="77777777" w:rsidR="002F3BF6" w:rsidRPr="009E6DA7" w:rsidRDefault="002F3BF6" w:rsidP="00DE1055">
            <w:pPr>
              <w:spacing w:before="120" w:after="120"/>
              <w:jc w:val="center"/>
              <w:rPr>
                <w:rFonts w:ascii="Verdana" w:hAnsi="Verdana"/>
              </w:rPr>
            </w:pPr>
          </w:p>
        </w:tc>
      </w:tr>
      <w:tr w:rsidR="00CB6046" w:rsidRPr="009E6DA7" w14:paraId="65C9320C" w14:textId="77777777" w:rsidTr="00DE1055">
        <w:tc>
          <w:tcPr>
            <w:tcW w:w="348" w:type="pct"/>
          </w:tcPr>
          <w:p w14:paraId="3FE07F80" w14:textId="77777777" w:rsidR="00C91B34" w:rsidRPr="009E6DA7" w:rsidRDefault="00C91B34" w:rsidP="00D076A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9E6DA7">
              <w:rPr>
                <w:rFonts w:ascii="Verdana" w:hAnsi="Verdana"/>
                <w:b/>
              </w:rPr>
              <w:t>4</w:t>
            </w:r>
          </w:p>
        </w:tc>
        <w:tc>
          <w:tcPr>
            <w:tcW w:w="4652" w:type="pct"/>
          </w:tcPr>
          <w:p w14:paraId="5EEA83A5" w14:textId="5009F763" w:rsidR="00311FB9" w:rsidRPr="009E6DA7" w:rsidRDefault="00C603DC" w:rsidP="00D076A9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</w:t>
            </w:r>
            <w:r w:rsidR="00C91B34" w:rsidRPr="009E6DA7">
              <w:rPr>
                <w:rFonts w:ascii="Verdana" w:hAnsi="Verdana"/>
              </w:rPr>
              <w:t xml:space="preserve">xplain to the </w:t>
            </w:r>
            <w:r w:rsidR="00151A76">
              <w:rPr>
                <w:rFonts w:ascii="Verdana" w:hAnsi="Verdana"/>
              </w:rPr>
              <w:t>member</w:t>
            </w:r>
            <w:r w:rsidR="00C91B34" w:rsidRPr="009E6DA7">
              <w:rPr>
                <w:rFonts w:ascii="Verdana" w:hAnsi="Verdana"/>
              </w:rPr>
              <w:t xml:space="preserve"> the current balance in their HRA account.  </w:t>
            </w:r>
          </w:p>
        </w:tc>
      </w:tr>
    </w:tbl>
    <w:p w14:paraId="7291DFC8" w14:textId="77777777" w:rsidR="00204FBB" w:rsidRDefault="00204FBB" w:rsidP="00A779FA">
      <w:pPr>
        <w:jc w:val="right"/>
        <w:rPr>
          <w:rFonts w:ascii="Verdana" w:hAnsi="Verdana"/>
        </w:rPr>
      </w:pPr>
    </w:p>
    <w:p w14:paraId="6142EB4C" w14:textId="77777777" w:rsidR="00B1205D" w:rsidRDefault="00000000" w:rsidP="00B1205D">
      <w:pPr>
        <w:jc w:val="right"/>
        <w:rPr>
          <w:rFonts w:ascii="Verdana" w:hAnsi="Verdana"/>
        </w:rPr>
      </w:pPr>
      <w:hyperlink w:anchor="_top" w:history="1">
        <w:r w:rsidR="00B1205D" w:rsidRPr="00B1205D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6342AC" w:rsidRPr="009E6DA7" w14:paraId="29BE0E84" w14:textId="77777777" w:rsidTr="00F83850">
        <w:tc>
          <w:tcPr>
            <w:tcW w:w="5000" w:type="pct"/>
            <w:shd w:val="clear" w:color="auto" w:fill="C0C0C0"/>
          </w:tcPr>
          <w:p w14:paraId="5F49B553" w14:textId="47E38F12" w:rsidR="006342AC" w:rsidRPr="009E6DA7" w:rsidRDefault="009A3DC7" w:rsidP="00D076A9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7" w:name="_Copay"/>
            <w:bookmarkStart w:id="18" w:name="_RxClaim_Copay"/>
            <w:bookmarkStart w:id="19" w:name="_Copay_-_RxClaim"/>
            <w:bookmarkStart w:id="20" w:name="_HRA_Copays_-"/>
            <w:bookmarkStart w:id="21" w:name="_Toc167259687"/>
            <w:bookmarkStart w:id="22" w:name="_Toc525571368"/>
            <w:bookmarkEnd w:id="17"/>
            <w:bookmarkEnd w:id="18"/>
            <w:bookmarkEnd w:id="19"/>
            <w:bookmarkEnd w:id="20"/>
            <w:r w:rsidRPr="009E6DA7">
              <w:rPr>
                <w:rFonts w:ascii="Verdana" w:hAnsi="Verdana"/>
                <w:i w:val="0"/>
                <w:iCs w:val="0"/>
              </w:rPr>
              <w:t xml:space="preserve">HRA </w:t>
            </w:r>
            <w:r w:rsidR="0022608A" w:rsidRPr="009E6DA7">
              <w:rPr>
                <w:rFonts w:ascii="Verdana" w:hAnsi="Verdana"/>
                <w:i w:val="0"/>
                <w:iCs w:val="0"/>
              </w:rPr>
              <w:t>Copay</w:t>
            </w:r>
            <w:r w:rsidRPr="009E6DA7">
              <w:rPr>
                <w:rFonts w:ascii="Verdana" w:hAnsi="Verdana"/>
                <w:i w:val="0"/>
                <w:iCs w:val="0"/>
              </w:rPr>
              <w:t>s</w:t>
            </w:r>
            <w:bookmarkEnd w:id="21"/>
            <w:r w:rsidR="00A779FA" w:rsidRPr="009E6DA7">
              <w:rPr>
                <w:rFonts w:ascii="Verdana" w:hAnsi="Verdana"/>
                <w:i w:val="0"/>
                <w:iCs w:val="0"/>
              </w:rPr>
              <w:t xml:space="preserve"> </w:t>
            </w:r>
            <w:bookmarkEnd w:id="22"/>
          </w:p>
        </w:tc>
      </w:tr>
    </w:tbl>
    <w:p w14:paraId="5298252A" w14:textId="29647838" w:rsidR="0022608A" w:rsidRPr="00176400" w:rsidRDefault="0022608A" w:rsidP="00D076A9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Perform the steps below when research</w:t>
      </w:r>
      <w:r w:rsidR="005273E8">
        <w:rPr>
          <w:rFonts w:ascii="Verdana" w:hAnsi="Verdana"/>
        </w:rPr>
        <w:t>ing</w:t>
      </w:r>
      <w:r>
        <w:rPr>
          <w:rFonts w:ascii="Verdana" w:hAnsi="Verdana"/>
        </w:rPr>
        <w:t xml:space="preserve"> the </w:t>
      </w:r>
      <w:r w:rsidR="00151A76">
        <w:rPr>
          <w:rFonts w:ascii="Verdana" w:hAnsi="Verdana"/>
        </w:rPr>
        <w:t>member</w:t>
      </w:r>
      <w:r>
        <w:rPr>
          <w:rFonts w:ascii="Verdana" w:hAnsi="Verdana"/>
        </w:rPr>
        <w:t xml:space="preserve"> HRA copay status: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05"/>
        <w:gridCol w:w="12145"/>
      </w:tblGrid>
      <w:tr w:rsidR="006342AC" w:rsidRPr="009E6DA7" w14:paraId="53C8F2C1" w14:textId="77777777" w:rsidTr="00D66C21">
        <w:tc>
          <w:tcPr>
            <w:tcW w:w="348" w:type="pct"/>
            <w:shd w:val="clear" w:color="auto" w:fill="D9D9D9" w:themeFill="background1" w:themeFillShade="D9"/>
          </w:tcPr>
          <w:p w14:paraId="31D69C18" w14:textId="77777777" w:rsidR="006342AC" w:rsidRPr="009E6DA7" w:rsidRDefault="006342AC" w:rsidP="00D076A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9E6DA7">
              <w:rPr>
                <w:rFonts w:ascii="Verdana" w:hAnsi="Verdana"/>
                <w:b/>
              </w:rPr>
              <w:t>Step</w:t>
            </w:r>
          </w:p>
        </w:tc>
        <w:tc>
          <w:tcPr>
            <w:tcW w:w="4652" w:type="pct"/>
            <w:shd w:val="clear" w:color="auto" w:fill="D9D9D9" w:themeFill="background1" w:themeFillShade="D9"/>
          </w:tcPr>
          <w:p w14:paraId="112F0469" w14:textId="77777777" w:rsidR="006342AC" w:rsidRPr="009E6DA7" w:rsidRDefault="006342AC" w:rsidP="00D076A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9E6DA7">
              <w:rPr>
                <w:rFonts w:ascii="Verdana" w:hAnsi="Verdana"/>
                <w:b/>
              </w:rPr>
              <w:t xml:space="preserve">Action </w:t>
            </w:r>
          </w:p>
        </w:tc>
      </w:tr>
      <w:tr w:rsidR="006342AC" w:rsidRPr="009E6DA7" w14:paraId="41350D0B" w14:textId="77777777" w:rsidTr="00DE1055">
        <w:tc>
          <w:tcPr>
            <w:tcW w:w="348" w:type="pct"/>
          </w:tcPr>
          <w:p w14:paraId="5F15C24F" w14:textId="77777777" w:rsidR="006342AC" w:rsidRPr="009E6DA7" w:rsidRDefault="006342AC" w:rsidP="00D076A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9E6DA7">
              <w:rPr>
                <w:rFonts w:ascii="Verdana" w:hAnsi="Verdana"/>
                <w:b/>
              </w:rPr>
              <w:t>1</w:t>
            </w:r>
          </w:p>
        </w:tc>
        <w:tc>
          <w:tcPr>
            <w:tcW w:w="4652" w:type="pct"/>
          </w:tcPr>
          <w:p w14:paraId="7E23EDFE" w14:textId="6FAF2D25" w:rsidR="00AE3EA8" w:rsidRDefault="00FF11E4" w:rsidP="00D076A9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From the Claims tab</w:t>
            </w:r>
            <w:r w:rsidR="008F28AE">
              <w:rPr>
                <w:rFonts w:ascii="Verdana" w:hAnsi="Verdana"/>
                <w:color w:val="000000"/>
              </w:rPr>
              <w:t>le</w:t>
            </w:r>
            <w:r>
              <w:rPr>
                <w:rFonts w:ascii="Verdana" w:hAnsi="Verdana"/>
                <w:color w:val="000000"/>
              </w:rPr>
              <w:t xml:space="preserve"> on the Claims Landing Page</w:t>
            </w:r>
            <w:r w:rsidR="0022608A" w:rsidRPr="009E6DA7">
              <w:rPr>
                <w:rFonts w:ascii="Verdana" w:hAnsi="Verdana"/>
                <w:color w:val="000000"/>
              </w:rPr>
              <w:t>, click</w:t>
            </w:r>
            <w:r>
              <w:rPr>
                <w:rFonts w:ascii="Verdana" w:hAnsi="Verdana"/>
                <w:color w:val="000000"/>
              </w:rPr>
              <w:t xml:space="preserve"> the </w:t>
            </w:r>
            <w:r w:rsidRPr="00224E06">
              <w:rPr>
                <w:rFonts w:ascii="Verdana" w:hAnsi="Verdana"/>
                <w:b/>
                <w:bCs/>
                <w:color w:val="000000"/>
              </w:rPr>
              <w:t>View</w:t>
            </w:r>
            <w:r>
              <w:rPr>
                <w:rFonts w:ascii="Verdana" w:hAnsi="Verdana"/>
                <w:color w:val="000000"/>
              </w:rPr>
              <w:t xml:space="preserve"> hyperlink in the </w:t>
            </w:r>
            <w:r w:rsidRPr="00DE1055">
              <w:rPr>
                <w:rFonts w:ascii="Verdana" w:hAnsi="Verdana"/>
                <w:color w:val="000000"/>
              </w:rPr>
              <w:t>Mbr Pay</w:t>
            </w:r>
            <w:r w:rsidRPr="00224E06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 xml:space="preserve">column of </w:t>
            </w:r>
            <w:r w:rsidR="00EF37B2">
              <w:rPr>
                <w:rFonts w:ascii="Verdana" w:hAnsi="Verdana"/>
                <w:color w:val="000000"/>
              </w:rPr>
              <w:t>the Paid claim</w:t>
            </w:r>
            <w:r w:rsidR="00AE3EA8">
              <w:rPr>
                <w:rFonts w:ascii="Verdana" w:hAnsi="Verdana"/>
                <w:color w:val="000000"/>
              </w:rPr>
              <w:t>.</w:t>
            </w:r>
            <w:r w:rsidR="0022608A" w:rsidRPr="009E6DA7">
              <w:rPr>
                <w:rFonts w:ascii="Verdana" w:hAnsi="Verdana"/>
                <w:color w:val="000000"/>
              </w:rPr>
              <w:t xml:space="preserve"> </w:t>
            </w:r>
          </w:p>
          <w:p w14:paraId="15322EAB" w14:textId="416E3C39" w:rsidR="007925C9" w:rsidRPr="009E6DA7" w:rsidRDefault="00AE3EA8" w:rsidP="00D076A9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224E06">
              <w:rPr>
                <w:rFonts w:ascii="Verdana" w:hAnsi="Verdana"/>
                <w:b/>
                <w:bCs/>
                <w:color w:val="000000"/>
              </w:rPr>
              <w:t>Result: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="00224E06">
              <w:rPr>
                <w:rFonts w:ascii="Verdana" w:hAnsi="Verdana"/>
                <w:color w:val="000000"/>
              </w:rPr>
              <w:t xml:space="preserve"> The </w:t>
            </w:r>
            <w:r>
              <w:rPr>
                <w:rFonts w:ascii="Verdana" w:hAnsi="Verdana"/>
                <w:color w:val="000000"/>
              </w:rPr>
              <w:t>Financial Detail</w:t>
            </w:r>
            <w:r w:rsidR="002B136B">
              <w:rPr>
                <w:rFonts w:ascii="Verdana" w:hAnsi="Verdana"/>
                <w:color w:val="000000"/>
              </w:rPr>
              <w:t>s</w:t>
            </w:r>
            <w:r>
              <w:rPr>
                <w:rFonts w:ascii="Verdana" w:hAnsi="Verdana"/>
                <w:color w:val="000000"/>
              </w:rPr>
              <w:t xml:space="preserve"> screen displays</w:t>
            </w:r>
            <w:r w:rsidR="00224E06">
              <w:rPr>
                <w:rFonts w:ascii="Verdana" w:hAnsi="Verdana"/>
                <w:color w:val="000000"/>
              </w:rPr>
              <w:t>.</w:t>
            </w:r>
            <w:r w:rsidR="0022608A" w:rsidRPr="009E6DA7">
              <w:rPr>
                <w:rFonts w:ascii="Verdana" w:hAnsi="Verdana"/>
                <w:color w:val="000000"/>
              </w:rPr>
              <w:t xml:space="preserve">  </w:t>
            </w:r>
          </w:p>
        </w:tc>
      </w:tr>
      <w:tr w:rsidR="009D651C" w:rsidRPr="009E6DA7" w14:paraId="5D741E0F" w14:textId="77777777" w:rsidTr="00DE1055">
        <w:tc>
          <w:tcPr>
            <w:tcW w:w="348" w:type="pct"/>
          </w:tcPr>
          <w:p w14:paraId="2B423E4E" w14:textId="77777777" w:rsidR="009D651C" w:rsidRPr="009E6DA7" w:rsidRDefault="009D651C" w:rsidP="00D076A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9E6DA7">
              <w:rPr>
                <w:rFonts w:ascii="Verdana" w:hAnsi="Verdana"/>
                <w:b/>
              </w:rPr>
              <w:t>2</w:t>
            </w:r>
          </w:p>
          <w:p w14:paraId="275D11FA" w14:textId="77777777" w:rsidR="009D651C" w:rsidRPr="009E6DA7" w:rsidRDefault="009D651C" w:rsidP="00D076A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652" w:type="pct"/>
          </w:tcPr>
          <w:p w14:paraId="38875CEB" w14:textId="083C923B" w:rsidR="009D651C" w:rsidRPr="009E6DA7" w:rsidRDefault="009D651C" w:rsidP="00D076A9">
            <w:pPr>
              <w:spacing w:before="120" w:after="120"/>
              <w:rPr>
                <w:rFonts w:ascii="Verdana" w:hAnsi="Verdana"/>
              </w:rPr>
            </w:pPr>
            <w:r w:rsidRPr="009E6DA7">
              <w:rPr>
                <w:rFonts w:ascii="Verdana" w:hAnsi="Verdana"/>
              </w:rPr>
              <w:t xml:space="preserve">On the </w:t>
            </w:r>
            <w:r w:rsidR="00E15964" w:rsidRPr="00224E06">
              <w:rPr>
                <w:rFonts w:ascii="Verdana" w:hAnsi="Verdana"/>
                <w:b/>
                <w:bCs/>
              </w:rPr>
              <w:t xml:space="preserve">Financial </w:t>
            </w:r>
            <w:r w:rsidRPr="00224E06">
              <w:rPr>
                <w:rFonts w:ascii="Verdana" w:hAnsi="Verdana"/>
                <w:b/>
                <w:bCs/>
              </w:rPr>
              <w:t>Detail</w:t>
            </w:r>
            <w:r w:rsidR="002B136B" w:rsidRPr="00224E06">
              <w:rPr>
                <w:rFonts w:ascii="Verdana" w:hAnsi="Verdana"/>
                <w:b/>
                <w:bCs/>
              </w:rPr>
              <w:t>s</w:t>
            </w:r>
            <w:r w:rsidRPr="009E6DA7">
              <w:rPr>
                <w:rFonts w:ascii="Verdana" w:hAnsi="Verdana"/>
              </w:rPr>
              <w:t xml:space="preserve"> screen, </w:t>
            </w:r>
            <w:r w:rsidR="006A7AC6">
              <w:rPr>
                <w:rFonts w:ascii="Verdana" w:hAnsi="Verdana"/>
              </w:rPr>
              <w:t xml:space="preserve">review the HRA Contribution field in the </w:t>
            </w:r>
            <w:r w:rsidR="006A7AC6" w:rsidRPr="00224E06">
              <w:rPr>
                <w:rFonts w:ascii="Verdana" w:hAnsi="Verdana"/>
                <w:b/>
                <w:bCs/>
              </w:rPr>
              <w:t>Mbr Pay</w:t>
            </w:r>
            <w:r w:rsidR="006A7AC6">
              <w:rPr>
                <w:rFonts w:ascii="Verdana" w:hAnsi="Verdana"/>
              </w:rPr>
              <w:t xml:space="preserve"> section and the </w:t>
            </w:r>
            <w:r w:rsidR="006A7AC6" w:rsidRPr="00224E06">
              <w:rPr>
                <w:rFonts w:ascii="Verdana" w:hAnsi="Verdana"/>
                <w:b/>
                <w:bCs/>
              </w:rPr>
              <w:t xml:space="preserve">Health Reimbursement Account </w:t>
            </w:r>
            <w:r w:rsidR="006A7AC6">
              <w:rPr>
                <w:rFonts w:ascii="Verdana" w:hAnsi="Verdana"/>
              </w:rPr>
              <w:t xml:space="preserve">section to determine the amount </w:t>
            </w:r>
            <w:r w:rsidR="00A43C8A">
              <w:rPr>
                <w:rFonts w:ascii="Verdana" w:hAnsi="Verdana"/>
              </w:rPr>
              <w:t>th</w:t>
            </w:r>
            <w:r w:rsidR="00EA672D">
              <w:rPr>
                <w:rFonts w:ascii="Verdana" w:hAnsi="Verdana"/>
              </w:rPr>
              <w:t>e HRA deducted and the HRA remaining balance.</w:t>
            </w:r>
          </w:p>
          <w:p w14:paraId="3C046695" w14:textId="77777777" w:rsidR="009D651C" w:rsidRPr="009E6DA7" w:rsidRDefault="009D651C" w:rsidP="00D076A9">
            <w:pPr>
              <w:spacing w:before="120" w:after="120"/>
              <w:rPr>
                <w:rFonts w:ascii="Verdana" w:hAnsi="Verdana"/>
              </w:rPr>
            </w:pPr>
          </w:p>
          <w:p w14:paraId="2804CF4B" w14:textId="73C56035" w:rsidR="00C603DC" w:rsidRPr="009E6DA7" w:rsidRDefault="000D5B08" w:rsidP="00D076A9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Note:</w:t>
            </w:r>
            <w:r w:rsidR="00224E06">
              <w:rPr>
                <w:rFonts w:ascii="Verdana" w:hAnsi="Verdana"/>
                <w:b/>
                <w:bCs/>
              </w:rPr>
              <w:t xml:space="preserve">  </w:t>
            </w:r>
            <w:r w:rsidR="00224E06">
              <w:rPr>
                <w:rFonts w:ascii="Verdana" w:hAnsi="Verdana"/>
              </w:rPr>
              <w:t>To view HRA dollars from multiple years:</w:t>
            </w:r>
          </w:p>
          <w:p w14:paraId="434C4E0F" w14:textId="717992DE" w:rsidR="002469ED" w:rsidRDefault="00224E06" w:rsidP="00BE03EC">
            <w:pPr>
              <w:pStyle w:val="ListParagraph"/>
              <w:numPr>
                <w:ilvl w:val="0"/>
                <w:numId w:val="16"/>
              </w:numPr>
              <w:spacing w:before="120" w:after="120"/>
              <w:contextualSpacing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</w:t>
            </w:r>
            <w:r w:rsidR="000814CD">
              <w:rPr>
                <w:rFonts w:ascii="Verdana" w:hAnsi="Verdana"/>
              </w:rPr>
              <w:t>etermine the period of eligibility time frame</w:t>
            </w:r>
            <w:r w:rsidR="002469ED">
              <w:rPr>
                <w:rFonts w:ascii="Verdana" w:hAnsi="Verdana"/>
              </w:rPr>
              <w:t>.</w:t>
            </w:r>
          </w:p>
          <w:p w14:paraId="12E7960A" w14:textId="77777777" w:rsidR="000D5B08" w:rsidRDefault="002469ED" w:rsidP="00BE03EC">
            <w:pPr>
              <w:pStyle w:val="ListParagraph"/>
              <w:numPr>
                <w:ilvl w:val="0"/>
                <w:numId w:val="16"/>
              </w:numPr>
              <w:spacing w:before="120" w:after="120"/>
              <w:contextualSpacing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Select the </w:t>
            </w:r>
            <w:r w:rsidR="000D5B08">
              <w:rPr>
                <w:rFonts w:ascii="Verdana" w:hAnsi="Verdana"/>
              </w:rPr>
              <w:t xml:space="preserve">eligibility dates in the </w:t>
            </w:r>
            <w:r w:rsidR="000D5B08" w:rsidRPr="00224E06">
              <w:rPr>
                <w:rFonts w:ascii="Verdana" w:hAnsi="Verdana"/>
                <w:b/>
                <w:bCs/>
              </w:rPr>
              <w:t>Member Details</w:t>
            </w:r>
            <w:r w:rsidR="000D5B08">
              <w:rPr>
                <w:rFonts w:ascii="Verdana" w:hAnsi="Verdana"/>
              </w:rPr>
              <w:t xml:space="preserve"> panel.</w:t>
            </w:r>
          </w:p>
          <w:p w14:paraId="4B1C9435" w14:textId="2422D0EB" w:rsidR="00BE03EC" w:rsidRPr="00224E06" w:rsidRDefault="00224E06" w:rsidP="00224E06">
            <w:pPr>
              <w:pStyle w:val="ListParagraph"/>
              <w:numPr>
                <w:ilvl w:val="0"/>
                <w:numId w:val="16"/>
              </w:numPr>
              <w:spacing w:before="120" w:after="120"/>
              <w:contextualSpacing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Click</w:t>
            </w:r>
            <w:r w:rsidR="007B2601" w:rsidRPr="000101B8">
              <w:rPr>
                <w:rFonts w:ascii="Verdana" w:hAnsi="Verdana"/>
              </w:rPr>
              <w:t xml:space="preserve"> the </w:t>
            </w:r>
            <w:r w:rsidR="007B2601" w:rsidRPr="000101B8">
              <w:rPr>
                <w:rFonts w:ascii="Verdana" w:hAnsi="Verdana"/>
                <w:b/>
                <w:bCs/>
              </w:rPr>
              <w:t>Accumulations</w:t>
            </w:r>
            <w:r w:rsidR="007B2601" w:rsidRPr="000101B8">
              <w:rPr>
                <w:rFonts w:ascii="Verdana" w:hAnsi="Verdana"/>
              </w:rPr>
              <w:t xml:space="preserve"> hyperlink</w:t>
            </w:r>
            <w:r w:rsidR="00567B3D" w:rsidRPr="000101B8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from </w:t>
            </w:r>
            <w:r w:rsidR="00567B3D" w:rsidRPr="00CE2807">
              <w:rPr>
                <w:rFonts w:ascii="Verdana" w:hAnsi="Verdana"/>
              </w:rPr>
              <w:t xml:space="preserve">the </w:t>
            </w:r>
            <w:r w:rsidR="00567B3D" w:rsidRPr="000101B8">
              <w:rPr>
                <w:rFonts w:ascii="Verdana" w:hAnsi="Verdana"/>
                <w:b/>
                <w:bCs/>
              </w:rPr>
              <w:t>Quick Actions</w:t>
            </w:r>
            <w:r w:rsidR="00567B3D" w:rsidRPr="00224E06">
              <w:rPr>
                <w:rFonts w:ascii="Verdana" w:hAnsi="Verdana"/>
                <w:b/>
                <w:bCs/>
              </w:rPr>
              <w:t xml:space="preserve"> </w:t>
            </w:r>
            <w:r w:rsidR="00567B3D" w:rsidRPr="00224E06">
              <w:rPr>
                <w:rFonts w:ascii="Verdana" w:hAnsi="Verdana"/>
              </w:rPr>
              <w:t>panel of the Member Snapshot Landing Page</w:t>
            </w:r>
            <w:r w:rsidR="009D651C" w:rsidRPr="00224E06">
              <w:rPr>
                <w:rFonts w:ascii="Verdana" w:hAnsi="Verdana"/>
              </w:rPr>
              <w:t xml:space="preserve">.  </w:t>
            </w:r>
          </w:p>
          <w:p w14:paraId="6E613058" w14:textId="392030FB" w:rsidR="009D651C" w:rsidRDefault="00E936B7" w:rsidP="00BE03EC">
            <w:pPr>
              <w:pStyle w:val="ListParagraph"/>
              <w:numPr>
                <w:ilvl w:val="0"/>
                <w:numId w:val="16"/>
              </w:numPr>
              <w:contextualSpacing w:val="0"/>
              <w:rPr>
                <w:rFonts w:ascii="Verdana" w:hAnsi="Verdana"/>
              </w:rPr>
            </w:pPr>
            <w:r w:rsidRPr="00224E06">
              <w:rPr>
                <w:rFonts w:ascii="Verdana" w:hAnsi="Verdana"/>
              </w:rPr>
              <w:t>Change the date in the Accumulations</w:t>
            </w:r>
            <w:r w:rsidR="00E805F8">
              <w:rPr>
                <w:rFonts w:ascii="Verdana" w:hAnsi="Verdana"/>
              </w:rPr>
              <w:t xml:space="preserve"> screen</w:t>
            </w:r>
            <w:r w:rsidRPr="00224E06">
              <w:rPr>
                <w:rFonts w:ascii="Verdana" w:hAnsi="Verdana"/>
              </w:rPr>
              <w:t xml:space="preserve"> to correspond with the date in the </w:t>
            </w:r>
            <w:r w:rsidRPr="00224E06">
              <w:rPr>
                <w:rFonts w:ascii="Verdana" w:hAnsi="Verdana"/>
                <w:b/>
                <w:bCs/>
              </w:rPr>
              <w:t>Member Details</w:t>
            </w:r>
            <w:r w:rsidRPr="00224E06">
              <w:rPr>
                <w:rFonts w:ascii="Verdana" w:hAnsi="Verdana"/>
              </w:rPr>
              <w:t xml:space="preserve"> p</w:t>
            </w:r>
            <w:r w:rsidR="00155144" w:rsidRPr="00224E06">
              <w:rPr>
                <w:rFonts w:ascii="Verdana" w:hAnsi="Verdana"/>
              </w:rPr>
              <w:t>anel.</w:t>
            </w:r>
          </w:p>
          <w:p w14:paraId="7EBD88A6" w14:textId="77777777" w:rsidR="00155144" w:rsidRPr="00224E06" w:rsidRDefault="00155144" w:rsidP="00224E06">
            <w:pPr>
              <w:pStyle w:val="ListParagraph"/>
              <w:rPr>
                <w:rFonts w:ascii="Verdana" w:hAnsi="Verdana"/>
              </w:rPr>
            </w:pPr>
          </w:p>
          <w:p w14:paraId="21889A41" w14:textId="66B58CE7" w:rsidR="009D651C" w:rsidRDefault="00021D90" w:rsidP="00D076A9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24DA1DE5" wp14:editId="0BD34447">
                  <wp:extent cx="7957520" cy="5675541"/>
                  <wp:effectExtent l="19050" t="19050" r="24765" b="2095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86340" cy="56960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9273E0" w14:textId="77777777" w:rsidR="00757352" w:rsidRPr="009E6DA7" w:rsidRDefault="00757352" w:rsidP="00D076A9">
            <w:pPr>
              <w:spacing w:before="120" w:after="120"/>
              <w:jc w:val="center"/>
              <w:rPr>
                <w:rFonts w:ascii="Verdana" w:hAnsi="Verdana"/>
              </w:rPr>
            </w:pPr>
          </w:p>
        </w:tc>
      </w:tr>
      <w:tr w:rsidR="00563796" w:rsidRPr="009E6DA7" w14:paraId="3BBC883E" w14:textId="77777777" w:rsidTr="00DE1055">
        <w:tc>
          <w:tcPr>
            <w:tcW w:w="348" w:type="pct"/>
          </w:tcPr>
          <w:p w14:paraId="4AB1FC71" w14:textId="77777777" w:rsidR="00563796" w:rsidRPr="009E6DA7" w:rsidRDefault="009D651C" w:rsidP="00D076A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4652" w:type="pct"/>
          </w:tcPr>
          <w:p w14:paraId="292E5079" w14:textId="77777777" w:rsidR="00C603DC" w:rsidRDefault="00C91B34" w:rsidP="00D076A9">
            <w:pPr>
              <w:spacing w:before="120" w:after="120"/>
              <w:rPr>
                <w:rFonts w:ascii="Verdana" w:hAnsi="Verdana"/>
              </w:rPr>
            </w:pPr>
            <w:r w:rsidRPr="009E6DA7">
              <w:rPr>
                <w:rFonts w:ascii="Verdana" w:hAnsi="Verdana"/>
              </w:rPr>
              <w:t xml:space="preserve">Explain to the </w:t>
            </w:r>
            <w:r w:rsidR="00151A76">
              <w:rPr>
                <w:rFonts w:ascii="Verdana" w:hAnsi="Verdana"/>
              </w:rPr>
              <w:t>member</w:t>
            </w:r>
            <w:r w:rsidRPr="009E6DA7">
              <w:rPr>
                <w:rFonts w:ascii="Verdana" w:hAnsi="Verdana"/>
              </w:rPr>
              <w:t xml:space="preserve"> the HRA contribution amount.  </w:t>
            </w:r>
          </w:p>
          <w:p w14:paraId="3FC32057" w14:textId="1EFE02D4" w:rsidR="005F3BAE" w:rsidRPr="009E6DA7" w:rsidRDefault="00647EE7" w:rsidP="00D076A9">
            <w:pPr>
              <w:numPr>
                <w:ilvl w:val="0"/>
                <w:numId w:val="8"/>
              </w:numPr>
              <w:spacing w:before="120" w:after="120"/>
              <w:rPr>
                <w:rFonts w:ascii="Verdana" w:hAnsi="Verdana"/>
              </w:rPr>
            </w:pPr>
            <w:r w:rsidRPr="009E6DA7">
              <w:rPr>
                <w:rFonts w:ascii="Verdana" w:hAnsi="Verdana"/>
              </w:rPr>
              <w:t xml:space="preserve">If no HRA funds were applied to the claim, refer to </w:t>
            </w:r>
            <w:hyperlink w:anchor="_Process_for_Handling" w:history="1">
              <w:r w:rsidRPr="00FD1FC1">
                <w:rPr>
                  <w:rStyle w:val="Hyperlink"/>
                  <w:rFonts w:ascii="Verdana" w:hAnsi="Verdana"/>
                </w:rPr>
                <w:t>HRA Account Balance</w:t>
              </w:r>
            </w:hyperlink>
            <w:r w:rsidRPr="009E6DA7">
              <w:rPr>
                <w:rFonts w:ascii="Verdana" w:hAnsi="Verdana"/>
              </w:rPr>
              <w:t xml:space="preserve"> to determine if the </w:t>
            </w:r>
            <w:r w:rsidR="00151A76">
              <w:rPr>
                <w:rFonts w:ascii="Verdana" w:hAnsi="Verdana"/>
              </w:rPr>
              <w:t>member</w:t>
            </w:r>
            <w:r w:rsidRPr="009E6DA7">
              <w:rPr>
                <w:rFonts w:ascii="Verdana" w:hAnsi="Verdana"/>
              </w:rPr>
              <w:t xml:space="preserve"> has any funds remaining in their HRA and advise accordingly.</w:t>
            </w:r>
          </w:p>
        </w:tc>
      </w:tr>
    </w:tbl>
    <w:p w14:paraId="4AC375CF" w14:textId="77777777" w:rsidR="006A4629" w:rsidRDefault="006A4629" w:rsidP="00A779FA">
      <w:pPr>
        <w:jc w:val="right"/>
        <w:rPr>
          <w:rFonts w:ascii="Verdana" w:hAnsi="Verdana"/>
        </w:rPr>
      </w:pPr>
    </w:p>
    <w:p w14:paraId="478B6462" w14:textId="11BF33EB" w:rsidR="00B1205D" w:rsidRDefault="00B1205D" w:rsidP="00B1205D">
      <w:pPr>
        <w:jc w:val="right"/>
        <w:rPr>
          <w:rFonts w:ascii="Verdana" w:hAnsi="Verdana"/>
        </w:rPr>
      </w:pPr>
    </w:p>
    <w:bookmarkStart w:id="23" w:name="_HRA_Disclaimers"/>
    <w:bookmarkEnd w:id="23"/>
    <w:p w14:paraId="3CA774E6" w14:textId="77777777" w:rsidR="00B1205D" w:rsidRDefault="001970B2" w:rsidP="00B1205D">
      <w:pPr>
        <w:jc w:val="right"/>
        <w:rPr>
          <w:rFonts w:ascii="Verdana" w:hAnsi="Verdana"/>
        </w:rPr>
      </w:pPr>
      <w:r>
        <w:fldChar w:fldCharType="begin"/>
      </w:r>
      <w:r>
        <w:instrText>HYPERLINK \l "_top"</w:instrText>
      </w:r>
      <w:r>
        <w:fldChar w:fldCharType="separate"/>
      </w:r>
      <w:r w:rsidR="00B1205D" w:rsidRPr="00B1205D">
        <w:rPr>
          <w:rStyle w:val="Hyperlink"/>
          <w:rFonts w:ascii="Verdana" w:hAnsi="Verdana"/>
        </w:rPr>
        <w:t>Top of the Document</w:t>
      </w:r>
      <w:r>
        <w:rPr>
          <w:rStyle w:val="Hyperlink"/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6342AC" w:rsidRPr="009E6DA7" w14:paraId="4BAD29AB" w14:textId="77777777" w:rsidTr="00757352">
        <w:tc>
          <w:tcPr>
            <w:tcW w:w="5000" w:type="pct"/>
            <w:shd w:val="clear" w:color="auto" w:fill="C0C0C0"/>
          </w:tcPr>
          <w:p w14:paraId="7F3C69A0" w14:textId="4CE26DCB" w:rsidR="006342AC" w:rsidRPr="009E6DA7" w:rsidRDefault="009A3DC7" w:rsidP="00D076A9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4" w:name="_RxClaim_Disputes"/>
            <w:bookmarkStart w:id="25" w:name="_Disputes_-_RxClaim"/>
            <w:bookmarkStart w:id="26" w:name="_Disputes"/>
            <w:bookmarkStart w:id="27" w:name="_HRA_Disputes"/>
            <w:bookmarkStart w:id="28" w:name="_Toc525571370"/>
            <w:bookmarkStart w:id="29" w:name="_Toc167259688"/>
            <w:bookmarkEnd w:id="24"/>
            <w:bookmarkEnd w:id="25"/>
            <w:bookmarkEnd w:id="26"/>
            <w:bookmarkEnd w:id="27"/>
            <w:r w:rsidRPr="009E6DA7">
              <w:rPr>
                <w:rFonts w:ascii="Verdana" w:hAnsi="Verdana"/>
                <w:i w:val="0"/>
                <w:iCs w:val="0"/>
              </w:rPr>
              <w:t xml:space="preserve">HRA </w:t>
            </w:r>
            <w:r w:rsidR="0091701F" w:rsidRPr="009E6DA7">
              <w:rPr>
                <w:rFonts w:ascii="Verdana" w:hAnsi="Verdana"/>
                <w:i w:val="0"/>
                <w:iCs w:val="0"/>
              </w:rPr>
              <w:t>Disputes</w:t>
            </w:r>
            <w:bookmarkEnd w:id="28"/>
            <w:bookmarkEnd w:id="29"/>
            <w:r w:rsidR="00776103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06871E9D" w14:textId="259ADB5D" w:rsidR="008217A8" w:rsidRPr="00176400" w:rsidRDefault="008217A8" w:rsidP="00D076A9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 xml:space="preserve">When the </w:t>
      </w:r>
      <w:r w:rsidR="00151A76">
        <w:rPr>
          <w:rFonts w:ascii="Verdana" w:hAnsi="Verdana"/>
        </w:rPr>
        <w:t>member</w:t>
      </w:r>
      <w:r>
        <w:rPr>
          <w:rFonts w:ascii="Verdana" w:hAnsi="Verdana"/>
        </w:rPr>
        <w:t xml:space="preserve"> does not agree with the balance in their HRA account</w:t>
      </w:r>
      <w:r w:rsidR="00647EE7">
        <w:rPr>
          <w:rFonts w:ascii="Verdana" w:hAnsi="Verdana"/>
        </w:rPr>
        <w:t>,</w:t>
      </w:r>
      <w:r>
        <w:rPr>
          <w:rFonts w:ascii="Verdana" w:hAnsi="Verdana"/>
        </w:rPr>
        <w:t xml:space="preserve"> perform the steps below: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38"/>
        <w:gridCol w:w="6054"/>
        <w:gridCol w:w="6058"/>
      </w:tblGrid>
      <w:tr w:rsidR="006342AC" w:rsidRPr="009E6DA7" w14:paraId="3C7C8E3B" w14:textId="77777777" w:rsidTr="00D66C21">
        <w:tc>
          <w:tcPr>
            <w:tcW w:w="289" w:type="pct"/>
            <w:shd w:val="clear" w:color="auto" w:fill="D9D9D9" w:themeFill="background1" w:themeFillShade="D9"/>
          </w:tcPr>
          <w:p w14:paraId="08AE1E1E" w14:textId="77777777" w:rsidR="006342AC" w:rsidRPr="009E6DA7" w:rsidRDefault="006342AC" w:rsidP="00D076A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9E6DA7">
              <w:rPr>
                <w:rFonts w:ascii="Verdana" w:hAnsi="Verdana"/>
                <w:b/>
              </w:rPr>
              <w:t>Step</w:t>
            </w:r>
          </w:p>
        </w:tc>
        <w:tc>
          <w:tcPr>
            <w:tcW w:w="4711" w:type="pct"/>
            <w:gridSpan w:val="2"/>
            <w:shd w:val="clear" w:color="auto" w:fill="D9D9D9" w:themeFill="background1" w:themeFillShade="D9"/>
          </w:tcPr>
          <w:p w14:paraId="1AC61767" w14:textId="77777777" w:rsidR="006342AC" w:rsidRPr="009E6DA7" w:rsidRDefault="006342AC" w:rsidP="00D076A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9E6DA7">
              <w:rPr>
                <w:rFonts w:ascii="Verdana" w:hAnsi="Verdana"/>
                <w:b/>
              </w:rPr>
              <w:t xml:space="preserve">Action </w:t>
            </w:r>
          </w:p>
        </w:tc>
      </w:tr>
      <w:tr w:rsidR="006342AC" w:rsidRPr="009E6DA7" w14:paraId="64B5A018" w14:textId="77777777" w:rsidTr="00907DB5">
        <w:tc>
          <w:tcPr>
            <w:tcW w:w="289" w:type="pct"/>
          </w:tcPr>
          <w:p w14:paraId="11692FAC" w14:textId="77777777" w:rsidR="006342AC" w:rsidRPr="009E6DA7" w:rsidRDefault="006342AC" w:rsidP="00D076A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9E6DA7">
              <w:rPr>
                <w:rFonts w:ascii="Verdana" w:hAnsi="Verdana"/>
                <w:b/>
              </w:rPr>
              <w:t>1</w:t>
            </w:r>
          </w:p>
        </w:tc>
        <w:tc>
          <w:tcPr>
            <w:tcW w:w="4711" w:type="pct"/>
            <w:gridSpan w:val="2"/>
          </w:tcPr>
          <w:p w14:paraId="15B1E547" w14:textId="1CB5D7C6" w:rsidR="006342AC" w:rsidRPr="009E6DA7" w:rsidRDefault="00C91B34" w:rsidP="00D076A9">
            <w:pPr>
              <w:spacing w:before="120" w:after="120"/>
              <w:rPr>
                <w:rFonts w:ascii="Verdana" w:hAnsi="Verdana"/>
              </w:rPr>
            </w:pPr>
            <w:r w:rsidRPr="009E6DA7">
              <w:rPr>
                <w:rFonts w:ascii="Verdana" w:hAnsi="Verdana"/>
              </w:rPr>
              <w:t xml:space="preserve">Perform </w:t>
            </w:r>
            <w:r w:rsidR="00647EE7" w:rsidRPr="009E6DA7">
              <w:rPr>
                <w:rFonts w:ascii="Verdana" w:hAnsi="Verdana"/>
              </w:rPr>
              <w:t xml:space="preserve">the steps documented </w:t>
            </w:r>
            <w:r w:rsidRPr="009E6DA7">
              <w:rPr>
                <w:rFonts w:ascii="Verdana" w:hAnsi="Verdana"/>
              </w:rPr>
              <w:t>in the</w:t>
            </w:r>
            <w:r w:rsidR="005F3BAE" w:rsidRPr="009E6DA7">
              <w:rPr>
                <w:rFonts w:ascii="Verdana" w:hAnsi="Verdana"/>
              </w:rPr>
              <w:t xml:space="preserve"> </w:t>
            </w:r>
            <w:hyperlink w:anchor="_Account_Balance" w:history="1">
              <w:r w:rsidR="00647EE7" w:rsidRPr="009E6DA7">
                <w:rPr>
                  <w:rStyle w:val="Hyperlink"/>
                  <w:rFonts w:ascii="Verdana" w:hAnsi="Verdana"/>
                </w:rPr>
                <w:t xml:space="preserve">HRA </w:t>
              </w:r>
              <w:r w:rsidR="005F3BAE" w:rsidRPr="009E6DA7">
                <w:rPr>
                  <w:rStyle w:val="Hyperlink"/>
                  <w:rFonts w:ascii="Verdana" w:hAnsi="Verdana"/>
                </w:rPr>
                <w:t>Account Balance</w:t>
              </w:r>
            </w:hyperlink>
            <w:r w:rsidR="005F3BAE" w:rsidRPr="009E6DA7">
              <w:rPr>
                <w:rFonts w:ascii="Verdana" w:hAnsi="Verdana"/>
              </w:rPr>
              <w:t xml:space="preserve"> section.</w:t>
            </w:r>
          </w:p>
        </w:tc>
      </w:tr>
      <w:tr w:rsidR="00907DB5" w:rsidRPr="009E6DA7" w14:paraId="7AD6B222" w14:textId="77777777" w:rsidTr="00D66C21">
        <w:trPr>
          <w:trHeight w:val="42"/>
        </w:trPr>
        <w:tc>
          <w:tcPr>
            <w:tcW w:w="289" w:type="pct"/>
            <w:vMerge w:val="restart"/>
          </w:tcPr>
          <w:p w14:paraId="26CBA79D" w14:textId="77777777" w:rsidR="00907DB5" w:rsidRPr="009E6DA7" w:rsidRDefault="00907DB5" w:rsidP="00D076A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9E6DA7">
              <w:rPr>
                <w:rFonts w:ascii="Verdana" w:hAnsi="Verdana"/>
                <w:b/>
              </w:rPr>
              <w:t>2</w:t>
            </w:r>
          </w:p>
        </w:tc>
        <w:tc>
          <w:tcPr>
            <w:tcW w:w="4711" w:type="pct"/>
            <w:gridSpan w:val="2"/>
            <w:tcBorders>
              <w:bottom w:val="single" w:sz="4" w:space="0" w:color="auto"/>
            </w:tcBorders>
          </w:tcPr>
          <w:p w14:paraId="15731419" w14:textId="4AF22A51" w:rsidR="00907DB5" w:rsidRPr="009E6DA7" w:rsidRDefault="00907DB5" w:rsidP="00907DB5">
            <w:pPr>
              <w:spacing w:before="120" w:after="120"/>
              <w:rPr>
                <w:rFonts w:ascii="Verdana" w:hAnsi="Verdana"/>
              </w:rPr>
            </w:pPr>
            <w:r w:rsidRPr="009E6DA7">
              <w:rPr>
                <w:rFonts w:ascii="Verdana" w:hAnsi="Verdana"/>
              </w:rPr>
              <w:t xml:space="preserve">Explain to the </w:t>
            </w:r>
            <w:r>
              <w:rPr>
                <w:rFonts w:ascii="Verdana" w:hAnsi="Verdana"/>
              </w:rPr>
              <w:t>member</w:t>
            </w:r>
            <w:r w:rsidRPr="009E6DA7">
              <w:rPr>
                <w:rFonts w:ascii="Verdana" w:hAnsi="Verdana"/>
              </w:rPr>
              <w:t xml:space="preserve"> which claims paid against the HRA balance, including any medical claims if the HRA is integrated.  Provide details as necessary following</w:t>
            </w:r>
            <w:r>
              <w:rPr>
                <w:rFonts w:ascii="Verdana" w:hAnsi="Verdana"/>
              </w:rPr>
              <w:t xml:space="preserve"> the</w:t>
            </w:r>
            <w:r w:rsidRPr="009E6DA7">
              <w:rPr>
                <w:rFonts w:ascii="Verdana" w:hAnsi="Verdana"/>
              </w:rPr>
              <w:t xml:space="preserve"> </w:t>
            </w:r>
            <w:hyperlink r:id="rId18" w:anchor="!/view?docid=5b354e50-0d15-42d0-b9c2-0711ea02d9ce" w:history="1">
              <w:r w:rsidR="00F53717">
                <w:rPr>
                  <w:rStyle w:val="Hyperlink"/>
                  <w:rFonts w:ascii="Verdana" w:hAnsi="Verdana"/>
                </w:rPr>
                <w:t>HIPAA Grid (028920)</w:t>
              </w:r>
            </w:hyperlink>
            <w:r w:rsidRPr="009E6DA7">
              <w:rPr>
                <w:rFonts w:ascii="Verdana" w:hAnsi="Verdana"/>
              </w:rPr>
              <w:t>.</w:t>
            </w:r>
          </w:p>
        </w:tc>
      </w:tr>
      <w:tr w:rsidR="00F92530" w:rsidRPr="009E6DA7" w14:paraId="6A017154" w14:textId="77777777" w:rsidTr="00907DB5">
        <w:trPr>
          <w:trHeight w:val="42"/>
        </w:trPr>
        <w:tc>
          <w:tcPr>
            <w:tcW w:w="289" w:type="pct"/>
            <w:vMerge/>
          </w:tcPr>
          <w:p w14:paraId="56FC7DE3" w14:textId="77777777" w:rsidR="00F92530" w:rsidRPr="009E6DA7" w:rsidRDefault="00F92530" w:rsidP="00D076A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355" w:type="pct"/>
            <w:shd w:val="clear" w:color="auto" w:fill="D9D9D9" w:themeFill="background1" w:themeFillShade="D9"/>
          </w:tcPr>
          <w:p w14:paraId="2C070DCE" w14:textId="1B6F8F78" w:rsidR="00F92530" w:rsidRPr="00F92530" w:rsidRDefault="00F92530" w:rsidP="00F92530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F92530">
              <w:rPr>
                <w:rFonts w:ascii="Verdana" w:hAnsi="Verdana"/>
                <w:b/>
                <w:bCs/>
              </w:rPr>
              <w:t>If…</w:t>
            </w:r>
          </w:p>
        </w:tc>
        <w:tc>
          <w:tcPr>
            <w:tcW w:w="2356" w:type="pct"/>
            <w:shd w:val="clear" w:color="auto" w:fill="D9D9D9" w:themeFill="background1" w:themeFillShade="D9"/>
          </w:tcPr>
          <w:p w14:paraId="2F765757" w14:textId="7221C87B" w:rsidR="00F92530" w:rsidRPr="00F92530" w:rsidRDefault="00F92530" w:rsidP="00F92530">
            <w:pPr>
              <w:spacing w:before="120" w:after="120"/>
              <w:jc w:val="center"/>
              <w:rPr>
                <w:rFonts w:ascii="Verdana" w:hAnsi="Verdana"/>
                <w:b/>
                <w:bCs/>
              </w:rPr>
            </w:pPr>
            <w:r w:rsidRPr="00F92530">
              <w:rPr>
                <w:rFonts w:ascii="Verdana" w:hAnsi="Verdana"/>
                <w:b/>
                <w:bCs/>
              </w:rPr>
              <w:t>Then…</w:t>
            </w:r>
          </w:p>
        </w:tc>
      </w:tr>
      <w:tr w:rsidR="00F92530" w:rsidRPr="009E6DA7" w14:paraId="61C8F057" w14:textId="77777777" w:rsidTr="00907DB5">
        <w:trPr>
          <w:trHeight w:val="42"/>
        </w:trPr>
        <w:tc>
          <w:tcPr>
            <w:tcW w:w="289" w:type="pct"/>
            <w:vMerge/>
          </w:tcPr>
          <w:p w14:paraId="5465A3B8" w14:textId="77777777" w:rsidR="00F92530" w:rsidRPr="009E6DA7" w:rsidRDefault="00F92530" w:rsidP="00D076A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355" w:type="pct"/>
          </w:tcPr>
          <w:p w14:paraId="16F72841" w14:textId="4425FAFD" w:rsidR="00F92530" w:rsidRPr="009E6DA7" w:rsidRDefault="00F92530" w:rsidP="00D076A9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The member’s dispute is valid (where a claim </w:t>
            </w:r>
            <w:r w:rsidR="0063354B">
              <w:rPr>
                <w:rFonts w:ascii="Verdana" w:hAnsi="Verdana"/>
              </w:rPr>
              <w:t>is</w:t>
            </w:r>
            <w:r>
              <w:rPr>
                <w:rFonts w:ascii="Verdana" w:hAnsi="Verdana"/>
              </w:rPr>
              <w:t xml:space="preserve"> processed incorrectly against the HRA, prescription never received/lost in transit, etcetera)</w:t>
            </w:r>
          </w:p>
        </w:tc>
        <w:tc>
          <w:tcPr>
            <w:tcW w:w="2356" w:type="pct"/>
          </w:tcPr>
          <w:p w14:paraId="5A469B84" w14:textId="43235BA0" w:rsidR="00F92530" w:rsidRPr="009E6DA7" w:rsidRDefault="00F92530" w:rsidP="00D076A9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Refer to the CIF for client-specific instructions or if no client-specific instructions are noted in the CIF, send an Account Executive</w:t>
            </w:r>
            <w:r w:rsidR="000A5380">
              <w:rPr>
                <w:rFonts w:ascii="Verdana" w:hAnsi="Verdana"/>
              </w:rPr>
              <w:t xml:space="preserve"> Support</w:t>
            </w:r>
            <w:r>
              <w:rPr>
                <w:rFonts w:ascii="Verdana" w:hAnsi="Verdana"/>
              </w:rPr>
              <w:t xml:space="preserve"> Task as per guidelines noted in the </w:t>
            </w:r>
            <w:hyperlink r:id="rId19" w:anchor="!/view?docid=c45b56be-1ed1-4954-8487-3781fd7d1d55" w:history="1">
              <w:r w:rsidR="0050282B" w:rsidRPr="0050282B">
                <w:rPr>
                  <w:rStyle w:val="Hyperlink"/>
                  <w:rFonts w:ascii="Verdana" w:hAnsi="Verdana"/>
                </w:rPr>
                <w:t>Compass - Account Executive Consideration Support Task (AE Support Task) (061419)</w:t>
              </w:r>
            </w:hyperlink>
          </w:p>
        </w:tc>
      </w:tr>
      <w:tr w:rsidR="00F92530" w:rsidRPr="009E6DA7" w14:paraId="22BFA66D" w14:textId="77777777" w:rsidTr="00907DB5">
        <w:trPr>
          <w:trHeight w:val="42"/>
        </w:trPr>
        <w:tc>
          <w:tcPr>
            <w:tcW w:w="289" w:type="pct"/>
            <w:vMerge/>
          </w:tcPr>
          <w:p w14:paraId="74B92E31" w14:textId="77777777" w:rsidR="00F92530" w:rsidRPr="009E6DA7" w:rsidRDefault="00F92530" w:rsidP="00D076A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355" w:type="pct"/>
          </w:tcPr>
          <w:p w14:paraId="09FD57A2" w14:textId="7B12049D" w:rsidR="00F92530" w:rsidRPr="009E6DA7" w:rsidRDefault="00907DB5" w:rsidP="00F92530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</w:t>
            </w:r>
            <w:r w:rsidR="00F92530" w:rsidRPr="00F92530">
              <w:rPr>
                <w:rFonts w:ascii="Verdana" w:hAnsi="Verdana"/>
              </w:rPr>
              <w:t xml:space="preserve"> prescription was processed through the insurance and the HRA was used to pay for the claim but should not have been</w:t>
            </w:r>
          </w:p>
        </w:tc>
        <w:tc>
          <w:tcPr>
            <w:tcW w:w="2356" w:type="pct"/>
          </w:tcPr>
          <w:p w14:paraId="6A495F21" w14:textId="04798152" w:rsidR="00F92530" w:rsidRDefault="00F92530" w:rsidP="00F92530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The pharmacy would need to </w:t>
            </w:r>
            <w:r w:rsidR="00BB28D7">
              <w:rPr>
                <w:rFonts w:ascii="Verdana" w:hAnsi="Verdana"/>
              </w:rPr>
              <w:t>reverse</w:t>
            </w:r>
            <w:r>
              <w:rPr>
                <w:rFonts w:ascii="Verdana" w:hAnsi="Verdana"/>
              </w:rPr>
              <w:t xml:space="preserve"> the claim and reprocess without using the insurance.</w:t>
            </w:r>
          </w:p>
          <w:p w14:paraId="7F2DFFEA" w14:textId="53D769A9" w:rsidR="00F92530" w:rsidRPr="009E6DA7" w:rsidRDefault="00F92530" w:rsidP="00D076A9">
            <w:pPr>
              <w:spacing w:before="120" w:after="120"/>
              <w:rPr>
                <w:rFonts w:ascii="Verdana" w:hAnsi="Verdana"/>
              </w:rPr>
            </w:pPr>
          </w:p>
        </w:tc>
      </w:tr>
      <w:tr w:rsidR="00F92530" w:rsidRPr="009E6DA7" w14:paraId="68A4B53C" w14:textId="77777777" w:rsidTr="00907DB5">
        <w:trPr>
          <w:trHeight w:val="42"/>
        </w:trPr>
        <w:tc>
          <w:tcPr>
            <w:tcW w:w="289" w:type="pct"/>
            <w:vMerge/>
          </w:tcPr>
          <w:p w14:paraId="2D606529" w14:textId="77777777" w:rsidR="00F92530" w:rsidRPr="009E6DA7" w:rsidRDefault="00F92530" w:rsidP="00D076A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355" w:type="pct"/>
          </w:tcPr>
          <w:p w14:paraId="6A44A310" w14:textId="7B5A3EB6" w:rsidR="00F92530" w:rsidRPr="009E6DA7" w:rsidRDefault="00F92530" w:rsidP="00D076A9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The member is disputing a medical claim</w:t>
            </w:r>
          </w:p>
        </w:tc>
        <w:tc>
          <w:tcPr>
            <w:tcW w:w="2356" w:type="pct"/>
          </w:tcPr>
          <w:p w14:paraId="6615AD42" w14:textId="26FCA9B0" w:rsidR="00F92530" w:rsidRPr="009E6DA7" w:rsidRDefault="00907DB5" w:rsidP="00D076A9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Refer to the CIF for client-specific instructions and/or refer member to the medical provider as appropriate</w:t>
            </w:r>
          </w:p>
        </w:tc>
      </w:tr>
    </w:tbl>
    <w:p w14:paraId="197CC541" w14:textId="77777777" w:rsidR="00E76395" w:rsidRDefault="00E76395">
      <w:bookmarkStart w:id="30" w:name="_QL_Account_Balance"/>
      <w:bookmarkStart w:id="31" w:name="_QL_Disputes"/>
      <w:bookmarkStart w:id="32" w:name="_Disputes_-_QL"/>
      <w:bookmarkEnd w:id="30"/>
      <w:bookmarkEnd w:id="31"/>
      <w:bookmarkEnd w:id="32"/>
    </w:p>
    <w:bookmarkStart w:id="33" w:name="_Log_Activity"/>
    <w:bookmarkEnd w:id="33"/>
    <w:p w14:paraId="5A2CB0A7" w14:textId="77777777" w:rsidR="005574FB" w:rsidRDefault="001305E0" w:rsidP="005574FB">
      <w:pPr>
        <w:jc w:val="right"/>
        <w:rPr>
          <w:rFonts w:ascii="Verdana" w:hAnsi="Verdana"/>
        </w:rPr>
      </w:pPr>
      <w:r>
        <w:fldChar w:fldCharType="begin"/>
      </w:r>
      <w:r>
        <w:instrText xml:space="preserve"> HYPERLINK \l "_top" </w:instrText>
      </w:r>
      <w:r>
        <w:fldChar w:fldCharType="separate"/>
      </w:r>
      <w:r w:rsidR="005574FB" w:rsidRPr="00B1205D">
        <w:rPr>
          <w:rStyle w:val="Hyperlink"/>
          <w:rFonts w:ascii="Verdana" w:hAnsi="Verdana"/>
        </w:rPr>
        <w:t>Top of the Document</w:t>
      </w:r>
      <w:r>
        <w:rPr>
          <w:rStyle w:val="Hyperlink"/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574FB" w:rsidRPr="009E6DA7" w14:paraId="356D5744" w14:textId="77777777" w:rsidTr="00014A03">
        <w:tc>
          <w:tcPr>
            <w:tcW w:w="5000" w:type="pct"/>
            <w:shd w:val="clear" w:color="auto" w:fill="C0C0C0"/>
          </w:tcPr>
          <w:p w14:paraId="7F81E64F" w14:textId="77777777" w:rsidR="005574FB" w:rsidRPr="009E6DA7" w:rsidRDefault="007925C9" w:rsidP="00D66C21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34" w:name="_Toc525571372"/>
            <w:bookmarkStart w:id="35" w:name="_Toc167259689"/>
            <w:r>
              <w:rPr>
                <w:rFonts w:ascii="Verdana" w:hAnsi="Verdana"/>
                <w:i w:val="0"/>
                <w:iCs w:val="0"/>
              </w:rPr>
              <w:t xml:space="preserve">Related </w:t>
            </w:r>
            <w:r w:rsidR="005574FB">
              <w:rPr>
                <w:rFonts w:ascii="Verdana" w:hAnsi="Verdana"/>
                <w:i w:val="0"/>
                <w:iCs w:val="0"/>
              </w:rPr>
              <w:t>Document</w:t>
            </w:r>
            <w:bookmarkEnd w:id="34"/>
            <w:r>
              <w:rPr>
                <w:rFonts w:ascii="Verdana" w:hAnsi="Verdana"/>
                <w:i w:val="0"/>
                <w:iCs w:val="0"/>
              </w:rPr>
              <w:t>s</w:t>
            </w:r>
            <w:bookmarkEnd w:id="35"/>
            <w:r w:rsidR="00776103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3288D507" w14:textId="5DAF4144" w:rsidR="00014A03" w:rsidRPr="006764D4" w:rsidRDefault="006764D4" w:rsidP="178DDC97">
      <w:pPr>
        <w:rPr>
          <w:rStyle w:val="Hyperlink"/>
          <w:rFonts w:ascii="Verdana" w:hAnsi="Verdana"/>
          <w:b/>
          <w:bCs/>
        </w:rPr>
      </w:pPr>
      <w:r>
        <w:rPr>
          <w:rFonts w:ascii="Verdana" w:hAnsi="Verdana" w:cs="Verdana"/>
          <w:color w:val="0000FF"/>
          <w:u w:val="single"/>
        </w:rPr>
        <w:fldChar w:fldCharType="begin"/>
      </w:r>
      <w:r>
        <w:rPr>
          <w:rFonts w:ascii="Verdana" w:hAnsi="Verdana" w:cs="Verdana"/>
          <w:color w:val="0000FF"/>
          <w:u w:val="single"/>
        </w:rPr>
        <w:instrText>HYPERLINK "https://thesource.cvshealth.com/nuxeo/thesource/" \l "!/view?docid=c1f1028b-e42c-4b4f-a4cf-cc0b42c91606"</w:instrText>
      </w:r>
      <w:r>
        <w:rPr>
          <w:rFonts w:ascii="Verdana" w:hAnsi="Verdana" w:cs="Verdana"/>
          <w:color w:val="0000FF"/>
          <w:u w:val="single"/>
        </w:rPr>
      </w:r>
      <w:r>
        <w:rPr>
          <w:rFonts w:ascii="Verdana" w:hAnsi="Verdana" w:cs="Verdana"/>
          <w:color w:val="0000FF"/>
          <w:u w:val="single"/>
        </w:rPr>
        <w:fldChar w:fldCharType="separate"/>
      </w:r>
      <w:r w:rsidRPr="006764D4">
        <w:rPr>
          <w:rStyle w:val="Hyperlink"/>
          <w:rFonts w:ascii="Verdana" w:hAnsi="Verdana" w:cs="Verdana"/>
        </w:rPr>
        <w:t xml:space="preserve">Customer Care Abbreviations, Definitions, and Terms </w:t>
      </w:r>
      <w:r w:rsidR="001970B2" w:rsidRPr="006764D4">
        <w:rPr>
          <w:rStyle w:val="Hyperlink"/>
          <w:rFonts w:ascii="Verdana" w:hAnsi="Verdana" w:cs="Verdana"/>
        </w:rPr>
        <w:t>Index (017428)</w:t>
      </w:r>
    </w:p>
    <w:p w14:paraId="605B884D" w14:textId="187A13AE" w:rsidR="00014A03" w:rsidRDefault="006764D4" w:rsidP="00253AC8">
      <w:pPr>
        <w:rPr>
          <w:rFonts w:ascii="Verdana" w:hAnsi="Verdana"/>
          <w:b/>
          <w:color w:val="000000" w:themeColor="text1"/>
        </w:rPr>
      </w:pPr>
      <w:r>
        <w:rPr>
          <w:rFonts w:ascii="Verdana" w:hAnsi="Verdana" w:cs="Verdana"/>
          <w:color w:val="0000FF"/>
          <w:u w:val="single"/>
        </w:rPr>
        <w:fldChar w:fldCharType="end"/>
      </w:r>
    </w:p>
    <w:p w14:paraId="3EB99B34" w14:textId="3BD3E7A3" w:rsidR="00253AC8" w:rsidRDefault="00253AC8" w:rsidP="00253AC8">
      <w:pPr>
        <w:rPr>
          <w:rFonts w:ascii="Verdana" w:hAnsi="Verdana"/>
          <w:color w:val="0000FF"/>
          <w:u w:val="single"/>
        </w:rPr>
      </w:pPr>
      <w:r w:rsidRPr="00253AC8">
        <w:rPr>
          <w:rFonts w:ascii="Verdana" w:hAnsi="Verdana"/>
          <w:b/>
          <w:color w:val="000000" w:themeColor="text1"/>
        </w:rPr>
        <w:t xml:space="preserve">Parent Document:  </w:t>
      </w:r>
      <w:hyperlink r:id="rId20" w:tgtFrame="_blank" w:history="1">
        <w:r w:rsidRPr="0044606A">
          <w:rPr>
            <w:rFonts w:ascii="Verdana" w:hAnsi="Verdana"/>
            <w:color w:val="0000FF"/>
            <w:u w:val="single"/>
          </w:rPr>
          <w:t>CALL 0049 Customer Care Internal and External Call Handling</w:t>
        </w:r>
      </w:hyperlink>
    </w:p>
    <w:p w14:paraId="478FD368" w14:textId="37A2CC5A" w:rsidR="005A64DA" w:rsidRDefault="00000000" w:rsidP="005A64DA">
      <w:pPr>
        <w:jc w:val="right"/>
        <w:rPr>
          <w:rFonts w:ascii="Verdana" w:hAnsi="Verdana"/>
        </w:rPr>
      </w:pPr>
      <w:hyperlink w:anchor="_top" w:history="1">
        <w:r w:rsidR="00B1205D" w:rsidRPr="00B1205D">
          <w:rPr>
            <w:rStyle w:val="Hyperlink"/>
            <w:rFonts w:ascii="Verdana" w:hAnsi="Verdana"/>
          </w:rPr>
          <w:t>Top of the Document</w:t>
        </w:r>
      </w:hyperlink>
    </w:p>
    <w:p w14:paraId="73AE2933" w14:textId="77777777" w:rsidR="00115944" w:rsidRPr="00C247CB" w:rsidRDefault="00061AD2" w:rsidP="00C247CB">
      <w:pPr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 </w:t>
      </w:r>
    </w:p>
    <w:p w14:paraId="7B6F835C" w14:textId="07677F8E" w:rsidR="00710E68" w:rsidRPr="00C247CB" w:rsidRDefault="00710E68" w:rsidP="00C247CB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 xml:space="preserve">Not To Be Reproduced </w:t>
      </w:r>
      <w:r w:rsidR="003661E8" w:rsidRPr="00C247CB">
        <w:rPr>
          <w:rFonts w:ascii="Verdana" w:hAnsi="Verdana"/>
          <w:sz w:val="16"/>
          <w:szCs w:val="16"/>
        </w:rPr>
        <w:t>or</w:t>
      </w:r>
      <w:r w:rsidRPr="00C247CB">
        <w:rPr>
          <w:rFonts w:ascii="Verdana" w:hAnsi="Verdana"/>
          <w:sz w:val="16"/>
          <w:szCs w:val="16"/>
        </w:rPr>
        <w:t xml:space="preserve"> Disclosed to Others Without Prior Written Approval</w:t>
      </w:r>
    </w:p>
    <w:p w14:paraId="000F47C1" w14:textId="77777777" w:rsidR="005A64DA" w:rsidRPr="00C247CB" w:rsidRDefault="00710E68" w:rsidP="00C247CB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>ELEC</w:t>
      </w:r>
      <w:r w:rsidR="00AA2512">
        <w:rPr>
          <w:rFonts w:ascii="Verdana" w:hAnsi="Verdana"/>
          <w:b/>
          <w:color w:val="000000"/>
          <w:sz w:val="16"/>
          <w:szCs w:val="16"/>
        </w:rPr>
        <w:t>TRONIC DATA = OFFICIAL VERSION / PAPER COPY 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sectPr w:rsidR="005A64DA" w:rsidRPr="00C247CB" w:rsidSect="00F1152F">
      <w:footerReference w:type="even" r:id="rId21"/>
      <w:footerReference w:type="default" r:id="rId22"/>
      <w:headerReference w:type="first" r:id="rId23"/>
      <w:footerReference w:type="first" r:id="rId24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5E8E9" w14:textId="77777777" w:rsidR="000F7C1D" w:rsidRDefault="000F7C1D">
      <w:r>
        <w:separator/>
      </w:r>
    </w:p>
  </w:endnote>
  <w:endnote w:type="continuationSeparator" w:id="0">
    <w:p w14:paraId="3B358370" w14:textId="77777777" w:rsidR="000F7C1D" w:rsidRDefault="000F7C1D">
      <w:r>
        <w:continuationSeparator/>
      </w:r>
    </w:p>
  </w:endnote>
  <w:endnote w:type="continuationNotice" w:id="1">
    <w:p w14:paraId="17A016BA" w14:textId="77777777" w:rsidR="000F7C1D" w:rsidRDefault="000F7C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F792D" w14:textId="77777777" w:rsidR="000A46A4" w:rsidRDefault="000A46A4" w:rsidP="00F46B0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2E85AFD" w14:textId="77777777" w:rsidR="000A46A4" w:rsidRDefault="000A46A4" w:rsidP="000A46A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EB4D1" w14:textId="77777777" w:rsidR="000A46A4" w:rsidRDefault="000A46A4" w:rsidP="00F46B0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76103">
      <w:rPr>
        <w:rStyle w:val="PageNumber"/>
        <w:noProof/>
      </w:rPr>
      <w:t>11</w:t>
    </w:r>
    <w:r>
      <w:rPr>
        <w:rStyle w:val="PageNumber"/>
      </w:rPr>
      <w:fldChar w:fldCharType="end"/>
    </w:r>
  </w:p>
  <w:p w14:paraId="0FDBACB1" w14:textId="77777777" w:rsidR="00C476E1" w:rsidRPr="000A46A4" w:rsidRDefault="00C476E1" w:rsidP="000A46A4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D965A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41485" w14:textId="77777777" w:rsidR="000F7C1D" w:rsidRDefault="000F7C1D">
      <w:r>
        <w:separator/>
      </w:r>
    </w:p>
  </w:footnote>
  <w:footnote w:type="continuationSeparator" w:id="0">
    <w:p w14:paraId="6B2F389E" w14:textId="77777777" w:rsidR="000F7C1D" w:rsidRDefault="000F7C1D">
      <w:r>
        <w:continuationSeparator/>
      </w:r>
    </w:p>
  </w:footnote>
  <w:footnote w:type="continuationNotice" w:id="1">
    <w:p w14:paraId="318AA4FE" w14:textId="77777777" w:rsidR="000F7C1D" w:rsidRDefault="000F7C1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6AB6E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B1AFE"/>
    <w:multiLevelType w:val="hybridMultilevel"/>
    <w:tmpl w:val="D30CF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40F5"/>
    <w:multiLevelType w:val="hybridMultilevel"/>
    <w:tmpl w:val="4C6A06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C33D7F"/>
    <w:multiLevelType w:val="hybridMultilevel"/>
    <w:tmpl w:val="F62EED9E"/>
    <w:lvl w:ilvl="0" w:tplc="5DC016E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5577B"/>
    <w:multiLevelType w:val="hybridMultilevel"/>
    <w:tmpl w:val="9AB0C1C0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05B64"/>
    <w:multiLevelType w:val="multilevel"/>
    <w:tmpl w:val="6AAA9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773939"/>
    <w:multiLevelType w:val="hybridMultilevel"/>
    <w:tmpl w:val="EE9EAF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7325BC"/>
    <w:multiLevelType w:val="hybridMultilevel"/>
    <w:tmpl w:val="CDBAE35A"/>
    <w:lvl w:ilvl="0" w:tplc="7D5CD5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4125B3"/>
    <w:multiLevelType w:val="hybridMultilevel"/>
    <w:tmpl w:val="F6D025A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0B91F94"/>
    <w:multiLevelType w:val="hybridMultilevel"/>
    <w:tmpl w:val="8DC686FE"/>
    <w:lvl w:ilvl="0" w:tplc="42AAE8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C43E84"/>
    <w:multiLevelType w:val="hybridMultilevel"/>
    <w:tmpl w:val="0E80AED4"/>
    <w:lvl w:ilvl="0" w:tplc="91F021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D141448"/>
    <w:multiLevelType w:val="hybridMultilevel"/>
    <w:tmpl w:val="F0DA7436"/>
    <w:lvl w:ilvl="0" w:tplc="CA000F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4" w15:restartNumberingAfterBreak="0">
    <w:nsid w:val="6A9C36A6"/>
    <w:multiLevelType w:val="hybridMultilevel"/>
    <w:tmpl w:val="43A8F2E0"/>
    <w:lvl w:ilvl="0" w:tplc="0CF2119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875234456">
    <w:abstractNumId w:val="4"/>
  </w:num>
  <w:num w:numId="2" w16cid:durableId="2128544689">
    <w:abstractNumId w:val="6"/>
  </w:num>
  <w:num w:numId="3" w16cid:durableId="87653640">
    <w:abstractNumId w:val="13"/>
  </w:num>
  <w:num w:numId="4" w16cid:durableId="249701997">
    <w:abstractNumId w:val="3"/>
  </w:num>
  <w:num w:numId="5" w16cid:durableId="858155471">
    <w:abstractNumId w:val="9"/>
  </w:num>
  <w:num w:numId="6" w16cid:durableId="816454782">
    <w:abstractNumId w:val="7"/>
  </w:num>
  <w:num w:numId="7" w16cid:durableId="580913677">
    <w:abstractNumId w:val="10"/>
  </w:num>
  <w:num w:numId="8" w16cid:durableId="684673024">
    <w:abstractNumId w:val="12"/>
  </w:num>
  <w:num w:numId="9" w16cid:durableId="802816808">
    <w:abstractNumId w:val="14"/>
  </w:num>
  <w:num w:numId="10" w16cid:durableId="603728720">
    <w:abstractNumId w:val="1"/>
  </w:num>
  <w:num w:numId="11" w16cid:durableId="427891792">
    <w:abstractNumId w:val="5"/>
  </w:num>
  <w:num w:numId="12" w16cid:durableId="97452526">
    <w:abstractNumId w:val="11"/>
  </w:num>
  <w:num w:numId="13" w16cid:durableId="1101879478">
    <w:abstractNumId w:val="2"/>
  </w:num>
  <w:num w:numId="14" w16cid:durableId="1186560762">
    <w:abstractNumId w:val="12"/>
  </w:num>
  <w:num w:numId="15" w16cid:durableId="1100027860">
    <w:abstractNumId w:val="8"/>
  </w:num>
  <w:num w:numId="16" w16cid:durableId="737216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view w:val="web"/>
  <w:zoom w:percent="93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06BC6"/>
    <w:rsid w:val="000101B8"/>
    <w:rsid w:val="00011F18"/>
    <w:rsid w:val="00014A03"/>
    <w:rsid w:val="00015A2E"/>
    <w:rsid w:val="00021D90"/>
    <w:rsid w:val="00024F3D"/>
    <w:rsid w:val="0003092C"/>
    <w:rsid w:val="00035BED"/>
    <w:rsid w:val="00043792"/>
    <w:rsid w:val="00045A79"/>
    <w:rsid w:val="000507D3"/>
    <w:rsid w:val="00061AD2"/>
    <w:rsid w:val="000631D4"/>
    <w:rsid w:val="00072C14"/>
    <w:rsid w:val="0007620A"/>
    <w:rsid w:val="00076E13"/>
    <w:rsid w:val="000814CD"/>
    <w:rsid w:val="0008665F"/>
    <w:rsid w:val="00093437"/>
    <w:rsid w:val="00095AB5"/>
    <w:rsid w:val="00095ED2"/>
    <w:rsid w:val="000A00C1"/>
    <w:rsid w:val="000A46A4"/>
    <w:rsid w:val="000A5380"/>
    <w:rsid w:val="000A6B88"/>
    <w:rsid w:val="000B3C4C"/>
    <w:rsid w:val="000B656F"/>
    <w:rsid w:val="000B70BA"/>
    <w:rsid w:val="000B72DF"/>
    <w:rsid w:val="000D0F7F"/>
    <w:rsid w:val="000D1870"/>
    <w:rsid w:val="000D3D28"/>
    <w:rsid w:val="000D5B08"/>
    <w:rsid w:val="000D6714"/>
    <w:rsid w:val="000E33D9"/>
    <w:rsid w:val="000E77C8"/>
    <w:rsid w:val="000F0D1B"/>
    <w:rsid w:val="000F7C1D"/>
    <w:rsid w:val="001020F1"/>
    <w:rsid w:val="00115944"/>
    <w:rsid w:val="0012373E"/>
    <w:rsid w:val="001305E0"/>
    <w:rsid w:val="001360A5"/>
    <w:rsid w:val="00151A76"/>
    <w:rsid w:val="00155144"/>
    <w:rsid w:val="001560C4"/>
    <w:rsid w:val="0016273A"/>
    <w:rsid w:val="00167665"/>
    <w:rsid w:val="00176400"/>
    <w:rsid w:val="00177CBA"/>
    <w:rsid w:val="001945E5"/>
    <w:rsid w:val="001954E5"/>
    <w:rsid w:val="001970B2"/>
    <w:rsid w:val="001A194F"/>
    <w:rsid w:val="001B1897"/>
    <w:rsid w:val="001B3879"/>
    <w:rsid w:val="001C660B"/>
    <w:rsid w:val="001D531A"/>
    <w:rsid w:val="001F1218"/>
    <w:rsid w:val="001F16CB"/>
    <w:rsid w:val="00201239"/>
    <w:rsid w:val="002016B4"/>
    <w:rsid w:val="00204FBB"/>
    <w:rsid w:val="002055CF"/>
    <w:rsid w:val="00207D3A"/>
    <w:rsid w:val="002151BC"/>
    <w:rsid w:val="002152EC"/>
    <w:rsid w:val="002174AC"/>
    <w:rsid w:val="00224E06"/>
    <w:rsid w:val="0022608A"/>
    <w:rsid w:val="0024000E"/>
    <w:rsid w:val="00243EBB"/>
    <w:rsid w:val="002469ED"/>
    <w:rsid w:val="00253998"/>
    <w:rsid w:val="00253AC8"/>
    <w:rsid w:val="00255C6B"/>
    <w:rsid w:val="002562F4"/>
    <w:rsid w:val="00265D86"/>
    <w:rsid w:val="00270792"/>
    <w:rsid w:val="00272F5D"/>
    <w:rsid w:val="0027737E"/>
    <w:rsid w:val="0028215B"/>
    <w:rsid w:val="00282198"/>
    <w:rsid w:val="00291CE8"/>
    <w:rsid w:val="0029446F"/>
    <w:rsid w:val="00296127"/>
    <w:rsid w:val="00296765"/>
    <w:rsid w:val="002A4BE2"/>
    <w:rsid w:val="002B1333"/>
    <w:rsid w:val="002B136B"/>
    <w:rsid w:val="002B593E"/>
    <w:rsid w:val="002B5FF8"/>
    <w:rsid w:val="002B71BC"/>
    <w:rsid w:val="002C63AA"/>
    <w:rsid w:val="002C7C33"/>
    <w:rsid w:val="002D70C2"/>
    <w:rsid w:val="002F1F92"/>
    <w:rsid w:val="002F3BF6"/>
    <w:rsid w:val="00311FB9"/>
    <w:rsid w:val="003211E2"/>
    <w:rsid w:val="00321754"/>
    <w:rsid w:val="00323681"/>
    <w:rsid w:val="00325B5D"/>
    <w:rsid w:val="0033143E"/>
    <w:rsid w:val="00352C5D"/>
    <w:rsid w:val="0035332D"/>
    <w:rsid w:val="00356C87"/>
    <w:rsid w:val="00356D8A"/>
    <w:rsid w:val="00364DB9"/>
    <w:rsid w:val="003661E8"/>
    <w:rsid w:val="003725A1"/>
    <w:rsid w:val="00384861"/>
    <w:rsid w:val="003868A2"/>
    <w:rsid w:val="00391D71"/>
    <w:rsid w:val="0039277A"/>
    <w:rsid w:val="00392A5B"/>
    <w:rsid w:val="003A26CB"/>
    <w:rsid w:val="003A6D70"/>
    <w:rsid w:val="003B1F86"/>
    <w:rsid w:val="003B74DC"/>
    <w:rsid w:val="003C2DB0"/>
    <w:rsid w:val="003C4627"/>
    <w:rsid w:val="003E42B0"/>
    <w:rsid w:val="003E45A4"/>
    <w:rsid w:val="003E59F5"/>
    <w:rsid w:val="003E6C1A"/>
    <w:rsid w:val="00403DCD"/>
    <w:rsid w:val="00405207"/>
    <w:rsid w:val="0040640A"/>
    <w:rsid w:val="00406DB5"/>
    <w:rsid w:val="0041683F"/>
    <w:rsid w:val="00416CC6"/>
    <w:rsid w:val="00420E55"/>
    <w:rsid w:val="00421AE1"/>
    <w:rsid w:val="0042336D"/>
    <w:rsid w:val="00443F8C"/>
    <w:rsid w:val="00444A89"/>
    <w:rsid w:val="00450A1F"/>
    <w:rsid w:val="00452A22"/>
    <w:rsid w:val="00457EAE"/>
    <w:rsid w:val="00470564"/>
    <w:rsid w:val="004768BE"/>
    <w:rsid w:val="00477F73"/>
    <w:rsid w:val="0048355A"/>
    <w:rsid w:val="00496996"/>
    <w:rsid w:val="004B096B"/>
    <w:rsid w:val="004B51FB"/>
    <w:rsid w:val="004C03FD"/>
    <w:rsid w:val="004D03B2"/>
    <w:rsid w:val="004D2563"/>
    <w:rsid w:val="004D3C53"/>
    <w:rsid w:val="004D7D45"/>
    <w:rsid w:val="004E0AD5"/>
    <w:rsid w:val="004E26A6"/>
    <w:rsid w:val="004E4BC9"/>
    <w:rsid w:val="004E665D"/>
    <w:rsid w:val="004E7914"/>
    <w:rsid w:val="004F5A81"/>
    <w:rsid w:val="004F63EA"/>
    <w:rsid w:val="005026DE"/>
    <w:rsid w:val="0050282B"/>
    <w:rsid w:val="0050405A"/>
    <w:rsid w:val="00512486"/>
    <w:rsid w:val="00513BEF"/>
    <w:rsid w:val="00517CF1"/>
    <w:rsid w:val="0052465B"/>
    <w:rsid w:val="00524CDD"/>
    <w:rsid w:val="005273E8"/>
    <w:rsid w:val="0053249F"/>
    <w:rsid w:val="00540E5A"/>
    <w:rsid w:val="00541692"/>
    <w:rsid w:val="00542D9A"/>
    <w:rsid w:val="00552794"/>
    <w:rsid w:val="005574FB"/>
    <w:rsid w:val="0056128E"/>
    <w:rsid w:val="00563796"/>
    <w:rsid w:val="00566214"/>
    <w:rsid w:val="00567643"/>
    <w:rsid w:val="00567B3D"/>
    <w:rsid w:val="00575EAB"/>
    <w:rsid w:val="005819AF"/>
    <w:rsid w:val="00582E85"/>
    <w:rsid w:val="005910B5"/>
    <w:rsid w:val="005A11EC"/>
    <w:rsid w:val="005A423D"/>
    <w:rsid w:val="005A6118"/>
    <w:rsid w:val="005A64DA"/>
    <w:rsid w:val="005B12D2"/>
    <w:rsid w:val="005C1D83"/>
    <w:rsid w:val="005C74D5"/>
    <w:rsid w:val="005D4B93"/>
    <w:rsid w:val="005D4FCC"/>
    <w:rsid w:val="005E650E"/>
    <w:rsid w:val="005F3717"/>
    <w:rsid w:val="005F3BAE"/>
    <w:rsid w:val="006023DC"/>
    <w:rsid w:val="00602837"/>
    <w:rsid w:val="00604F5D"/>
    <w:rsid w:val="0060568A"/>
    <w:rsid w:val="0061218E"/>
    <w:rsid w:val="00617B0E"/>
    <w:rsid w:val="006208C3"/>
    <w:rsid w:val="00620B0B"/>
    <w:rsid w:val="00622D77"/>
    <w:rsid w:val="00627F34"/>
    <w:rsid w:val="0063354B"/>
    <w:rsid w:val="006342AC"/>
    <w:rsid w:val="00636B18"/>
    <w:rsid w:val="00637CA1"/>
    <w:rsid w:val="00644CFF"/>
    <w:rsid w:val="00647EE7"/>
    <w:rsid w:val="006528CD"/>
    <w:rsid w:val="006543F6"/>
    <w:rsid w:val="006545ED"/>
    <w:rsid w:val="0065531E"/>
    <w:rsid w:val="00661F26"/>
    <w:rsid w:val="0066785D"/>
    <w:rsid w:val="00674A16"/>
    <w:rsid w:val="006764D4"/>
    <w:rsid w:val="00691E10"/>
    <w:rsid w:val="00694771"/>
    <w:rsid w:val="006A0481"/>
    <w:rsid w:val="006A4629"/>
    <w:rsid w:val="006A7AC6"/>
    <w:rsid w:val="006C08A5"/>
    <w:rsid w:val="006C3D4D"/>
    <w:rsid w:val="006C653F"/>
    <w:rsid w:val="006D264B"/>
    <w:rsid w:val="006E0719"/>
    <w:rsid w:val="006F7DFC"/>
    <w:rsid w:val="00701C61"/>
    <w:rsid w:val="00704AF2"/>
    <w:rsid w:val="007102E3"/>
    <w:rsid w:val="00710E68"/>
    <w:rsid w:val="00711AFD"/>
    <w:rsid w:val="00714BA0"/>
    <w:rsid w:val="00717926"/>
    <w:rsid w:val="007269B6"/>
    <w:rsid w:val="00726D66"/>
    <w:rsid w:val="00726E7A"/>
    <w:rsid w:val="0073007A"/>
    <w:rsid w:val="0073294A"/>
    <w:rsid w:val="00732E52"/>
    <w:rsid w:val="00750E10"/>
    <w:rsid w:val="00752801"/>
    <w:rsid w:val="00757352"/>
    <w:rsid w:val="0076313C"/>
    <w:rsid w:val="00764CA9"/>
    <w:rsid w:val="00776103"/>
    <w:rsid w:val="00780E1C"/>
    <w:rsid w:val="00785118"/>
    <w:rsid w:val="00786BEB"/>
    <w:rsid w:val="00791355"/>
    <w:rsid w:val="007925C9"/>
    <w:rsid w:val="00797812"/>
    <w:rsid w:val="00797A4B"/>
    <w:rsid w:val="007A7312"/>
    <w:rsid w:val="007B120B"/>
    <w:rsid w:val="007B2601"/>
    <w:rsid w:val="007C77DD"/>
    <w:rsid w:val="007C7C85"/>
    <w:rsid w:val="007D597F"/>
    <w:rsid w:val="007E1E89"/>
    <w:rsid w:val="007E1F29"/>
    <w:rsid w:val="007E3EA6"/>
    <w:rsid w:val="007F4167"/>
    <w:rsid w:val="008042E1"/>
    <w:rsid w:val="00804D63"/>
    <w:rsid w:val="00806B9D"/>
    <w:rsid w:val="00806CC6"/>
    <w:rsid w:val="008124FF"/>
    <w:rsid w:val="00812777"/>
    <w:rsid w:val="008217A8"/>
    <w:rsid w:val="0084129E"/>
    <w:rsid w:val="00843390"/>
    <w:rsid w:val="00846373"/>
    <w:rsid w:val="00855A33"/>
    <w:rsid w:val="008568AE"/>
    <w:rsid w:val="00860590"/>
    <w:rsid w:val="008614E8"/>
    <w:rsid w:val="00862DCC"/>
    <w:rsid w:val="00867EDF"/>
    <w:rsid w:val="00873725"/>
    <w:rsid w:val="00875B25"/>
    <w:rsid w:val="00875F0D"/>
    <w:rsid w:val="00876CEC"/>
    <w:rsid w:val="00877414"/>
    <w:rsid w:val="00896807"/>
    <w:rsid w:val="008A03B7"/>
    <w:rsid w:val="008A1756"/>
    <w:rsid w:val="008A3B29"/>
    <w:rsid w:val="008A508F"/>
    <w:rsid w:val="008B117F"/>
    <w:rsid w:val="008B75DE"/>
    <w:rsid w:val="008C11F7"/>
    <w:rsid w:val="008C2197"/>
    <w:rsid w:val="008C3493"/>
    <w:rsid w:val="008C4949"/>
    <w:rsid w:val="008C6D25"/>
    <w:rsid w:val="008C6FF4"/>
    <w:rsid w:val="008D11A6"/>
    <w:rsid w:val="008D1F7B"/>
    <w:rsid w:val="008D2D64"/>
    <w:rsid w:val="008D697C"/>
    <w:rsid w:val="008E45E6"/>
    <w:rsid w:val="008F1213"/>
    <w:rsid w:val="008F1F42"/>
    <w:rsid w:val="008F28AE"/>
    <w:rsid w:val="00900C6C"/>
    <w:rsid w:val="00902ABF"/>
    <w:rsid w:val="00902E07"/>
    <w:rsid w:val="00907B67"/>
    <w:rsid w:val="00907DB5"/>
    <w:rsid w:val="00913C6B"/>
    <w:rsid w:val="00915690"/>
    <w:rsid w:val="0091701F"/>
    <w:rsid w:val="009174B8"/>
    <w:rsid w:val="00926AC1"/>
    <w:rsid w:val="00947783"/>
    <w:rsid w:val="0095073C"/>
    <w:rsid w:val="00952A67"/>
    <w:rsid w:val="00954FE8"/>
    <w:rsid w:val="009726E0"/>
    <w:rsid w:val="00975003"/>
    <w:rsid w:val="00990822"/>
    <w:rsid w:val="00993A15"/>
    <w:rsid w:val="009A1AFD"/>
    <w:rsid w:val="009A3DC7"/>
    <w:rsid w:val="009C4A31"/>
    <w:rsid w:val="009D651C"/>
    <w:rsid w:val="009E0C68"/>
    <w:rsid w:val="009E6DA7"/>
    <w:rsid w:val="009F3887"/>
    <w:rsid w:val="009F6FD2"/>
    <w:rsid w:val="009F78D3"/>
    <w:rsid w:val="00A0329E"/>
    <w:rsid w:val="00A17983"/>
    <w:rsid w:val="00A43C8A"/>
    <w:rsid w:val="00A4732A"/>
    <w:rsid w:val="00A70938"/>
    <w:rsid w:val="00A7166B"/>
    <w:rsid w:val="00A76E6E"/>
    <w:rsid w:val="00A779FA"/>
    <w:rsid w:val="00A83BA0"/>
    <w:rsid w:val="00A84F18"/>
    <w:rsid w:val="00A85045"/>
    <w:rsid w:val="00A89290"/>
    <w:rsid w:val="00A932A2"/>
    <w:rsid w:val="00A9337E"/>
    <w:rsid w:val="00A95588"/>
    <w:rsid w:val="00A95738"/>
    <w:rsid w:val="00A97B7D"/>
    <w:rsid w:val="00AA2512"/>
    <w:rsid w:val="00AA46C7"/>
    <w:rsid w:val="00AA4825"/>
    <w:rsid w:val="00AB33E1"/>
    <w:rsid w:val="00AB7DB0"/>
    <w:rsid w:val="00AD1646"/>
    <w:rsid w:val="00AD430A"/>
    <w:rsid w:val="00AD52AF"/>
    <w:rsid w:val="00AD617F"/>
    <w:rsid w:val="00AE3EA8"/>
    <w:rsid w:val="00AE4578"/>
    <w:rsid w:val="00AE51A2"/>
    <w:rsid w:val="00AF038B"/>
    <w:rsid w:val="00B1205D"/>
    <w:rsid w:val="00B23335"/>
    <w:rsid w:val="00B23D8A"/>
    <w:rsid w:val="00B26045"/>
    <w:rsid w:val="00B27A1B"/>
    <w:rsid w:val="00B30FB5"/>
    <w:rsid w:val="00B41AE9"/>
    <w:rsid w:val="00B43A9D"/>
    <w:rsid w:val="00B44C55"/>
    <w:rsid w:val="00B46A95"/>
    <w:rsid w:val="00B51E01"/>
    <w:rsid w:val="00B544C2"/>
    <w:rsid w:val="00B5566F"/>
    <w:rsid w:val="00B579BC"/>
    <w:rsid w:val="00B70CC4"/>
    <w:rsid w:val="00B73A13"/>
    <w:rsid w:val="00B90878"/>
    <w:rsid w:val="00BA4474"/>
    <w:rsid w:val="00BB02DE"/>
    <w:rsid w:val="00BB28D7"/>
    <w:rsid w:val="00BB371A"/>
    <w:rsid w:val="00BB7EED"/>
    <w:rsid w:val="00BD7665"/>
    <w:rsid w:val="00BD7B25"/>
    <w:rsid w:val="00BE03EC"/>
    <w:rsid w:val="00BE1AFF"/>
    <w:rsid w:val="00BF10B6"/>
    <w:rsid w:val="00BF74E9"/>
    <w:rsid w:val="00C247CB"/>
    <w:rsid w:val="00C2745E"/>
    <w:rsid w:val="00C3365A"/>
    <w:rsid w:val="00C360BD"/>
    <w:rsid w:val="00C404C7"/>
    <w:rsid w:val="00C476E1"/>
    <w:rsid w:val="00C52E77"/>
    <w:rsid w:val="00C54BF0"/>
    <w:rsid w:val="00C566B3"/>
    <w:rsid w:val="00C603DC"/>
    <w:rsid w:val="00C633A7"/>
    <w:rsid w:val="00C65249"/>
    <w:rsid w:val="00C67B32"/>
    <w:rsid w:val="00C729E0"/>
    <w:rsid w:val="00C75C83"/>
    <w:rsid w:val="00C8175F"/>
    <w:rsid w:val="00C84E12"/>
    <w:rsid w:val="00C91B34"/>
    <w:rsid w:val="00CA4343"/>
    <w:rsid w:val="00CB0C1D"/>
    <w:rsid w:val="00CB6046"/>
    <w:rsid w:val="00CC5AA2"/>
    <w:rsid w:val="00CC721A"/>
    <w:rsid w:val="00CD0963"/>
    <w:rsid w:val="00CE2807"/>
    <w:rsid w:val="00CE3D42"/>
    <w:rsid w:val="00CE53E6"/>
    <w:rsid w:val="00CF46ED"/>
    <w:rsid w:val="00CF6131"/>
    <w:rsid w:val="00D03B4E"/>
    <w:rsid w:val="00D06EAA"/>
    <w:rsid w:val="00D076A9"/>
    <w:rsid w:val="00D3205B"/>
    <w:rsid w:val="00D36733"/>
    <w:rsid w:val="00D43A60"/>
    <w:rsid w:val="00D43EE1"/>
    <w:rsid w:val="00D471B5"/>
    <w:rsid w:val="00D55581"/>
    <w:rsid w:val="00D571DB"/>
    <w:rsid w:val="00D66C21"/>
    <w:rsid w:val="00D6774D"/>
    <w:rsid w:val="00D75191"/>
    <w:rsid w:val="00D80929"/>
    <w:rsid w:val="00D85254"/>
    <w:rsid w:val="00DA2751"/>
    <w:rsid w:val="00DC4504"/>
    <w:rsid w:val="00DC4FFC"/>
    <w:rsid w:val="00DC5BC6"/>
    <w:rsid w:val="00DC6237"/>
    <w:rsid w:val="00DE1055"/>
    <w:rsid w:val="00DE15C1"/>
    <w:rsid w:val="00DE38B0"/>
    <w:rsid w:val="00DE7A39"/>
    <w:rsid w:val="00DF3A8E"/>
    <w:rsid w:val="00DF6BE4"/>
    <w:rsid w:val="00E0252A"/>
    <w:rsid w:val="00E157BC"/>
    <w:rsid w:val="00E15964"/>
    <w:rsid w:val="00E23018"/>
    <w:rsid w:val="00E50E4A"/>
    <w:rsid w:val="00E525D8"/>
    <w:rsid w:val="00E54DF9"/>
    <w:rsid w:val="00E76395"/>
    <w:rsid w:val="00E76949"/>
    <w:rsid w:val="00E805F8"/>
    <w:rsid w:val="00E91F5F"/>
    <w:rsid w:val="00E936B7"/>
    <w:rsid w:val="00E942DC"/>
    <w:rsid w:val="00EA59F4"/>
    <w:rsid w:val="00EA6082"/>
    <w:rsid w:val="00EA672D"/>
    <w:rsid w:val="00EB12DD"/>
    <w:rsid w:val="00EB153E"/>
    <w:rsid w:val="00EB476A"/>
    <w:rsid w:val="00EB57EB"/>
    <w:rsid w:val="00EB5B4A"/>
    <w:rsid w:val="00EC00F8"/>
    <w:rsid w:val="00EC4F64"/>
    <w:rsid w:val="00ED50CF"/>
    <w:rsid w:val="00EE1B76"/>
    <w:rsid w:val="00EE4D97"/>
    <w:rsid w:val="00EE683E"/>
    <w:rsid w:val="00EF26BC"/>
    <w:rsid w:val="00EF37B2"/>
    <w:rsid w:val="00F1152F"/>
    <w:rsid w:val="00F142D9"/>
    <w:rsid w:val="00F1718F"/>
    <w:rsid w:val="00F207B3"/>
    <w:rsid w:val="00F21485"/>
    <w:rsid w:val="00F25246"/>
    <w:rsid w:val="00F36A94"/>
    <w:rsid w:val="00F37228"/>
    <w:rsid w:val="00F4418F"/>
    <w:rsid w:val="00F46B07"/>
    <w:rsid w:val="00F53717"/>
    <w:rsid w:val="00F5486B"/>
    <w:rsid w:val="00F55A5A"/>
    <w:rsid w:val="00F658E0"/>
    <w:rsid w:val="00F8377F"/>
    <w:rsid w:val="00F83850"/>
    <w:rsid w:val="00F859B7"/>
    <w:rsid w:val="00F86646"/>
    <w:rsid w:val="00F9087A"/>
    <w:rsid w:val="00F91B29"/>
    <w:rsid w:val="00F92530"/>
    <w:rsid w:val="00F94346"/>
    <w:rsid w:val="00FB0C07"/>
    <w:rsid w:val="00FC1C44"/>
    <w:rsid w:val="00FD062B"/>
    <w:rsid w:val="00FD1F76"/>
    <w:rsid w:val="00FD1FC1"/>
    <w:rsid w:val="00FD3707"/>
    <w:rsid w:val="00FD7E70"/>
    <w:rsid w:val="00FE1BAE"/>
    <w:rsid w:val="00FE4F33"/>
    <w:rsid w:val="00FF11E4"/>
    <w:rsid w:val="04B11698"/>
    <w:rsid w:val="06A5482B"/>
    <w:rsid w:val="13FE44A2"/>
    <w:rsid w:val="178DDC97"/>
    <w:rsid w:val="2AE38EA9"/>
    <w:rsid w:val="3B5B3FF3"/>
    <w:rsid w:val="3CCC3460"/>
    <w:rsid w:val="3F853505"/>
    <w:rsid w:val="407017D3"/>
    <w:rsid w:val="445A14CB"/>
    <w:rsid w:val="4E242D16"/>
    <w:rsid w:val="5288A610"/>
    <w:rsid w:val="5311D73F"/>
    <w:rsid w:val="5C3FF911"/>
    <w:rsid w:val="5F8A38F6"/>
    <w:rsid w:val="6245675E"/>
    <w:rsid w:val="645B912C"/>
    <w:rsid w:val="689BFA24"/>
    <w:rsid w:val="691BF9D0"/>
    <w:rsid w:val="6E2AFAF7"/>
    <w:rsid w:val="788A102C"/>
    <w:rsid w:val="78C4B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B3B993"/>
  <w15:chartTrackingRefBased/>
  <w15:docId w15:val="{C6F2146B-39DA-4805-8DDB-6B1978465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CommentReference">
    <w:name w:val="annotation reference"/>
    <w:semiHidden/>
    <w:rsid w:val="00C91B34"/>
    <w:rPr>
      <w:sz w:val="16"/>
      <w:szCs w:val="16"/>
    </w:rPr>
  </w:style>
  <w:style w:type="paragraph" w:styleId="CommentText">
    <w:name w:val="annotation text"/>
    <w:basedOn w:val="Normal"/>
    <w:semiHidden/>
    <w:rsid w:val="00C91B3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C91B34"/>
    <w:rPr>
      <w:b/>
      <w:bCs/>
    </w:rPr>
  </w:style>
  <w:style w:type="paragraph" w:styleId="BalloonText">
    <w:name w:val="Balloon Text"/>
    <w:basedOn w:val="Normal"/>
    <w:semiHidden/>
    <w:rsid w:val="00C91B34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0A46A4"/>
  </w:style>
  <w:style w:type="paragraph" w:styleId="TOC2">
    <w:name w:val="toc 2"/>
    <w:basedOn w:val="Normal"/>
    <w:next w:val="Normal"/>
    <w:autoRedefine/>
    <w:uiPriority w:val="39"/>
    <w:rsid w:val="000101B8"/>
    <w:pPr>
      <w:tabs>
        <w:tab w:val="right" w:leader="dot" w:pos="12950"/>
      </w:tabs>
    </w:pPr>
  </w:style>
  <w:style w:type="paragraph" w:styleId="Revision">
    <w:name w:val="Revision"/>
    <w:hidden/>
    <w:uiPriority w:val="99"/>
    <w:semiHidden/>
    <w:rsid w:val="007E1E8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0283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101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4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3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1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4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policy.corp.cvscaremark.com/pnp/faces/DocRenderer?documentId=CALL-0049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B49505AAF66544B3991E59A726D05A" ma:contentTypeVersion="6" ma:contentTypeDescription="Create a new document." ma:contentTypeScope="" ma:versionID="af5ba7d2ce506513fcc0017ccedab22d">
  <xsd:schema xmlns:xsd="http://www.w3.org/2001/XMLSchema" xmlns:xs="http://www.w3.org/2001/XMLSchema" xmlns:p="http://schemas.microsoft.com/office/2006/metadata/properties" xmlns:ns2="105b4efb-3be6-4b39-a776-8a7d43adc0ca" xmlns:ns3="c3b1ca30-2eb1-4a7b-bdb7-8ec24a269858" targetNamespace="http://schemas.microsoft.com/office/2006/metadata/properties" ma:root="true" ma:fieldsID="64203a67db843b7f1d76fe9dff7cdfbc" ns2:_="" ns3:_="">
    <xsd:import namespace="105b4efb-3be6-4b39-a776-8a7d43adc0ca"/>
    <xsd:import namespace="c3b1ca30-2eb1-4a7b-bdb7-8ec24a2698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5b4efb-3be6-4b39-a776-8a7d43adc0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1ca30-2eb1-4a7b-bdb7-8ec24a26985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c3b1ca30-2eb1-4a7b-bdb7-8ec24a269858">
      <UserInfo>
        <DisplayName>Davis, David P.</DisplayName>
        <AccountId>145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09EB158-8681-4AB3-BB89-025A3D3378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CF076EB-4E10-4C37-BD65-D95C0A57CF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5b4efb-3be6-4b39-a776-8a7d43adc0ca"/>
    <ds:schemaRef ds:uri="c3b1ca30-2eb1-4a7b-bdb7-8ec24a2698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6C8B977-AE15-4E17-A396-7BDCA395C2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78F5817-BB71-4F8C-B0AE-7A24894697AA}">
  <ds:schemaRefs>
    <ds:schemaRef ds:uri="http://schemas.microsoft.com/office/2006/metadata/properties"/>
    <ds:schemaRef ds:uri="http://schemas.microsoft.com/office/infopath/2007/PartnerControls"/>
    <ds:schemaRef ds:uri="c3b1ca30-2eb1-4a7b-bdb7-8ec24a26985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17</TotalTime>
  <Pages>1</Pages>
  <Words>1170</Words>
  <Characters>6670</Characters>
  <Application>Microsoft Office Word</Application>
  <DocSecurity>2</DocSecurity>
  <Lines>55</Lines>
  <Paragraphs>15</Paragraphs>
  <ScaleCrop>false</ScaleCrop>
  <Company>Caremark RX</Company>
  <LinksUpToDate>false</LinksUpToDate>
  <CharactersWithSpaces>7825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Document- reviewed</dc:title>
  <dc:subject/>
  <dc:creator>David Davis</dc:creator>
  <cp:keywords/>
  <cp:lastModifiedBy>Brown, Heather K</cp:lastModifiedBy>
  <cp:revision>14</cp:revision>
  <cp:lastPrinted>2007-01-03T17:56:00Z</cp:lastPrinted>
  <dcterms:created xsi:type="dcterms:W3CDTF">2024-05-22T13:35:00Z</dcterms:created>
  <dcterms:modified xsi:type="dcterms:W3CDTF">2024-09-03T14:50:00Z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$Resources:CType_PWS_Document(1)</vt:lpwstr>
  </property>
  <property fmtid="{D5CDD505-2E9C-101B-9397-08002B2CF9AE}" pid="3" name="Status">
    <vt:lpwstr>Draft</vt:lpwstr>
  </property>
  <property fmtid="{D5CDD505-2E9C-101B-9397-08002B2CF9AE}" pid="4" name="MSIP_Label_67599526-06ca-49cc-9fa9-5307800a949a_Enabled">
    <vt:lpwstr>true</vt:lpwstr>
  </property>
  <property fmtid="{D5CDD505-2E9C-101B-9397-08002B2CF9AE}" pid="5" name="MSIP_Label_67599526-06ca-49cc-9fa9-5307800a949a_SetDate">
    <vt:lpwstr>2023-03-28T12:09:38Z</vt:lpwstr>
  </property>
  <property fmtid="{D5CDD505-2E9C-101B-9397-08002B2CF9AE}" pid="6" name="MSIP_Label_67599526-06ca-49cc-9fa9-5307800a949a_Method">
    <vt:lpwstr>Standard</vt:lpwstr>
  </property>
  <property fmtid="{D5CDD505-2E9C-101B-9397-08002B2CF9AE}" pid="7" name="MSIP_Label_67599526-06ca-49cc-9fa9-5307800a949a_Name">
    <vt:lpwstr>67599526-06ca-49cc-9fa9-5307800a949a</vt:lpwstr>
  </property>
  <property fmtid="{D5CDD505-2E9C-101B-9397-08002B2CF9AE}" pid="8" name="MSIP_Label_67599526-06ca-49cc-9fa9-5307800a949a_SiteId">
    <vt:lpwstr>fabb61b8-3afe-4e75-b934-a47f782b8cd7</vt:lpwstr>
  </property>
  <property fmtid="{D5CDD505-2E9C-101B-9397-08002B2CF9AE}" pid="9" name="MSIP_Label_67599526-06ca-49cc-9fa9-5307800a949a_ActionId">
    <vt:lpwstr>1115a9ca-8736-4397-bece-8f91ba046232</vt:lpwstr>
  </property>
  <property fmtid="{D5CDD505-2E9C-101B-9397-08002B2CF9AE}" pid="10" name="MSIP_Label_67599526-06ca-49cc-9fa9-5307800a949a_ContentBits">
    <vt:lpwstr>0</vt:lpwstr>
  </property>
  <property fmtid="{D5CDD505-2E9C-101B-9397-08002B2CF9AE}" pid="11" name="ContentTypeId">
    <vt:lpwstr>0x010100ACB49505AAF66544B3991E59A726D05A</vt:lpwstr>
  </property>
  <property fmtid="{D5CDD505-2E9C-101B-9397-08002B2CF9AE}" pid="12" name="MediaServiceImageTags">
    <vt:lpwstr/>
  </property>
</Properties>
</file>