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98AD4" w14:textId="5F150C6F" w:rsidR="00D9349D" w:rsidRDefault="000C4F6B" w:rsidP="00D9349D">
      <w:pPr>
        <w:pStyle w:val="Heading1"/>
        <w:rPr>
          <w:rFonts w:ascii="Verdana" w:hAnsi="Verdana"/>
          <w:sz w:val="36"/>
          <w:szCs w:val="36"/>
        </w:rPr>
      </w:pPr>
      <w:bookmarkStart w:id="0" w:name="_top"/>
      <w:bookmarkStart w:id="1" w:name="OLE_LINK7"/>
      <w:bookmarkStart w:id="2" w:name="OLE_LINK8"/>
      <w:bookmarkEnd w:id="0"/>
      <w:r>
        <w:rPr>
          <w:rFonts w:ascii="Verdana" w:hAnsi="Verdana"/>
          <w:sz w:val="36"/>
          <w:szCs w:val="36"/>
        </w:rPr>
        <w:t xml:space="preserve">Compass - </w:t>
      </w:r>
      <w:r w:rsidR="0022173D">
        <w:rPr>
          <w:rFonts w:ascii="Verdana" w:hAnsi="Verdana"/>
          <w:sz w:val="36"/>
          <w:szCs w:val="36"/>
        </w:rPr>
        <w:t>High Deductible Health Plans (HDHP)</w:t>
      </w:r>
    </w:p>
    <w:bookmarkEnd w:id="1"/>
    <w:p w14:paraId="68DFDB14" w14:textId="77777777" w:rsidR="00D9349D" w:rsidRDefault="00D9349D" w:rsidP="00E119CA">
      <w:pPr>
        <w:pStyle w:val="TOC2"/>
      </w:pPr>
    </w:p>
    <w:p w14:paraId="5CE35C0D" w14:textId="77777777" w:rsidR="00B9191D" w:rsidRDefault="0022173D">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167271816" w:history="1">
        <w:r w:rsidR="00B9191D" w:rsidRPr="00802FDC">
          <w:rPr>
            <w:rStyle w:val="Hyperlink"/>
            <w:rFonts w:ascii="Verdana" w:hAnsi="Verdana"/>
            <w:noProof/>
          </w:rPr>
          <w:t>Identifying an HDHP on a Member’s Account</w:t>
        </w:r>
      </w:hyperlink>
    </w:p>
    <w:p w14:paraId="194F3E8F" w14:textId="77777777" w:rsidR="00B9191D" w:rsidRDefault="00B9191D">
      <w:pPr>
        <w:pStyle w:val="TOC2"/>
        <w:rPr>
          <w:rFonts w:asciiTheme="minorHAnsi" w:eastAsiaTheme="minorEastAsia" w:hAnsiTheme="minorHAnsi" w:cstheme="minorBidi"/>
          <w:noProof/>
          <w:kern w:val="2"/>
          <w14:ligatures w14:val="standardContextual"/>
        </w:rPr>
      </w:pPr>
      <w:hyperlink w:anchor="_Toc167271817" w:history="1">
        <w:r w:rsidRPr="00802FDC">
          <w:rPr>
            <w:rStyle w:val="Hyperlink"/>
            <w:rFonts w:ascii="Verdana" w:hAnsi="Verdana"/>
            <w:noProof/>
          </w:rPr>
          <w:t>Determining if the Deductible Applies to the Maximum Out of Pocket (MOOP)</w:t>
        </w:r>
      </w:hyperlink>
    </w:p>
    <w:p w14:paraId="101FB3A4" w14:textId="77777777" w:rsidR="00B9191D" w:rsidRDefault="00B9191D">
      <w:pPr>
        <w:pStyle w:val="TOC2"/>
        <w:rPr>
          <w:rFonts w:asciiTheme="minorHAnsi" w:eastAsiaTheme="minorEastAsia" w:hAnsiTheme="minorHAnsi" w:cstheme="minorBidi"/>
          <w:noProof/>
          <w:kern w:val="2"/>
          <w14:ligatures w14:val="standardContextual"/>
        </w:rPr>
      </w:pPr>
      <w:hyperlink w:anchor="_Toc167271818" w:history="1">
        <w:r w:rsidRPr="00802FDC">
          <w:rPr>
            <w:rStyle w:val="Hyperlink"/>
            <w:rFonts w:ascii="Verdana" w:hAnsi="Verdana"/>
            <w:noProof/>
          </w:rPr>
          <w:t>How to Handle Member Reimbursement for Overpayments for HDHP Plans</w:t>
        </w:r>
      </w:hyperlink>
    </w:p>
    <w:p w14:paraId="2B3B5D31" w14:textId="77777777" w:rsidR="00B9191D" w:rsidRDefault="00B9191D">
      <w:pPr>
        <w:pStyle w:val="TOC2"/>
        <w:rPr>
          <w:rFonts w:asciiTheme="minorHAnsi" w:eastAsiaTheme="minorEastAsia" w:hAnsiTheme="minorHAnsi" w:cstheme="minorBidi"/>
          <w:noProof/>
          <w:kern w:val="2"/>
          <w14:ligatures w14:val="standardContextual"/>
        </w:rPr>
      </w:pPr>
      <w:hyperlink w:anchor="_Toc167271819" w:history="1">
        <w:r w:rsidRPr="00802FDC">
          <w:rPr>
            <w:rStyle w:val="Hyperlink"/>
            <w:rFonts w:ascii="Verdana" w:hAnsi="Verdana"/>
            <w:noProof/>
          </w:rPr>
          <w:t>Related Documents</w:t>
        </w:r>
      </w:hyperlink>
    </w:p>
    <w:p w14:paraId="35D693A3" w14:textId="1F72E6A3" w:rsidR="00D9349D" w:rsidRPr="00A84179" w:rsidRDefault="0022173D" w:rsidP="00E119CA">
      <w:pPr>
        <w:pStyle w:val="TOC2"/>
      </w:pPr>
      <w:r>
        <w:fldChar w:fldCharType="end"/>
      </w:r>
      <w:r>
        <w:t xml:space="preserve"> </w:t>
      </w:r>
    </w:p>
    <w:p w14:paraId="5C9FE6B5" w14:textId="2DB0985C" w:rsidR="00D9349D" w:rsidRDefault="0022173D" w:rsidP="00D9349D">
      <w:pPr>
        <w:spacing w:before="120" w:after="120"/>
      </w:pPr>
      <w:bookmarkStart w:id="3" w:name="_Overview"/>
      <w:bookmarkEnd w:id="3"/>
      <w:r w:rsidRPr="005C5D67">
        <w:rPr>
          <w:rFonts w:ascii="Verdana" w:hAnsi="Verdana"/>
          <w:b/>
          <w:bCs/>
        </w:rPr>
        <w:t>Description:</w:t>
      </w:r>
      <w:r>
        <w:rPr>
          <w:rFonts w:ascii="Verdana" w:hAnsi="Verdana"/>
        </w:rPr>
        <w:t xml:space="preserve">  </w:t>
      </w:r>
      <w:bookmarkStart w:id="4" w:name="OLE_LINK6"/>
      <w:r w:rsidR="00D7156D">
        <w:rPr>
          <w:rFonts w:ascii="Verdana" w:hAnsi="Verdana"/>
        </w:rPr>
        <w:t>H</w:t>
      </w:r>
      <w:r w:rsidRPr="004C2E23">
        <w:rPr>
          <w:rFonts w:ascii="Verdana" w:hAnsi="Verdana"/>
        </w:rPr>
        <w:t>ow to identify a HDHP member</w:t>
      </w:r>
      <w:r>
        <w:rPr>
          <w:rFonts w:ascii="Verdana" w:hAnsi="Verdana"/>
        </w:rPr>
        <w:t xml:space="preserve"> and view accumulation details related to </w:t>
      </w:r>
      <w:bookmarkStart w:id="5" w:name="OLE_LINK64"/>
      <w:r>
        <w:rPr>
          <w:rFonts w:ascii="Verdana" w:hAnsi="Verdana"/>
        </w:rPr>
        <w:t xml:space="preserve">Maximum Out of Pocket </w:t>
      </w:r>
      <w:bookmarkEnd w:id="5"/>
      <w:r>
        <w:rPr>
          <w:rFonts w:ascii="Verdana" w:hAnsi="Verdana"/>
        </w:rPr>
        <w:t>(MOOP) or deductible</w:t>
      </w:r>
      <w:r w:rsidRPr="004C2E23">
        <w:rPr>
          <w:rFonts w:ascii="Verdana" w:hAnsi="Verdana"/>
        </w:rPr>
        <w:t xml:space="preserve">. </w:t>
      </w:r>
      <w:r w:rsidR="00C05FE3">
        <w:rPr>
          <w:rFonts w:ascii="Verdana" w:hAnsi="Verdana"/>
        </w:rPr>
        <w:t>(</w:t>
      </w:r>
      <w:r w:rsidRPr="005C5D67">
        <w:rPr>
          <w:rFonts w:ascii="Verdana" w:hAnsi="Verdana"/>
        </w:rPr>
        <w:t xml:space="preserve">The Deductible is </w:t>
      </w:r>
      <w:r w:rsidR="008B0A02">
        <w:rPr>
          <w:rFonts w:ascii="Verdana" w:hAnsi="Verdana"/>
        </w:rPr>
        <w:t xml:space="preserve">the first stage of the plan </w:t>
      </w:r>
      <w:r w:rsidR="00B4062F">
        <w:rPr>
          <w:rFonts w:ascii="Verdana" w:hAnsi="Verdana"/>
        </w:rPr>
        <w:t xml:space="preserve">where the </w:t>
      </w:r>
      <w:r w:rsidRPr="005C5D67">
        <w:rPr>
          <w:rFonts w:ascii="Verdana" w:hAnsi="Verdana"/>
        </w:rPr>
        <w:t>member pay</w:t>
      </w:r>
      <w:r w:rsidR="00B4062F">
        <w:rPr>
          <w:rFonts w:ascii="Verdana" w:hAnsi="Verdana"/>
        </w:rPr>
        <w:t>s</w:t>
      </w:r>
      <w:r w:rsidRPr="005C5D67">
        <w:rPr>
          <w:rFonts w:ascii="Verdana" w:hAnsi="Verdana"/>
        </w:rPr>
        <w:t xml:space="preserve"> 100% of the negotiated cost of medication until deductible is met.</w:t>
      </w:r>
      <w:r w:rsidR="00C05FE3">
        <w:rPr>
          <w:rFonts w:ascii="Verdana" w:hAnsi="Verdana"/>
        </w:rPr>
        <w:t>)</w:t>
      </w:r>
      <w:r>
        <w:rPr>
          <w:rFonts w:ascii="Verdana" w:hAnsi="Verdana"/>
        </w:rPr>
        <w:t xml:space="preserve"> </w:t>
      </w:r>
    </w:p>
    <w:bookmarkEnd w:id="4"/>
    <w:p w14:paraId="7D6284E4" w14:textId="77777777" w:rsidR="00D9349D" w:rsidRPr="00B60242" w:rsidRDefault="00D9349D" w:rsidP="00D9349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12950"/>
      </w:tblGrid>
      <w:tr w:rsidR="00FF190B" w14:paraId="26CD574E" w14:textId="77777777" w:rsidTr="00D9349D">
        <w:tc>
          <w:tcPr>
            <w:tcW w:w="5000" w:type="pct"/>
            <w:shd w:val="clear" w:color="auto" w:fill="CCCCCC"/>
          </w:tcPr>
          <w:p w14:paraId="4791288C" w14:textId="78BF26C3" w:rsidR="00D9349D" w:rsidRPr="00D051E7" w:rsidRDefault="0022173D" w:rsidP="00D9349D">
            <w:pPr>
              <w:pStyle w:val="Heading2"/>
              <w:spacing w:before="120" w:after="120"/>
              <w:rPr>
                <w:rFonts w:ascii="Verdana" w:hAnsi="Verdana"/>
                <w:i w:val="0"/>
                <w:iCs w:val="0"/>
              </w:rPr>
            </w:pPr>
            <w:bookmarkStart w:id="6" w:name="_Identifying_a_HDHP"/>
            <w:bookmarkStart w:id="7" w:name="_Identifying_an_HDHP"/>
            <w:bookmarkStart w:id="8" w:name="_Toc490636263"/>
            <w:bookmarkStart w:id="9" w:name="_Toc167271816"/>
            <w:bookmarkEnd w:id="6"/>
            <w:bookmarkEnd w:id="7"/>
            <w:r w:rsidRPr="00D051E7">
              <w:rPr>
                <w:rFonts w:ascii="Verdana" w:hAnsi="Verdana"/>
                <w:i w:val="0"/>
                <w:iCs w:val="0"/>
              </w:rPr>
              <w:t xml:space="preserve">Identifying </w:t>
            </w:r>
            <w:r>
              <w:rPr>
                <w:rFonts w:ascii="Verdana" w:hAnsi="Verdana"/>
                <w:i w:val="0"/>
                <w:iCs w:val="0"/>
              </w:rPr>
              <w:t>an</w:t>
            </w:r>
            <w:r w:rsidRPr="00D051E7">
              <w:rPr>
                <w:rFonts w:ascii="Verdana" w:hAnsi="Verdana"/>
                <w:i w:val="0"/>
                <w:iCs w:val="0"/>
              </w:rPr>
              <w:t xml:space="preserve"> HDHP</w:t>
            </w:r>
            <w:r>
              <w:rPr>
                <w:rFonts w:ascii="Verdana" w:hAnsi="Verdana"/>
                <w:i w:val="0"/>
                <w:iCs w:val="0"/>
              </w:rPr>
              <w:t xml:space="preserve"> on a Member’s Account</w:t>
            </w:r>
            <w:bookmarkEnd w:id="8"/>
            <w:bookmarkEnd w:id="9"/>
          </w:p>
        </w:tc>
      </w:tr>
    </w:tbl>
    <w:p w14:paraId="2E9B1A03" w14:textId="6B64B6BF" w:rsidR="00D9349D" w:rsidRPr="0094782C" w:rsidRDefault="0022173D" w:rsidP="00D9349D">
      <w:pPr>
        <w:spacing w:before="120" w:after="120"/>
        <w:rPr>
          <w:color w:val="000000"/>
          <w:sz w:val="20"/>
          <w:szCs w:val="20"/>
        </w:rPr>
      </w:pPr>
      <w:r>
        <w:rPr>
          <w:rFonts w:ascii="Verdana" w:hAnsi="Verdana"/>
          <w:color w:val="000000"/>
        </w:rPr>
        <w:t>To ensure that</w:t>
      </w:r>
      <w:r w:rsidR="00B92D20">
        <w:rPr>
          <w:rFonts w:ascii="Verdana" w:hAnsi="Verdana"/>
          <w:color w:val="000000"/>
        </w:rPr>
        <w:t xml:space="preserve"> member</w:t>
      </w:r>
      <w:r>
        <w:rPr>
          <w:rFonts w:ascii="Verdana" w:hAnsi="Verdana"/>
          <w:color w:val="000000"/>
        </w:rPr>
        <w:t xml:space="preserve"> PHI is protected when discussing accumulators, any information relating to family-level accumulators should be limited to High-level</w:t>
      </w:r>
      <w:r w:rsidR="00F95FA0">
        <w:rPr>
          <w:rFonts w:ascii="Verdana" w:hAnsi="Verdana"/>
          <w:color w:val="000000"/>
        </w:rPr>
        <w:t xml:space="preserve"> </w:t>
      </w:r>
      <w:r>
        <w:rPr>
          <w:rFonts w:ascii="Verdana" w:hAnsi="Verdana"/>
          <w:color w:val="000000"/>
        </w:rPr>
        <w:t>information, such as:</w:t>
      </w:r>
    </w:p>
    <w:p w14:paraId="0F41B44B" w14:textId="6EE73FC4" w:rsidR="00D9349D" w:rsidRPr="00344427" w:rsidRDefault="002F40DE">
      <w:pPr>
        <w:numPr>
          <w:ilvl w:val="0"/>
          <w:numId w:val="11"/>
        </w:numPr>
        <w:spacing w:before="120" w:after="120"/>
        <w:ind w:left="900" w:firstLine="0"/>
        <w:rPr>
          <w:color w:val="000000"/>
          <w:sz w:val="20"/>
          <w:szCs w:val="20"/>
        </w:rPr>
      </w:pPr>
      <w:r>
        <w:rPr>
          <w:rFonts w:ascii="Verdana" w:hAnsi="Verdana"/>
          <w:color w:val="000000"/>
        </w:rPr>
        <w:t>Yes or no answers to i</w:t>
      </w:r>
      <w:r w:rsidR="0022173D" w:rsidRPr="00344427">
        <w:rPr>
          <w:rFonts w:ascii="Verdana" w:hAnsi="Verdana"/>
          <w:color w:val="000000"/>
        </w:rPr>
        <w:t>f family </w:t>
      </w:r>
      <w:r w:rsidR="002305F7">
        <w:rPr>
          <w:rFonts w:ascii="Verdana" w:hAnsi="Verdana"/>
          <w:color w:val="000000"/>
        </w:rPr>
        <w:t xml:space="preserve">MOOP (Maximum </w:t>
      </w:r>
      <w:r w:rsidR="008C4775">
        <w:rPr>
          <w:rFonts w:ascii="Verdana" w:hAnsi="Verdana"/>
          <w:color w:val="000000"/>
        </w:rPr>
        <w:t>Out Of Pocket</w:t>
      </w:r>
      <w:r w:rsidR="00F95FA0">
        <w:rPr>
          <w:rFonts w:ascii="Verdana" w:hAnsi="Verdana"/>
          <w:color w:val="000000"/>
        </w:rPr>
        <w:t>)</w:t>
      </w:r>
      <w:r w:rsidR="001277A7">
        <w:rPr>
          <w:rFonts w:ascii="Verdana" w:hAnsi="Verdana"/>
          <w:color w:val="000000"/>
        </w:rPr>
        <w:t xml:space="preserve">, </w:t>
      </w:r>
      <w:r w:rsidR="001C67B0">
        <w:rPr>
          <w:rFonts w:ascii="Verdana" w:hAnsi="Verdana"/>
          <w:color w:val="000000"/>
        </w:rPr>
        <w:t>MAB (Maximum Allowable Benefit)</w:t>
      </w:r>
      <w:r w:rsidR="00D0721C">
        <w:rPr>
          <w:rFonts w:ascii="Verdana" w:hAnsi="Verdana"/>
          <w:color w:val="000000"/>
        </w:rPr>
        <w:t>, and</w:t>
      </w:r>
      <w:r w:rsidR="00350959">
        <w:rPr>
          <w:rFonts w:ascii="Verdana" w:hAnsi="Verdana"/>
          <w:color w:val="000000"/>
        </w:rPr>
        <w:t>/or</w:t>
      </w:r>
      <w:r w:rsidR="00D0721C">
        <w:rPr>
          <w:rFonts w:ascii="Verdana" w:hAnsi="Verdana"/>
          <w:color w:val="000000"/>
        </w:rPr>
        <w:t xml:space="preserve"> </w:t>
      </w:r>
      <w:r w:rsidR="00350959">
        <w:rPr>
          <w:rFonts w:ascii="Verdana" w:hAnsi="Verdana"/>
          <w:color w:val="000000"/>
        </w:rPr>
        <w:t>Deductible</w:t>
      </w:r>
      <w:r w:rsidR="0022173D" w:rsidRPr="00344427">
        <w:rPr>
          <w:rFonts w:ascii="Verdana" w:hAnsi="Verdana"/>
          <w:color w:val="000000"/>
        </w:rPr>
        <w:t> </w:t>
      </w:r>
      <w:r w:rsidR="00107D15" w:rsidRPr="00107D15">
        <w:rPr>
          <w:rFonts w:ascii="Verdana" w:hAnsi="Verdana"/>
          <w:color w:val="000000"/>
        </w:rPr>
        <w:t>threshold</w:t>
      </w:r>
      <w:r w:rsidR="00107D15">
        <w:rPr>
          <w:rFonts w:ascii="Verdana" w:hAnsi="Verdana"/>
          <w:color w:val="000000"/>
        </w:rPr>
        <w:t xml:space="preserve">s </w:t>
      </w:r>
      <w:r w:rsidR="0022173D" w:rsidRPr="00344427">
        <w:rPr>
          <w:rFonts w:ascii="Verdana" w:hAnsi="Verdana"/>
          <w:color w:val="000000"/>
        </w:rPr>
        <w:t>ha</w:t>
      </w:r>
      <w:r w:rsidR="002F3150">
        <w:rPr>
          <w:rFonts w:ascii="Verdana" w:hAnsi="Verdana"/>
          <w:color w:val="000000"/>
        </w:rPr>
        <w:t>ve</w:t>
      </w:r>
      <w:r w:rsidR="0022173D" w:rsidRPr="00344427">
        <w:rPr>
          <w:rFonts w:ascii="Verdana" w:hAnsi="Verdana"/>
          <w:color w:val="000000"/>
        </w:rPr>
        <w:t> been met. </w:t>
      </w:r>
    </w:p>
    <w:p w14:paraId="31756975" w14:textId="03252DBB" w:rsidR="00D9349D" w:rsidRPr="00344427" w:rsidRDefault="0022173D" w:rsidP="00F8142B">
      <w:pPr>
        <w:numPr>
          <w:ilvl w:val="0"/>
          <w:numId w:val="11"/>
        </w:numPr>
        <w:spacing w:before="120" w:after="120"/>
        <w:ind w:left="900" w:firstLine="0"/>
        <w:rPr>
          <w:color w:val="000000"/>
          <w:sz w:val="27"/>
          <w:szCs w:val="27"/>
        </w:rPr>
      </w:pPr>
      <w:r w:rsidRPr="00344427">
        <w:rPr>
          <w:rFonts w:ascii="Verdana" w:hAnsi="Verdana"/>
          <w:color w:val="000000"/>
        </w:rPr>
        <w:t>Total family MOOP, MAB,</w:t>
      </w:r>
      <w:r w:rsidR="00C44145">
        <w:rPr>
          <w:rFonts w:ascii="Verdana" w:hAnsi="Verdana"/>
          <w:color w:val="000000"/>
        </w:rPr>
        <w:t xml:space="preserve"> and</w:t>
      </w:r>
      <w:r w:rsidRPr="00344427">
        <w:rPr>
          <w:rFonts w:ascii="Verdana" w:hAnsi="Verdana"/>
          <w:color w:val="000000"/>
        </w:rPr>
        <w:t xml:space="preserve"> Deductible </w:t>
      </w:r>
      <w:r w:rsidR="005479FC" w:rsidRPr="005479FC">
        <w:rPr>
          <w:rFonts w:ascii="Verdana" w:hAnsi="Verdana"/>
          <w:color w:val="000000"/>
        </w:rPr>
        <w:t>threshold</w:t>
      </w:r>
      <w:r w:rsidR="005479FC">
        <w:rPr>
          <w:rFonts w:ascii="Verdana" w:hAnsi="Verdana"/>
          <w:color w:val="000000"/>
        </w:rPr>
        <w:t>s</w:t>
      </w:r>
      <w:r w:rsidR="00037868">
        <w:rPr>
          <w:rFonts w:ascii="Verdana" w:hAnsi="Verdana"/>
          <w:color w:val="000000"/>
        </w:rPr>
        <w:t>,</w:t>
      </w:r>
      <w:r w:rsidR="005479FC">
        <w:rPr>
          <w:rFonts w:ascii="Verdana" w:hAnsi="Verdana"/>
          <w:color w:val="000000"/>
        </w:rPr>
        <w:t xml:space="preserve"> </w:t>
      </w:r>
      <w:r w:rsidRPr="00344427">
        <w:rPr>
          <w:rFonts w:ascii="Verdana" w:hAnsi="Verdana"/>
          <w:color w:val="000000"/>
        </w:rPr>
        <w:t>and current amount</w:t>
      </w:r>
      <w:r w:rsidR="00D97010">
        <w:rPr>
          <w:rFonts w:ascii="Verdana" w:hAnsi="Verdana"/>
          <w:color w:val="000000"/>
        </w:rPr>
        <w:t>s</w:t>
      </w:r>
      <w:r w:rsidRPr="00344427">
        <w:rPr>
          <w:rFonts w:ascii="Verdana" w:hAnsi="Verdana"/>
          <w:color w:val="000000"/>
        </w:rPr>
        <w:t> accrued </w:t>
      </w:r>
      <w:r w:rsidR="00841071" w:rsidRPr="00344427">
        <w:rPr>
          <w:rFonts w:ascii="Verdana" w:hAnsi="Verdana"/>
          <w:color w:val="000000"/>
        </w:rPr>
        <w:t>toward</w:t>
      </w:r>
      <w:r w:rsidR="00841071">
        <w:rPr>
          <w:rFonts w:ascii="Verdana" w:hAnsi="Verdana"/>
          <w:color w:val="000000"/>
        </w:rPr>
        <w:t xml:space="preserve"> those</w:t>
      </w:r>
      <w:r w:rsidR="00350959">
        <w:rPr>
          <w:rFonts w:ascii="Verdana" w:hAnsi="Verdana"/>
          <w:color w:val="000000"/>
        </w:rPr>
        <w:t xml:space="preserve"> </w:t>
      </w:r>
      <w:r w:rsidR="00350959" w:rsidRPr="00350959">
        <w:rPr>
          <w:rFonts w:ascii="Verdana" w:hAnsi="Verdana"/>
          <w:color w:val="000000"/>
        </w:rPr>
        <w:t>threshold</w:t>
      </w:r>
      <w:r w:rsidR="00350959">
        <w:rPr>
          <w:rFonts w:ascii="Verdana" w:hAnsi="Verdana"/>
          <w:color w:val="000000"/>
        </w:rPr>
        <w:t xml:space="preserve">s. </w:t>
      </w:r>
      <w:r w:rsidRPr="00344427">
        <w:rPr>
          <w:rFonts w:ascii="Verdana" w:hAnsi="Verdana"/>
          <w:color w:val="000000"/>
        </w:rPr>
        <w:t> </w:t>
      </w:r>
    </w:p>
    <w:p w14:paraId="005B7A9C" w14:textId="77777777" w:rsidR="00D9349D" w:rsidRPr="00344427" w:rsidRDefault="0022173D" w:rsidP="00D9349D">
      <w:pPr>
        <w:spacing w:before="120" w:after="120"/>
        <w:rPr>
          <w:color w:val="000000"/>
          <w:sz w:val="27"/>
          <w:szCs w:val="27"/>
        </w:rPr>
      </w:pPr>
      <w:r>
        <w:rPr>
          <w:rFonts w:ascii="Verdana" w:hAnsi="Verdana"/>
          <w:color w:val="000000"/>
        </w:rPr>
        <w:t>Do</w:t>
      </w:r>
      <w:r w:rsidRPr="00344427">
        <w:rPr>
          <w:rFonts w:ascii="Verdana" w:hAnsi="Verdana"/>
          <w:color w:val="000000"/>
        </w:rPr>
        <w:t xml:space="preserve"> </w:t>
      </w:r>
      <w:r w:rsidRPr="00AA0495">
        <w:rPr>
          <w:rFonts w:ascii="Verdana" w:hAnsi="Verdana"/>
          <w:b/>
          <w:bCs/>
          <w:color w:val="000000"/>
        </w:rPr>
        <w:t>not </w:t>
      </w:r>
      <w:r w:rsidRPr="00344427">
        <w:rPr>
          <w:rFonts w:ascii="Verdana" w:hAnsi="Verdana"/>
          <w:color w:val="000000"/>
        </w:rPr>
        <w:t>release any details for individual accumulators that contribute to the family-level accumulators other than the individual’s own.  Any details that make up the amount paid towards individual accumulators includes:</w:t>
      </w:r>
    </w:p>
    <w:p w14:paraId="507B62A0" w14:textId="77777777" w:rsidR="00D9349D" w:rsidRPr="00344427" w:rsidRDefault="0022173D">
      <w:pPr>
        <w:numPr>
          <w:ilvl w:val="0"/>
          <w:numId w:val="12"/>
        </w:numPr>
        <w:spacing w:before="120" w:after="120"/>
        <w:ind w:left="916" w:firstLine="0"/>
        <w:rPr>
          <w:color w:val="000000"/>
        </w:rPr>
      </w:pPr>
      <w:r w:rsidRPr="00344427">
        <w:rPr>
          <w:rFonts w:ascii="Verdana" w:hAnsi="Verdana"/>
          <w:color w:val="000000"/>
        </w:rPr>
        <w:t>Date of service</w:t>
      </w:r>
    </w:p>
    <w:p w14:paraId="2883778F" w14:textId="77777777" w:rsidR="00D9349D" w:rsidRPr="00344427" w:rsidRDefault="0022173D">
      <w:pPr>
        <w:numPr>
          <w:ilvl w:val="0"/>
          <w:numId w:val="12"/>
        </w:numPr>
        <w:spacing w:before="120" w:after="120"/>
        <w:ind w:left="916" w:firstLine="0"/>
        <w:rPr>
          <w:color w:val="000000"/>
        </w:rPr>
      </w:pPr>
      <w:r w:rsidRPr="00344427">
        <w:rPr>
          <w:rFonts w:ascii="Verdana" w:hAnsi="Verdana"/>
          <w:color w:val="000000"/>
        </w:rPr>
        <w:t>Rx number</w:t>
      </w:r>
    </w:p>
    <w:p w14:paraId="568E6C3C" w14:textId="77777777" w:rsidR="00D9349D" w:rsidRPr="00344427" w:rsidRDefault="0022173D">
      <w:pPr>
        <w:numPr>
          <w:ilvl w:val="0"/>
          <w:numId w:val="12"/>
        </w:numPr>
        <w:spacing w:before="120" w:after="120"/>
        <w:ind w:left="916" w:firstLine="0"/>
        <w:rPr>
          <w:color w:val="000000"/>
        </w:rPr>
      </w:pPr>
      <w:r w:rsidRPr="00344427">
        <w:rPr>
          <w:rFonts w:ascii="Verdana" w:hAnsi="Verdana"/>
          <w:color w:val="000000"/>
        </w:rPr>
        <w:t>MOOP</w:t>
      </w:r>
    </w:p>
    <w:p w14:paraId="30DB17FC" w14:textId="77777777" w:rsidR="00D9349D" w:rsidRPr="00344427" w:rsidRDefault="0022173D">
      <w:pPr>
        <w:numPr>
          <w:ilvl w:val="0"/>
          <w:numId w:val="12"/>
        </w:numPr>
        <w:spacing w:before="120" w:after="120"/>
        <w:ind w:left="916" w:firstLine="0"/>
        <w:rPr>
          <w:color w:val="000000"/>
        </w:rPr>
      </w:pPr>
      <w:r w:rsidRPr="00344427">
        <w:rPr>
          <w:rFonts w:ascii="Verdana" w:hAnsi="Verdana"/>
          <w:color w:val="000000"/>
        </w:rPr>
        <w:t>MAB </w:t>
      </w:r>
    </w:p>
    <w:p w14:paraId="6033DE62" w14:textId="77777777" w:rsidR="00D9349D" w:rsidRPr="00344427" w:rsidRDefault="0022173D">
      <w:pPr>
        <w:numPr>
          <w:ilvl w:val="0"/>
          <w:numId w:val="12"/>
        </w:numPr>
        <w:spacing w:before="120" w:after="120"/>
        <w:ind w:left="916" w:firstLine="0"/>
        <w:rPr>
          <w:color w:val="000000"/>
        </w:rPr>
      </w:pPr>
      <w:r w:rsidRPr="00344427">
        <w:rPr>
          <w:rFonts w:ascii="Verdana" w:hAnsi="Verdana"/>
          <w:color w:val="000000"/>
        </w:rPr>
        <w:t>Deductible amount, etc</w:t>
      </w:r>
      <w:r>
        <w:rPr>
          <w:rFonts w:ascii="Verdana" w:hAnsi="Verdana"/>
          <w:color w:val="000000"/>
        </w:rPr>
        <w:t>etera</w:t>
      </w:r>
    </w:p>
    <w:p w14:paraId="40E74C83" w14:textId="77777777" w:rsidR="00D9349D" w:rsidRDefault="00D9349D" w:rsidP="00D9349D">
      <w:pPr>
        <w:spacing w:before="120" w:after="120"/>
        <w:rPr>
          <w:rFonts w:ascii="Verdana" w:hAnsi="Verdana"/>
        </w:rPr>
      </w:pPr>
    </w:p>
    <w:p w14:paraId="046F218C" w14:textId="6A1200B3" w:rsidR="00D9349D" w:rsidRDefault="00000000" w:rsidP="008139AC">
      <w:pPr>
        <w:spacing w:before="120" w:after="120"/>
        <w:rPr>
          <w:rFonts w:ascii="Verdana" w:hAnsi="Verdana"/>
        </w:rPr>
      </w:pPr>
      <w:r>
        <w:pict w14:anchorId="1DB69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8.6pt;height:16.2pt;visibility:visible">
            <v:imagedata r:id="rId11" o:title=""/>
          </v:shape>
        </w:pict>
      </w:r>
      <w:r w:rsidR="0022173D">
        <w:rPr>
          <w:rFonts w:ascii="Verdana" w:hAnsi="Verdana"/>
        </w:rPr>
        <w:t xml:space="preserve"> In some cases, the High Deductible Health Plans (HDHP) have a preventative drug list, which medications on that list would bypass deductible and apply to MOOP.  Refer to </w:t>
      </w:r>
      <w:bookmarkStart w:id="10" w:name="OLE_LINK1"/>
      <w:r w:rsidR="0022173D">
        <w:fldChar w:fldCharType="begin"/>
      </w:r>
      <w:r w:rsidR="0022173D">
        <w:instrText xml:space="preserve"> HYPERLINK https://www.caremark.com/portal/asset/preventive_dl.pdf \t "_blank"</w:instrText>
      </w:r>
      <w:r w:rsidR="0022173D">
        <w:fldChar w:fldCharType="separate"/>
      </w:r>
      <w:r w:rsidR="0022173D">
        <w:rPr>
          <w:rStyle w:val="Hyperlink"/>
          <w:rFonts w:ascii="Verdana" w:hAnsi="Verdana"/>
        </w:rPr>
        <w:t>HDHP/HSA Preventive Drug List</w:t>
      </w:r>
      <w:r w:rsidR="0022173D">
        <w:fldChar w:fldCharType="end"/>
      </w:r>
      <w:bookmarkEnd w:id="10"/>
      <w:r w:rsidR="0022173D">
        <w:t>.</w:t>
      </w:r>
      <w:r w:rsidR="0022173D">
        <w:rPr>
          <w:rFonts w:ascii="Helvetica" w:hAnsi="Helvetica" w:cs="Helvetica"/>
          <w:b/>
          <w:bCs/>
          <w:color w:val="000000"/>
        </w:rPr>
        <w:t xml:space="preserve"> </w:t>
      </w:r>
    </w:p>
    <w:p w14:paraId="1CDBD809" w14:textId="362FE355" w:rsidR="003E71A1" w:rsidRDefault="003E71A1" w:rsidP="008139AC">
      <w:pPr>
        <w:spacing w:before="120" w:after="120"/>
        <w:jc w:val="right"/>
        <w:rPr>
          <w:color w:val="000000"/>
          <w:sz w:val="27"/>
          <w:szCs w:val="27"/>
        </w:rPr>
      </w:pPr>
      <w:hyperlink r:id="rId12" w:anchor="_top" w:history="1">
        <w:r>
          <w:rPr>
            <w:rFonts w:ascii="Verdana" w:hAnsi="Verdana"/>
            <w:color w:val="0000FF"/>
            <w:u w:val="single"/>
          </w:rPr>
          <w:br/>
        </w:r>
      </w:hyperlink>
    </w:p>
    <w:p w14:paraId="03A0A939" w14:textId="5383ACB9" w:rsidR="003E71A1" w:rsidRPr="00837D7A" w:rsidRDefault="00837D7A" w:rsidP="008139AC">
      <w:pPr>
        <w:spacing w:before="120" w:after="120"/>
        <w:rPr>
          <w:rFonts w:ascii="Verdana" w:hAnsi="Verdana"/>
          <w:color w:val="000000"/>
        </w:rPr>
      </w:pPr>
      <w:bookmarkStart w:id="11" w:name="_Accumulators_Screen_in"/>
      <w:bookmarkStart w:id="12" w:name="_Viewing_Accumulations_in"/>
      <w:bookmarkStart w:id="13" w:name="_Toc119671221"/>
      <w:bookmarkEnd w:id="11"/>
      <w:bookmarkEnd w:id="12"/>
      <w:bookmarkEnd w:id="13"/>
      <w:r w:rsidRPr="00837D7A">
        <w:rPr>
          <w:rFonts w:ascii="Verdana" w:hAnsi="Verdana"/>
          <w:color w:val="000000"/>
        </w:rPr>
        <w:t>Perform the following steps:</w:t>
      </w:r>
    </w:p>
    <w:tbl>
      <w:tblPr>
        <w:tblW w:w="5000" w:type="pct"/>
        <w:tblCellMar>
          <w:left w:w="0" w:type="dxa"/>
          <w:right w:w="0" w:type="dxa"/>
        </w:tblCellMar>
        <w:tblLook w:val="04A0" w:firstRow="1" w:lastRow="0" w:firstColumn="1" w:lastColumn="0" w:noHBand="0" w:noVBand="1"/>
      </w:tblPr>
      <w:tblGrid>
        <w:gridCol w:w="668"/>
        <w:gridCol w:w="2260"/>
        <w:gridCol w:w="10016"/>
      </w:tblGrid>
      <w:tr w:rsidR="00037868" w14:paraId="25235B2B" w14:textId="77777777" w:rsidTr="00B9191D">
        <w:tc>
          <w:tcPr>
            <w:tcW w:w="369"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4588AA27" w14:textId="77777777" w:rsidR="003E71A1" w:rsidRDefault="003E71A1" w:rsidP="008139AC">
            <w:pPr>
              <w:spacing w:before="120" w:after="120"/>
              <w:jc w:val="center"/>
            </w:pPr>
            <w:bookmarkStart w:id="14" w:name="_Hlk136283261"/>
            <w:bookmarkStart w:id="15" w:name="_Hlk136283251"/>
            <w:bookmarkEnd w:id="14"/>
            <w:r>
              <w:rPr>
                <w:rFonts w:ascii="Verdana" w:hAnsi="Verdana"/>
                <w:b/>
                <w:bCs/>
              </w:rPr>
              <w:t>Step</w:t>
            </w:r>
            <w:bookmarkEnd w:id="15"/>
          </w:p>
        </w:tc>
        <w:tc>
          <w:tcPr>
            <w:tcW w:w="4631" w:type="pct"/>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26F467B8" w14:textId="77777777" w:rsidR="003E71A1" w:rsidRDefault="003E71A1" w:rsidP="008139AC">
            <w:pPr>
              <w:spacing w:before="120" w:after="120"/>
              <w:jc w:val="center"/>
            </w:pPr>
            <w:r>
              <w:rPr>
                <w:rFonts w:ascii="Verdana" w:hAnsi="Verdana"/>
                <w:b/>
                <w:bCs/>
              </w:rPr>
              <w:t>Action</w:t>
            </w:r>
          </w:p>
        </w:tc>
      </w:tr>
      <w:tr w:rsidR="00037868" w14:paraId="421C4AB7" w14:textId="77777777" w:rsidTr="00B9191D">
        <w:tc>
          <w:tcPr>
            <w:tcW w:w="36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7CB4660" w14:textId="77777777" w:rsidR="003E71A1" w:rsidRDefault="003E71A1" w:rsidP="008139AC">
            <w:pPr>
              <w:spacing w:before="120" w:after="120"/>
              <w:jc w:val="center"/>
            </w:pPr>
            <w:r>
              <w:rPr>
                <w:rFonts w:ascii="Verdana" w:hAnsi="Verdana"/>
                <w:b/>
                <w:bCs/>
              </w:rPr>
              <w:t>1</w:t>
            </w:r>
          </w:p>
        </w:tc>
        <w:tc>
          <w:tcPr>
            <w:tcW w:w="46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C9D9D1" w14:textId="0D3A6387" w:rsidR="003E71A1" w:rsidRDefault="003E71A1" w:rsidP="008139AC">
            <w:pPr>
              <w:spacing w:before="120" w:after="120"/>
              <w:rPr>
                <w:rFonts w:ascii="Verdana" w:hAnsi="Verdana"/>
              </w:rPr>
            </w:pPr>
            <w:r>
              <w:rPr>
                <w:rFonts w:ascii="Verdana" w:hAnsi="Verdana"/>
              </w:rPr>
              <w:t>Locate and click the </w:t>
            </w:r>
            <w:r>
              <w:rPr>
                <w:rFonts w:ascii="Verdana" w:hAnsi="Verdana"/>
                <w:b/>
                <w:bCs/>
              </w:rPr>
              <w:t>Accumulations</w:t>
            </w:r>
            <w:r>
              <w:rPr>
                <w:rFonts w:ascii="Verdana" w:hAnsi="Verdana"/>
              </w:rPr>
              <w:t> link from the </w:t>
            </w:r>
            <w:r>
              <w:rPr>
                <w:rFonts w:ascii="Verdana" w:hAnsi="Verdana"/>
                <w:b/>
                <w:bCs/>
              </w:rPr>
              <w:t>Quick Actions </w:t>
            </w:r>
            <w:r>
              <w:rPr>
                <w:rFonts w:ascii="Verdana" w:hAnsi="Verdana"/>
              </w:rPr>
              <w:t>panel on the Member Snapshot Landing Page.</w:t>
            </w:r>
          </w:p>
          <w:p w14:paraId="6AA6722D" w14:textId="77777777" w:rsidR="00B9191D" w:rsidRDefault="00B9191D" w:rsidP="008139AC">
            <w:pPr>
              <w:spacing w:before="120" w:after="120"/>
            </w:pPr>
          </w:p>
          <w:p w14:paraId="6CB5F633" w14:textId="39E7C602" w:rsidR="003E71A1" w:rsidRDefault="000C42FD" w:rsidP="008139AC">
            <w:pPr>
              <w:spacing w:before="120" w:after="120"/>
              <w:jc w:val="center"/>
            </w:pPr>
            <w:r>
              <w:rPr>
                <w:noProof/>
              </w:rPr>
              <w:drawing>
                <wp:inline distT="0" distB="0" distL="0" distR="0" wp14:anchorId="0BA41505" wp14:editId="71D5FE16">
                  <wp:extent cx="8229600" cy="2995805"/>
                  <wp:effectExtent l="19050" t="19050" r="1905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2995805"/>
                          </a:xfrm>
                          <a:prstGeom prst="rect">
                            <a:avLst/>
                          </a:prstGeom>
                          <a:ln>
                            <a:solidFill>
                              <a:schemeClr val="tx1"/>
                            </a:solidFill>
                          </a:ln>
                        </pic:spPr>
                      </pic:pic>
                    </a:graphicData>
                  </a:graphic>
                </wp:inline>
              </w:drawing>
            </w:r>
          </w:p>
          <w:p w14:paraId="1BB2E31D" w14:textId="77777777" w:rsidR="003E71A1" w:rsidRDefault="003E71A1" w:rsidP="008139AC">
            <w:pPr>
              <w:spacing w:before="120" w:after="120"/>
            </w:pPr>
            <w:r>
              <w:rPr>
                <w:rFonts w:ascii="Verdana" w:hAnsi="Verdana"/>
                <w:b/>
                <w:bCs/>
              </w:rPr>
              <w:t> </w:t>
            </w:r>
          </w:p>
          <w:p w14:paraId="38BF8842" w14:textId="77777777" w:rsidR="003E71A1" w:rsidRDefault="003E71A1" w:rsidP="008139AC">
            <w:pPr>
              <w:spacing w:before="120" w:after="120"/>
              <w:jc w:val="center"/>
            </w:pPr>
            <w:r>
              <w:t> </w:t>
            </w:r>
          </w:p>
          <w:p w14:paraId="26DB12B6" w14:textId="77777777" w:rsidR="003E71A1" w:rsidRDefault="003E71A1" w:rsidP="008139AC">
            <w:pPr>
              <w:spacing w:before="120" w:after="120"/>
            </w:pPr>
            <w:r>
              <w:t> </w:t>
            </w:r>
          </w:p>
          <w:p w14:paraId="1DDD2246" w14:textId="3AA2B22E" w:rsidR="003E71A1" w:rsidRDefault="003E71A1" w:rsidP="008139AC">
            <w:pPr>
              <w:spacing w:before="120" w:after="120"/>
              <w:rPr>
                <w:rFonts w:ascii="Verdana" w:hAnsi="Verdana"/>
              </w:rPr>
            </w:pPr>
            <w:r>
              <w:rPr>
                <w:rFonts w:ascii="Verdana" w:hAnsi="Verdana"/>
                <w:b/>
                <w:bCs/>
              </w:rPr>
              <w:t>Result: </w:t>
            </w:r>
            <w:r w:rsidR="003F61F5">
              <w:rPr>
                <w:rFonts w:ascii="Verdana" w:hAnsi="Verdana"/>
                <w:b/>
                <w:bCs/>
              </w:rPr>
              <w:t xml:space="preserve"> </w:t>
            </w:r>
            <w:r w:rsidR="003F61F5" w:rsidRPr="003F61F5">
              <w:rPr>
                <w:rFonts w:ascii="Verdana" w:hAnsi="Verdana"/>
              </w:rPr>
              <w:t xml:space="preserve">The </w:t>
            </w:r>
            <w:r>
              <w:rPr>
                <w:rFonts w:ascii="Verdana" w:hAnsi="Verdana"/>
                <w:b/>
                <w:bCs/>
              </w:rPr>
              <w:t>Accumulations </w:t>
            </w:r>
            <w:r w:rsidR="003F61F5" w:rsidRPr="003F61F5">
              <w:rPr>
                <w:rFonts w:ascii="Verdana" w:hAnsi="Verdana"/>
              </w:rPr>
              <w:t xml:space="preserve">tab </w:t>
            </w:r>
            <w:r w:rsidRPr="003F61F5">
              <w:rPr>
                <w:rFonts w:ascii="Verdana" w:hAnsi="Verdana"/>
              </w:rPr>
              <w:t>d</w:t>
            </w:r>
            <w:r>
              <w:rPr>
                <w:rFonts w:ascii="Verdana" w:hAnsi="Verdana"/>
              </w:rPr>
              <w:t>isplay</w:t>
            </w:r>
            <w:r w:rsidR="003F61F5">
              <w:rPr>
                <w:rFonts w:ascii="Verdana" w:hAnsi="Verdana"/>
              </w:rPr>
              <w:t>s.</w:t>
            </w:r>
          </w:p>
          <w:p w14:paraId="06C9103A" w14:textId="77777777" w:rsidR="000C42FD" w:rsidRDefault="000C42FD" w:rsidP="008139AC">
            <w:pPr>
              <w:spacing w:before="120" w:after="120"/>
            </w:pPr>
          </w:p>
          <w:p w14:paraId="4778874F" w14:textId="67CC75B2" w:rsidR="003E71A1" w:rsidRDefault="000C42FD" w:rsidP="008139AC">
            <w:pPr>
              <w:spacing w:before="120" w:after="120"/>
              <w:jc w:val="center"/>
            </w:pPr>
            <w:r>
              <w:rPr>
                <w:noProof/>
              </w:rPr>
              <w:drawing>
                <wp:inline distT="0" distB="0" distL="0" distR="0" wp14:anchorId="29CC2328" wp14:editId="145C2C0F">
                  <wp:extent cx="9944530" cy="3246755"/>
                  <wp:effectExtent l="19050" t="19050" r="1905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63876" cy="3253071"/>
                          </a:xfrm>
                          <a:prstGeom prst="rect">
                            <a:avLst/>
                          </a:prstGeom>
                          <a:ln>
                            <a:solidFill>
                              <a:schemeClr val="tx1"/>
                            </a:solidFill>
                          </a:ln>
                        </pic:spPr>
                      </pic:pic>
                    </a:graphicData>
                  </a:graphic>
                </wp:inline>
              </w:drawing>
            </w:r>
          </w:p>
          <w:p w14:paraId="75EBBE28" w14:textId="77777777" w:rsidR="003E71A1" w:rsidRDefault="003E71A1" w:rsidP="008139AC">
            <w:pPr>
              <w:spacing w:before="120" w:after="120"/>
              <w:jc w:val="center"/>
            </w:pPr>
            <w:r>
              <w:rPr>
                <w:rFonts w:ascii="Verdana" w:hAnsi="Verdana"/>
              </w:rPr>
              <w:t> </w:t>
            </w:r>
          </w:p>
        </w:tc>
      </w:tr>
      <w:tr w:rsidR="00037868" w14:paraId="3AD7D35C" w14:textId="77777777" w:rsidTr="00B9191D">
        <w:tc>
          <w:tcPr>
            <w:tcW w:w="36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6F6287A" w14:textId="77777777" w:rsidR="003E71A1" w:rsidRDefault="003E71A1" w:rsidP="008139AC">
            <w:pPr>
              <w:spacing w:before="120" w:after="120"/>
              <w:jc w:val="center"/>
            </w:pPr>
            <w:r>
              <w:rPr>
                <w:rFonts w:ascii="Verdana" w:hAnsi="Verdana"/>
                <w:b/>
                <w:bCs/>
              </w:rPr>
              <w:t>2</w:t>
            </w:r>
          </w:p>
        </w:tc>
        <w:tc>
          <w:tcPr>
            <w:tcW w:w="46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87CD19C" w14:textId="1408FB8D" w:rsidR="003E71A1" w:rsidRDefault="003E71A1" w:rsidP="008139AC">
            <w:pPr>
              <w:spacing w:before="120" w:after="120"/>
              <w:rPr>
                <w:rFonts w:ascii="Verdana" w:hAnsi="Verdana"/>
              </w:rPr>
            </w:pPr>
            <w:r>
              <w:rPr>
                <w:rFonts w:ascii="Verdana" w:hAnsi="Verdana"/>
              </w:rPr>
              <w:t xml:space="preserve">Determine if the </w:t>
            </w:r>
            <w:r w:rsidR="00232250">
              <w:rPr>
                <w:rFonts w:ascii="Verdana" w:hAnsi="Verdana"/>
              </w:rPr>
              <w:t xml:space="preserve">account has </w:t>
            </w:r>
            <w:r>
              <w:rPr>
                <w:rFonts w:ascii="Verdana" w:hAnsi="Verdana"/>
              </w:rPr>
              <w:t>Member or Family accumulat</w:t>
            </w:r>
            <w:r w:rsidR="00E4030F">
              <w:rPr>
                <w:rFonts w:ascii="Verdana" w:hAnsi="Verdana"/>
              </w:rPr>
              <w:t>ion</w:t>
            </w:r>
            <w:r>
              <w:rPr>
                <w:rFonts w:ascii="Verdana" w:hAnsi="Verdana"/>
              </w:rPr>
              <w:t xml:space="preserve"> benefits:</w:t>
            </w:r>
          </w:p>
          <w:p w14:paraId="44AEBB3B" w14:textId="77777777" w:rsidR="000C42FD" w:rsidRDefault="000C42FD" w:rsidP="008139AC">
            <w:pPr>
              <w:spacing w:before="120" w:after="120"/>
            </w:pPr>
          </w:p>
          <w:p w14:paraId="637D11E0" w14:textId="5FF1D239" w:rsidR="00232250" w:rsidRDefault="00232250" w:rsidP="008139AC">
            <w:pPr>
              <w:spacing w:before="120" w:after="120"/>
              <w:jc w:val="center"/>
            </w:pPr>
            <w:r>
              <w:rPr>
                <w:noProof/>
              </w:rPr>
              <w:drawing>
                <wp:inline distT="0" distB="0" distL="0" distR="0" wp14:anchorId="5B1AC180" wp14:editId="6233F583">
                  <wp:extent cx="8823845" cy="4513580"/>
                  <wp:effectExtent l="19050" t="19050" r="15875"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30688" cy="4517081"/>
                          </a:xfrm>
                          <a:prstGeom prst="rect">
                            <a:avLst/>
                          </a:prstGeom>
                          <a:ln>
                            <a:solidFill>
                              <a:schemeClr val="tx1"/>
                            </a:solidFill>
                          </a:ln>
                        </pic:spPr>
                      </pic:pic>
                    </a:graphicData>
                  </a:graphic>
                </wp:inline>
              </w:drawing>
            </w:r>
          </w:p>
          <w:p w14:paraId="0BC9A343" w14:textId="77777777" w:rsidR="00232250" w:rsidRDefault="00232250" w:rsidP="008139AC">
            <w:pPr>
              <w:spacing w:before="120" w:after="120"/>
              <w:jc w:val="center"/>
            </w:pPr>
          </w:p>
          <w:p w14:paraId="2F6175DC" w14:textId="77777777" w:rsidR="00232250" w:rsidRDefault="00232250" w:rsidP="008139AC">
            <w:pPr>
              <w:spacing w:before="120" w:after="120"/>
              <w:jc w:val="center"/>
            </w:pPr>
          </w:p>
          <w:p w14:paraId="4C7B8C56" w14:textId="77777777" w:rsidR="000C42FD" w:rsidRDefault="000C42FD" w:rsidP="008139AC">
            <w:pPr>
              <w:spacing w:before="120" w:after="120"/>
            </w:pPr>
          </w:p>
        </w:tc>
      </w:tr>
      <w:tr w:rsidR="00614469" w14:paraId="7AE0C9D0" w14:textId="77777777" w:rsidTr="00B9191D">
        <w:tc>
          <w:tcPr>
            <w:tcW w:w="369" w:type="pct"/>
            <w:vMerge w:val="restart"/>
            <w:tcBorders>
              <w:top w:val="single" w:sz="6" w:space="0" w:color="000000"/>
              <w:left w:val="single" w:sz="6" w:space="0" w:color="000000"/>
              <w:right w:val="single" w:sz="6" w:space="0" w:color="000000"/>
            </w:tcBorders>
            <w:tcMar>
              <w:top w:w="0" w:type="dxa"/>
              <w:left w:w="101" w:type="dxa"/>
              <w:bottom w:w="0" w:type="dxa"/>
              <w:right w:w="101" w:type="dxa"/>
            </w:tcMar>
          </w:tcPr>
          <w:p w14:paraId="268DE0C9" w14:textId="1CAB199D" w:rsidR="004D1166" w:rsidRDefault="004D1166" w:rsidP="00E942C7">
            <w:pPr>
              <w:spacing w:before="120" w:after="120"/>
              <w:jc w:val="center"/>
              <w:rPr>
                <w:rFonts w:ascii="Verdana" w:hAnsi="Verdana"/>
                <w:b/>
                <w:bCs/>
              </w:rPr>
            </w:pPr>
            <w:r>
              <w:rPr>
                <w:rFonts w:ascii="Verdana" w:hAnsi="Verdana"/>
                <w:b/>
                <w:bCs/>
              </w:rPr>
              <w:t>3</w:t>
            </w:r>
          </w:p>
        </w:tc>
        <w:tc>
          <w:tcPr>
            <w:tcW w:w="46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921EFCD" w14:textId="77777777" w:rsidR="004D1166" w:rsidRDefault="004D1166" w:rsidP="00E942C7">
            <w:pPr>
              <w:spacing w:before="120" w:after="120"/>
              <w:rPr>
                <w:rFonts w:ascii="Verdana" w:hAnsi="Verdana"/>
              </w:rPr>
            </w:pPr>
            <w:r>
              <w:rPr>
                <w:rFonts w:ascii="Verdana" w:hAnsi="Verdana"/>
              </w:rPr>
              <w:t xml:space="preserve">Click the chevron next </w:t>
            </w:r>
            <w:r w:rsidRPr="004D1166">
              <w:rPr>
                <w:rFonts w:ascii="Verdana" w:hAnsi="Verdana"/>
                <w:b/>
                <w:bCs/>
              </w:rPr>
              <w:t>Summary Details</w:t>
            </w:r>
            <w:r>
              <w:rPr>
                <w:rFonts w:ascii="Verdana" w:hAnsi="Verdana"/>
              </w:rPr>
              <w:t xml:space="preserve"> and review the </w:t>
            </w:r>
            <w:r w:rsidRPr="004D1166">
              <w:rPr>
                <w:rFonts w:ascii="Verdana" w:hAnsi="Verdana"/>
                <w:b/>
                <w:bCs/>
              </w:rPr>
              <w:t>Integrated Benefits</w:t>
            </w:r>
            <w:r>
              <w:rPr>
                <w:rFonts w:ascii="Verdana" w:hAnsi="Verdana"/>
              </w:rPr>
              <w:t xml:space="preserve"> column.</w:t>
            </w:r>
          </w:p>
          <w:p w14:paraId="3C2EFA0B" w14:textId="77777777" w:rsidR="004D1166" w:rsidRDefault="004D1166" w:rsidP="00E942C7">
            <w:pPr>
              <w:spacing w:before="120" w:after="120"/>
              <w:rPr>
                <w:rFonts w:ascii="Verdana" w:hAnsi="Verdana"/>
              </w:rPr>
            </w:pPr>
          </w:p>
          <w:p w14:paraId="4FC9A6B1" w14:textId="77777777" w:rsidR="004D1166" w:rsidRDefault="004D1166" w:rsidP="00E942C7">
            <w:pPr>
              <w:spacing w:before="120" w:after="120"/>
              <w:jc w:val="center"/>
              <w:rPr>
                <w:rFonts w:ascii="Verdana" w:hAnsi="Verdana"/>
              </w:rPr>
            </w:pPr>
            <w:r>
              <w:rPr>
                <w:noProof/>
              </w:rPr>
              <w:drawing>
                <wp:inline distT="0" distB="0" distL="0" distR="0" wp14:anchorId="5CADC3A8" wp14:editId="6EC254AC">
                  <wp:extent cx="7983220" cy="3982799"/>
                  <wp:effectExtent l="19050" t="19050" r="1778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36128" cy="4009195"/>
                          </a:xfrm>
                          <a:prstGeom prst="rect">
                            <a:avLst/>
                          </a:prstGeom>
                          <a:ln>
                            <a:solidFill>
                              <a:schemeClr val="tx1"/>
                            </a:solidFill>
                          </a:ln>
                        </pic:spPr>
                      </pic:pic>
                    </a:graphicData>
                  </a:graphic>
                </wp:inline>
              </w:drawing>
            </w:r>
          </w:p>
          <w:p w14:paraId="31EB70F2" w14:textId="77777777" w:rsidR="004D1166" w:rsidRDefault="004D1166" w:rsidP="00E942C7">
            <w:pPr>
              <w:spacing w:before="120" w:after="120"/>
              <w:jc w:val="center"/>
              <w:rPr>
                <w:rFonts w:ascii="Verdana" w:hAnsi="Verdana"/>
              </w:rPr>
            </w:pPr>
          </w:p>
          <w:p w14:paraId="2BF5418F" w14:textId="73DC120F" w:rsidR="004D1166" w:rsidRDefault="004D1166" w:rsidP="00E942C7">
            <w:pPr>
              <w:spacing w:before="120" w:after="120"/>
              <w:jc w:val="center"/>
              <w:rPr>
                <w:rFonts w:ascii="Verdana" w:hAnsi="Verdana"/>
              </w:rPr>
            </w:pPr>
          </w:p>
        </w:tc>
      </w:tr>
      <w:tr w:rsidR="00614469" w14:paraId="7997B71E" w14:textId="77777777" w:rsidTr="00B9191D">
        <w:tc>
          <w:tcPr>
            <w:tcW w:w="369" w:type="pct"/>
            <w:vMerge/>
            <w:tcBorders>
              <w:left w:val="single" w:sz="6" w:space="0" w:color="000000"/>
              <w:right w:val="single" w:sz="6" w:space="0" w:color="000000"/>
            </w:tcBorders>
            <w:tcMar>
              <w:top w:w="0" w:type="dxa"/>
              <w:left w:w="101" w:type="dxa"/>
              <w:bottom w:w="0" w:type="dxa"/>
              <w:right w:w="101" w:type="dxa"/>
            </w:tcMar>
          </w:tcPr>
          <w:p w14:paraId="330935BC" w14:textId="77777777" w:rsidR="004D1166" w:rsidRDefault="004D1166">
            <w:pPr>
              <w:jc w:val="center"/>
              <w:rPr>
                <w:rFonts w:ascii="Verdana" w:hAnsi="Verdana"/>
                <w:b/>
                <w:bCs/>
              </w:rPr>
            </w:pPr>
          </w:p>
        </w:tc>
        <w:tc>
          <w:tcPr>
            <w:tcW w:w="83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5448B79E" w14:textId="520FE37A" w:rsidR="004D1166" w:rsidRPr="00664E12" w:rsidRDefault="00664E12" w:rsidP="006A21A2">
            <w:pPr>
              <w:spacing w:before="120" w:after="120"/>
              <w:jc w:val="center"/>
              <w:rPr>
                <w:rFonts w:ascii="Verdana" w:hAnsi="Verdana"/>
                <w:b/>
                <w:bCs/>
              </w:rPr>
            </w:pPr>
            <w:r w:rsidRPr="00664E12">
              <w:rPr>
                <w:rFonts w:ascii="Verdana" w:hAnsi="Verdana"/>
                <w:b/>
                <w:bCs/>
              </w:rPr>
              <w:t>If the Integrated Benefit column is…</w:t>
            </w:r>
          </w:p>
        </w:tc>
        <w:tc>
          <w:tcPr>
            <w:tcW w:w="379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35F499D" w14:textId="2B56CD60" w:rsidR="004D1166" w:rsidRPr="00664E12" w:rsidRDefault="00664E12" w:rsidP="006A21A2">
            <w:pPr>
              <w:spacing w:before="120" w:after="120"/>
              <w:jc w:val="center"/>
              <w:rPr>
                <w:rFonts w:ascii="Verdana" w:hAnsi="Verdana"/>
                <w:b/>
                <w:bCs/>
              </w:rPr>
            </w:pPr>
            <w:r w:rsidRPr="00664E12">
              <w:rPr>
                <w:rFonts w:ascii="Verdana" w:hAnsi="Verdana"/>
                <w:b/>
                <w:bCs/>
              </w:rPr>
              <w:t>Then…</w:t>
            </w:r>
          </w:p>
        </w:tc>
      </w:tr>
      <w:tr w:rsidR="00614469" w14:paraId="38DDB8AC" w14:textId="77777777" w:rsidTr="00B9191D">
        <w:tc>
          <w:tcPr>
            <w:tcW w:w="369" w:type="pct"/>
            <w:vMerge/>
            <w:tcBorders>
              <w:left w:val="single" w:sz="6" w:space="0" w:color="000000"/>
              <w:right w:val="single" w:sz="6" w:space="0" w:color="000000"/>
            </w:tcBorders>
            <w:tcMar>
              <w:top w:w="0" w:type="dxa"/>
              <w:left w:w="101" w:type="dxa"/>
              <w:bottom w:w="0" w:type="dxa"/>
              <w:right w:w="101" w:type="dxa"/>
            </w:tcMar>
          </w:tcPr>
          <w:p w14:paraId="6525C6AB" w14:textId="77777777" w:rsidR="004D1166" w:rsidRDefault="004D1166">
            <w:pPr>
              <w:jc w:val="center"/>
              <w:rPr>
                <w:rFonts w:ascii="Verdana" w:hAnsi="Verdana"/>
                <w:b/>
                <w:bCs/>
              </w:rPr>
            </w:pPr>
          </w:p>
        </w:tc>
        <w:tc>
          <w:tcPr>
            <w:tcW w:w="8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B8680A4" w14:textId="6420E48A" w:rsidR="004D1166" w:rsidRPr="00664E12" w:rsidRDefault="00664E12" w:rsidP="006A21A2">
            <w:pPr>
              <w:spacing w:before="120" w:after="120"/>
              <w:rPr>
                <w:rFonts w:ascii="Verdana" w:hAnsi="Verdana"/>
                <w:b/>
                <w:bCs/>
              </w:rPr>
            </w:pPr>
            <w:r w:rsidRPr="00664E12">
              <w:rPr>
                <w:rFonts w:ascii="Verdana" w:hAnsi="Verdana"/>
                <w:b/>
                <w:bCs/>
              </w:rPr>
              <w:t>No</w:t>
            </w:r>
          </w:p>
        </w:tc>
        <w:tc>
          <w:tcPr>
            <w:tcW w:w="3793" w:type="pct"/>
            <w:tcBorders>
              <w:top w:val="single" w:sz="6" w:space="0" w:color="000000"/>
              <w:left w:val="single" w:sz="6" w:space="0" w:color="000000"/>
              <w:bottom w:val="single" w:sz="6" w:space="0" w:color="000000"/>
              <w:right w:val="single" w:sz="6" w:space="0" w:color="000000"/>
            </w:tcBorders>
          </w:tcPr>
          <w:p w14:paraId="0B209A1B" w14:textId="77777777" w:rsidR="00664E12" w:rsidRDefault="00664E12" w:rsidP="006A21A2">
            <w:pPr>
              <w:spacing w:before="120" w:after="120"/>
              <w:ind w:left="198"/>
            </w:pPr>
            <w:r>
              <w:rPr>
                <w:rFonts w:ascii="Verdana" w:hAnsi="Verdana"/>
              </w:rPr>
              <w:t>The member does not have integrated benefits and is not part of an HDHP.  </w:t>
            </w:r>
          </w:p>
          <w:p w14:paraId="75437B4A" w14:textId="74FD7BE2" w:rsidR="004D1166" w:rsidRDefault="004D1166" w:rsidP="006A21A2">
            <w:pPr>
              <w:spacing w:before="120" w:after="120"/>
              <w:rPr>
                <w:rFonts w:ascii="Verdana" w:hAnsi="Verdana"/>
              </w:rPr>
            </w:pPr>
          </w:p>
        </w:tc>
      </w:tr>
      <w:tr w:rsidR="00614469" w14:paraId="17AEAB0C" w14:textId="77777777" w:rsidTr="00B9191D">
        <w:tc>
          <w:tcPr>
            <w:tcW w:w="369"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7253D66B" w14:textId="77777777" w:rsidR="004D1166" w:rsidRDefault="004D1166">
            <w:pPr>
              <w:jc w:val="center"/>
              <w:rPr>
                <w:rFonts w:ascii="Verdana" w:hAnsi="Verdana"/>
                <w:b/>
                <w:bCs/>
              </w:rPr>
            </w:pPr>
          </w:p>
        </w:tc>
        <w:tc>
          <w:tcPr>
            <w:tcW w:w="8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BF1E228" w14:textId="77777777" w:rsidR="003F61F5" w:rsidRDefault="00664E12" w:rsidP="006A21A2">
            <w:pPr>
              <w:spacing w:before="120" w:after="120"/>
              <w:rPr>
                <w:rFonts w:ascii="Verdana" w:hAnsi="Verdana"/>
                <w:b/>
                <w:bCs/>
              </w:rPr>
            </w:pPr>
            <w:r>
              <w:rPr>
                <w:rFonts w:ascii="Verdana" w:hAnsi="Verdana"/>
                <w:b/>
                <w:bCs/>
              </w:rPr>
              <w:t xml:space="preserve">Yes, Met </w:t>
            </w:r>
            <w:r w:rsidRPr="003F61F5">
              <w:rPr>
                <w:rFonts w:ascii="Verdana" w:hAnsi="Verdana"/>
              </w:rPr>
              <w:t>or</w:t>
            </w:r>
            <w:r>
              <w:rPr>
                <w:rFonts w:ascii="Verdana" w:hAnsi="Verdana"/>
                <w:b/>
                <w:bCs/>
              </w:rPr>
              <w:t xml:space="preserve"> </w:t>
            </w:r>
          </w:p>
          <w:p w14:paraId="6F34717C" w14:textId="380110E5" w:rsidR="004D1166" w:rsidRDefault="00664E12" w:rsidP="006A21A2">
            <w:pPr>
              <w:spacing w:before="120" w:after="120"/>
              <w:rPr>
                <w:rFonts w:ascii="Verdana" w:hAnsi="Verdana"/>
              </w:rPr>
            </w:pPr>
            <w:r>
              <w:rPr>
                <w:rFonts w:ascii="Verdana" w:hAnsi="Verdana"/>
                <w:b/>
                <w:bCs/>
              </w:rPr>
              <w:t>Yes, Not Met</w:t>
            </w:r>
          </w:p>
        </w:tc>
        <w:tc>
          <w:tcPr>
            <w:tcW w:w="3793" w:type="pct"/>
            <w:tcBorders>
              <w:top w:val="single" w:sz="6" w:space="0" w:color="000000"/>
              <w:left w:val="single" w:sz="6" w:space="0" w:color="000000"/>
              <w:bottom w:val="single" w:sz="6" w:space="0" w:color="000000"/>
              <w:right w:val="single" w:sz="6" w:space="0" w:color="000000"/>
            </w:tcBorders>
          </w:tcPr>
          <w:p w14:paraId="57976054" w14:textId="7D66A8A6" w:rsidR="00664E12" w:rsidRPr="00664E12" w:rsidRDefault="00664E12" w:rsidP="006A21A2">
            <w:pPr>
              <w:pStyle w:val="ListParagraph"/>
              <w:numPr>
                <w:ilvl w:val="0"/>
                <w:numId w:val="25"/>
              </w:numPr>
              <w:spacing w:before="120" w:after="120"/>
              <w:rPr>
                <w:sz w:val="27"/>
                <w:szCs w:val="27"/>
              </w:rPr>
            </w:pPr>
            <w:r w:rsidRPr="00664E12">
              <w:rPr>
                <w:rFonts w:ascii="Verdana" w:hAnsi="Verdana"/>
              </w:rPr>
              <w:t>The member has “integrated benefits” and is part of an HDHP</w:t>
            </w:r>
            <w:r w:rsidR="003F61F5">
              <w:rPr>
                <w:rFonts w:ascii="Verdana" w:hAnsi="Verdana"/>
              </w:rPr>
              <w:t>;</w:t>
            </w:r>
            <w:r w:rsidRPr="00664E12">
              <w:rPr>
                <w:rFonts w:ascii="Verdana" w:hAnsi="Verdana"/>
              </w:rPr>
              <w:t> therefore, medical and prescription claims accumulate together to satisfy one deductible amount.  </w:t>
            </w:r>
          </w:p>
          <w:p w14:paraId="65575D8A" w14:textId="77777777" w:rsidR="00664E12" w:rsidRPr="00664E12" w:rsidRDefault="00664E12" w:rsidP="006A21A2">
            <w:pPr>
              <w:pStyle w:val="ListParagraph"/>
              <w:numPr>
                <w:ilvl w:val="0"/>
                <w:numId w:val="25"/>
              </w:numPr>
              <w:spacing w:before="120" w:after="120"/>
              <w:rPr>
                <w:sz w:val="27"/>
                <w:szCs w:val="27"/>
              </w:rPr>
            </w:pPr>
            <w:r w:rsidRPr="00664E12">
              <w:rPr>
                <w:rFonts w:ascii="Verdana" w:hAnsi="Verdana"/>
              </w:rPr>
              <w:t>The Deductible is where member would pay 100% of the negotiated cost of medication until deductible is met.</w:t>
            </w:r>
          </w:p>
          <w:p w14:paraId="0AD8BF87" w14:textId="77777777" w:rsidR="00664E12" w:rsidRPr="00664E12" w:rsidRDefault="00664E12" w:rsidP="006A21A2">
            <w:pPr>
              <w:spacing w:before="120" w:after="120"/>
              <w:rPr>
                <w:sz w:val="27"/>
                <w:szCs w:val="27"/>
              </w:rPr>
            </w:pPr>
          </w:p>
          <w:p w14:paraId="63AC6DF8" w14:textId="77777777" w:rsidR="00664E12" w:rsidRDefault="00664E12" w:rsidP="006A21A2">
            <w:pPr>
              <w:spacing w:before="120" w:after="120"/>
              <w:ind w:left="198"/>
            </w:pPr>
            <w:r>
              <w:rPr>
                <w:rFonts w:ascii="Verdana" w:hAnsi="Verdana"/>
                <w:b/>
                <w:bCs/>
              </w:rPr>
              <w:t>Note:</w:t>
            </w:r>
            <w:r>
              <w:rPr>
                <w:rFonts w:ascii="Verdana" w:hAnsi="Verdana"/>
              </w:rPr>
              <w:t>  Some High Deductible Plans have an </w:t>
            </w:r>
            <w:hyperlink r:id="rId17" w:tgtFrame="_blank" w:history="1">
              <w:r>
                <w:rPr>
                  <w:rStyle w:val="Hyperlink"/>
                  <w:rFonts w:ascii="Verdana" w:hAnsi="Verdana"/>
                </w:rPr>
                <w:t>HDHP/HSA Preventive Drug List</w:t>
              </w:r>
            </w:hyperlink>
            <w:r>
              <w:rPr>
                <w:rFonts w:ascii="Verdana" w:hAnsi="Verdana"/>
              </w:rPr>
              <w:t> which bypasses the deductible and apply to MOOP. Review the CIF.</w:t>
            </w:r>
          </w:p>
          <w:p w14:paraId="1555CD38" w14:textId="405A9C8C" w:rsidR="004D1166" w:rsidRDefault="004D1166" w:rsidP="006A21A2">
            <w:pPr>
              <w:spacing w:before="120" w:after="120"/>
              <w:rPr>
                <w:rFonts w:ascii="Verdana" w:hAnsi="Verdana"/>
              </w:rPr>
            </w:pPr>
          </w:p>
        </w:tc>
      </w:tr>
      <w:tr w:rsidR="00614469" w14:paraId="71D547FE" w14:textId="77777777" w:rsidTr="00B9191D">
        <w:tc>
          <w:tcPr>
            <w:tcW w:w="369" w:type="pct"/>
            <w:vMerge w:val="restart"/>
            <w:tcBorders>
              <w:top w:val="single" w:sz="6" w:space="0" w:color="000000"/>
              <w:left w:val="single" w:sz="6" w:space="0" w:color="000000"/>
              <w:right w:val="single" w:sz="6" w:space="0" w:color="000000"/>
            </w:tcBorders>
            <w:tcMar>
              <w:top w:w="0" w:type="dxa"/>
              <w:left w:w="101" w:type="dxa"/>
              <w:bottom w:w="0" w:type="dxa"/>
              <w:right w:w="101" w:type="dxa"/>
            </w:tcMar>
          </w:tcPr>
          <w:p w14:paraId="69C672B1" w14:textId="55A28314" w:rsidR="005E378A" w:rsidRDefault="005E378A" w:rsidP="006A21A2">
            <w:pPr>
              <w:spacing w:before="120" w:after="120"/>
              <w:jc w:val="center"/>
              <w:rPr>
                <w:rFonts w:ascii="Verdana" w:hAnsi="Verdana"/>
                <w:b/>
                <w:bCs/>
              </w:rPr>
            </w:pPr>
            <w:r>
              <w:rPr>
                <w:rFonts w:ascii="Verdana" w:hAnsi="Verdana"/>
                <w:b/>
                <w:bCs/>
              </w:rPr>
              <w:t>4</w:t>
            </w:r>
          </w:p>
        </w:tc>
        <w:tc>
          <w:tcPr>
            <w:tcW w:w="46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D2AE662" w14:textId="4129D0E6" w:rsidR="005E378A" w:rsidRDefault="005E378A" w:rsidP="006A21A2">
            <w:pPr>
              <w:spacing w:before="120" w:after="120"/>
              <w:rPr>
                <w:rFonts w:ascii="Verdana" w:hAnsi="Verdana"/>
              </w:rPr>
            </w:pPr>
            <w:r>
              <w:rPr>
                <w:rFonts w:ascii="Verdana" w:hAnsi="Verdana"/>
              </w:rPr>
              <w:t>Determine the remaining amount needed to meet the deductible</w:t>
            </w:r>
          </w:p>
        </w:tc>
      </w:tr>
      <w:tr w:rsidR="00614469" w14:paraId="296E27A4" w14:textId="77777777" w:rsidTr="00B9191D">
        <w:tc>
          <w:tcPr>
            <w:tcW w:w="369" w:type="pct"/>
            <w:vMerge/>
            <w:tcBorders>
              <w:left w:val="single" w:sz="6" w:space="0" w:color="000000"/>
              <w:right w:val="single" w:sz="6" w:space="0" w:color="000000"/>
            </w:tcBorders>
            <w:tcMar>
              <w:top w:w="0" w:type="dxa"/>
              <w:left w:w="101" w:type="dxa"/>
              <w:bottom w:w="0" w:type="dxa"/>
              <w:right w:w="101" w:type="dxa"/>
            </w:tcMar>
          </w:tcPr>
          <w:p w14:paraId="6F3E45F5" w14:textId="77777777" w:rsidR="005E378A" w:rsidRDefault="005E378A" w:rsidP="006A21A2">
            <w:pPr>
              <w:spacing w:before="120" w:after="120"/>
              <w:jc w:val="center"/>
              <w:rPr>
                <w:rFonts w:ascii="Verdana" w:hAnsi="Verdana"/>
                <w:b/>
                <w:bCs/>
              </w:rPr>
            </w:pPr>
          </w:p>
        </w:tc>
        <w:tc>
          <w:tcPr>
            <w:tcW w:w="83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4432BDD7" w14:textId="0ED1A985" w:rsidR="005E378A" w:rsidRPr="00837D7A" w:rsidRDefault="00837D7A" w:rsidP="006A21A2">
            <w:pPr>
              <w:spacing w:before="120" w:after="120"/>
              <w:jc w:val="center"/>
              <w:rPr>
                <w:rFonts w:ascii="Verdana" w:hAnsi="Verdana"/>
                <w:b/>
                <w:bCs/>
              </w:rPr>
            </w:pPr>
            <w:r w:rsidRPr="00837D7A">
              <w:rPr>
                <w:rFonts w:ascii="Verdana" w:hAnsi="Verdana"/>
                <w:b/>
                <w:bCs/>
              </w:rPr>
              <w:t>If the deductible is…</w:t>
            </w:r>
          </w:p>
        </w:tc>
        <w:tc>
          <w:tcPr>
            <w:tcW w:w="379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30ECA28" w14:textId="089FFFF5" w:rsidR="005E378A" w:rsidRPr="00837D7A" w:rsidRDefault="00837D7A" w:rsidP="006A21A2">
            <w:pPr>
              <w:spacing w:before="120" w:after="120"/>
              <w:jc w:val="center"/>
              <w:rPr>
                <w:rFonts w:ascii="Verdana" w:hAnsi="Verdana"/>
                <w:b/>
                <w:bCs/>
              </w:rPr>
            </w:pPr>
            <w:r w:rsidRPr="00837D7A">
              <w:rPr>
                <w:rFonts w:ascii="Verdana" w:hAnsi="Verdana"/>
                <w:b/>
                <w:bCs/>
              </w:rPr>
              <w:t>Then…</w:t>
            </w:r>
          </w:p>
        </w:tc>
      </w:tr>
      <w:tr w:rsidR="00614469" w14:paraId="466FC483" w14:textId="77777777" w:rsidTr="00B9191D">
        <w:tc>
          <w:tcPr>
            <w:tcW w:w="369" w:type="pct"/>
            <w:vMerge/>
            <w:tcBorders>
              <w:left w:val="single" w:sz="6" w:space="0" w:color="000000"/>
              <w:right w:val="single" w:sz="6" w:space="0" w:color="000000"/>
            </w:tcBorders>
            <w:tcMar>
              <w:top w:w="0" w:type="dxa"/>
              <w:left w:w="101" w:type="dxa"/>
              <w:bottom w:w="0" w:type="dxa"/>
              <w:right w:w="101" w:type="dxa"/>
            </w:tcMar>
          </w:tcPr>
          <w:p w14:paraId="1AB544C5" w14:textId="77777777" w:rsidR="00837D7A" w:rsidRDefault="00837D7A" w:rsidP="006A21A2">
            <w:pPr>
              <w:spacing w:before="120" w:after="120"/>
              <w:jc w:val="center"/>
              <w:rPr>
                <w:rFonts w:ascii="Verdana" w:hAnsi="Verdana"/>
                <w:b/>
                <w:bCs/>
              </w:rPr>
            </w:pPr>
          </w:p>
        </w:tc>
        <w:tc>
          <w:tcPr>
            <w:tcW w:w="8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D056F33" w14:textId="4FDB56CE" w:rsidR="00837D7A" w:rsidRDefault="00837D7A" w:rsidP="006A21A2">
            <w:pPr>
              <w:spacing w:before="120" w:after="120"/>
              <w:rPr>
                <w:rFonts w:ascii="Verdana" w:hAnsi="Verdana"/>
              </w:rPr>
            </w:pPr>
            <w:r>
              <w:rPr>
                <w:rFonts w:ascii="Verdana" w:hAnsi="Verdana"/>
              </w:rPr>
              <w:t xml:space="preserve">Met </w:t>
            </w:r>
          </w:p>
        </w:tc>
        <w:tc>
          <w:tcPr>
            <w:tcW w:w="3793" w:type="pct"/>
            <w:tcBorders>
              <w:top w:val="single" w:sz="6" w:space="0" w:color="000000"/>
              <w:left w:val="single" w:sz="6" w:space="0" w:color="000000"/>
              <w:bottom w:val="single" w:sz="6" w:space="0" w:color="000000"/>
              <w:right w:val="single" w:sz="6" w:space="0" w:color="000000"/>
            </w:tcBorders>
          </w:tcPr>
          <w:p w14:paraId="54CFA207" w14:textId="77777777" w:rsidR="00837D7A" w:rsidRPr="00837D7A" w:rsidRDefault="00837D7A" w:rsidP="006A21A2">
            <w:pPr>
              <w:spacing w:before="120" w:after="120"/>
              <w:ind w:left="198"/>
              <w:rPr>
                <w:color w:val="000000"/>
                <w:sz w:val="27"/>
                <w:szCs w:val="27"/>
              </w:rPr>
            </w:pPr>
            <w:r w:rsidRPr="00837D7A">
              <w:rPr>
                <w:rFonts w:ascii="Verdana" w:hAnsi="Verdana"/>
                <w:color w:val="000000"/>
              </w:rPr>
              <w:t>The member has “integrated benefits” and they (Individual or Family) have met their deductible amount for the benefit year (count type displays as met) and the member is responsible for paying its co-insurance amount. </w:t>
            </w:r>
          </w:p>
          <w:p w14:paraId="371BF416" w14:textId="284E4AA3" w:rsidR="00837D7A" w:rsidRPr="00837D7A" w:rsidRDefault="00837D7A" w:rsidP="006A21A2">
            <w:pPr>
              <w:spacing w:before="120" w:after="120"/>
              <w:ind w:left="198"/>
              <w:rPr>
                <w:color w:val="000000"/>
                <w:sz w:val="27"/>
                <w:szCs w:val="27"/>
              </w:rPr>
            </w:pPr>
            <w:r w:rsidRPr="00837D7A">
              <w:rPr>
                <w:rFonts w:ascii="Verdana" w:hAnsi="Verdana"/>
                <w:b/>
                <w:bCs/>
                <w:color w:val="000000"/>
              </w:rPr>
              <w:t>Note:</w:t>
            </w:r>
            <w:r w:rsidRPr="00837D7A">
              <w:rPr>
                <w:rFonts w:ascii="Verdana" w:hAnsi="Verdana"/>
                <w:color w:val="000000"/>
              </w:rPr>
              <w:t>  Some High Deductible Plans have a preventative drug list which will bypass the deductible and apply to MOOP.</w:t>
            </w:r>
          </w:p>
        </w:tc>
      </w:tr>
      <w:tr w:rsidR="00614469" w14:paraId="5A7BACD6" w14:textId="77777777" w:rsidTr="00B9191D">
        <w:tc>
          <w:tcPr>
            <w:tcW w:w="369"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786F565C" w14:textId="77777777" w:rsidR="00837D7A" w:rsidRDefault="00837D7A" w:rsidP="006A21A2">
            <w:pPr>
              <w:spacing w:before="120" w:after="120"/>
              <w:jc w:val="center"/>
              <w:rPr>
                <w:rFonts w:ascii="Verdana" w:hAnsi="Verdana"/>
                <w:b/>
                <w:bCs/>
              </w:rPr>
            </w:pPr>
          </w:p>
        </w:tc>
        <w:tc>
          <w:tcPr>
            <w:tcW w:w="8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4CD53BA" w14:textId="02DC408D" w:rsidR="00837D7A" w:rsidRDefault="00837D7A" w:rsidP="006A21A2">
            <w:pPr>
              <w:spacing w:before="120" w:after="120"/>
              <w:rPr>
                <w:rFonts w:ascii="Verdana" w:hAnsi="Verdana"/>
              </w:rPr>
            </w:pPr>
            <w:r>
              <w:rPr>
                <w:rFonts w:ascii="Verdana" w:hAnsi="Verdana"/>
              </w:rPr>
              <w:t>Not Met</w:t>
            </w:r>
          </w:p>
        </w:tc>
        <w:tc>
          <w:tcPr>
            <w:tcW w:w="3793" w:type="pct"/>
            <w:tcBorders>
              <w:top w:val="single" w:sz="6" w:space="0" w:color="000000"/>
              <w:left w:val="single" w:sz="6" w:space="0" w:color="000000"/>
              <w:bottom w:val="single" w:sz="6" w:space="0" w:color="000000"/>
              <w:right w:val="single" w:sz="6" w:space="0" w:color="000000"/>
            </w:tcBorders>
          </w:tcPr>
          <w:p w14:paraId="2BA16F97" w14:textId="77777777" w:rsidR="00837D7A" w:rsidRPr="00837D7A" w:rsidRDefault="00837D7A" w:rsidP="006A21A2">
            <w:pPr>
              <w:spacing w:before="120" w:after="120"/>
              <w:ind w:left="198"/>
              <w:rPr>
                <w:color w:val="000000"/>
                <w:sz w:val="27"/>
                <w:szCs w:val="27"/>
              </w:rPr>
            </w:pPr>
            <w:r w:rsidRPr="00837D7A">
              <w:rPr>
                <w:rFonts w:ascii="Verdana" w:hAnsi="Verdana"/>
                <w:color w:val="000000"/>
              </w:rPr>
              <w:t>Refer to the “Remaining Amount” for the Individual or Family Account Type.</w:t>
            </w:r>
          </w:p>
          <w:p w14:paraId="62510D64" w14:textId="4F2AD652" w:rsidR="00837D7A" w:rsidRPr="00837D7A" w:rsidRDefault="00837D7A" w:rsidP="006A21A2">
            <w:pPr>
              <w:spacing w:before="120" w:after="120"/>
              <w:ind w:left="198"/>
              <w:rPr>
                <w:color w:val="000000"/>
                <w:sz w:val="27"/>
                <w:szCs w:val="27"/>
              </w:rPr>
            </w:pPr>
            <w:r w:rsidRPr="00837D7A">
              <w:rPr>
                <w:rFonts w:ascii="Verdana" w:hAnsi="Verdana"/>
                <w:b/>
                <w:bCs/>
                <w:color w:val="000000"/>
              </w:rPr>
              <w:t>Note:</w:t>
            </w:r>
            <w:r w:rsidRPr="00837D7A">
              <w:rPr>
                <w:rFonts w:ascii="Verdana" w:hAnsi="Verdana"/>
                <w:color w:val="000000"/>
              </w:rPr>
              <w:t>  Some High Deductible Plans have a preventative drug list which will bypass the deductible and apply to MOOP.</w:t>
            </w:r>
          </w:p>
        </w:tc>
      </w:tr>
      <w:tr w:rsidR="00614469" w14:paraId="4E468940" w14:textId="77777777" w:rsidTr="00B9191D">
        <w:tc>
          <w:tcPr>
            <w:tcW w:w="36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8D5DFCF" w14:textId="583445F2" w:rsidR="00837D7A" w:rsidRDefault="00837D7A" w:rsidP="006A21A2">
            <w:pPr>
              <w:spacing w:before="120" w:after="120"/>
              <w:jc w:val="center"/>
              <w:rPr>
                <w:rFonts w:ascii="Verdana" w:hAnsi="Verdana"/>
                <w:b/>
                <w:bCs/>
              </w:rPr>
            </w:pPr>
            <w:r>
              <w:rPr>
                <w:rFonts w:ascii="Verdana" w:hAnsi="Verdana"/>
                <w:b/>
                <w:bCs/>
              </w:rPr>
              <w:t>5</w:t>
            </w:r>
          </w:p>
        </w:tc>
        <w:tc>
          <w:tcPr>
            <w:tcW w:w="4631"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2C2A4ED" w14:textId="77777777" w:rsidR="00837D7A" w:rsidRPr="00837D7A" w:rsidRDefault="00837D7A" w:rsidP="006A21A2">
            <w:pPr>
              <w:spacing w:before="120" w:after="120"/>
              <w:rPr>
                <w:color w:val="000000"/>
                <w:sz w:val="27"/>
                <w:szCs w:val="27"/>
              </w:rPr>
            </w:pPr>
            <w:r w:rsidRPr="00837D7A">
              <w:rPr>
                <w:rFonts w:ascii="Verdana" w:hAnsi="Verdana"/>
                <w:color w:val="000000"/>
              </w:rPr>
              <w:t>Quote the Remaining Amount needed to satisfy the Deductible Limit Amount and review the CIF for deductible amounts.</w:t>
            </w:r>
          </w:p>
          <w:p w14:paraId="103DFFE0" w14:textId="77777777" w:rsidR="00837D7A" w:rsidRPr="00837D7A" w:rsidRDefault="00837D7A" w:rsidP="006A21A2">
            <w:pPr>
              <w:spacing w:before="120" w:after="120"/>
              <w:rPr>
                <w:color w:val="000000"/>
                <w:sz w:val="27"/>
                <w:szCs w:val="27"/>
              </w:rPr>
            </w:pPr>
            <w:r w:rsidRPr="00837D7A">
              <w:rPr>
                <w:rFonts w:ascii="Verdana" w:hAnsi="Verdana"/>
                <w:color w:val="000000"/>
              </w:rPr>
              <w:t> </w:t>
            </w:r>
          </w:p>
          <w:p w14:paraId="358DFDCE" w14:textId="77777777" w:rsidR="00837D7A" w:rsidRPr="00837D7A" w:rsidRDefault="00837D7A" w:rsidP="006A21A2">
            <w:pPr>
              <w:spacing w:before="120" w:after="120"/>
              <w:rPr>
                <w:color w:val="000000"/>
                <w:sz w:val="27"/>
                <w:szCs w:val="27"/>
              </w:rPr>
            </w:pPr>
            <w:r w:rsidRPr="00837D7A">
              <w:rPr>
                <w:rFonts w:ascii="Verdana" w:hAnsi="Verdana"/>
                <w:b/>
                <w:bCs/>
                <w:color w:val="000000"/>
              </w:rPr>
              <w:t>Example 1 (Non-Embedded):</w:t>
            </w:r>
            <w:r w:rsidRPr="00837D7A">
              <w:rPr>
                <w:rFonts w:ascii="Verdana" w:hAnsi="Verdana"/>
                <w:color w:val="000000"/>
              </w:rPr>
              <w:t> </w:t>
            </w:r>
          </w:p>
          <w:p w14:paraId="234EA1FA" w14:textId="77777777" w:rsidR="00837D7A" w:rsidRPr="00837D7A" w:rsidRDefault="00837D7A" w:rsidP="006A21A2">
            <w:pPr>
              <w:numPr>
                <w:ilvl w:val="0"/>
                <w:numId w:val="26"/>
              </w:numPr>
              <w:spacing w:before="120" w:after="120"/>
              <w:ind w:left="916" w:firstLine="0"/>
              <w:rPr>
                <w:color w:val="000000"/>
              </w:rPr>
            </w:pPr>
            <w:r w:rsidRPr="00837D7A">
              <w:rPr>
                <w:rFonts w:ascii="Verdana" w:hAnsi="Verdana"/>
                <w:color w:val="000000"/>
              </w:rPr>
              <w:t>Although this individual family member has not accrued any charges, the family has accumulated $759.05.</w:t>
            </w:r>
          </w:p>
          <w:p w14:paraId="1AA8BB01" w14:textId="77777777" w:rsidR="00837D7A" w:rsidRPr="00837D7A" w:rsidRDefault="00837D7A" w:rsidP="006A21A2">
            <w:pPr>
              <w:numPr>
                <w:ilvl w:val="0"/>
                <w:numId w:val="26"/>
              </w:numPr>
              <w:spacing w:before="120" w:after="120"/>
              <w:ind w:left="916" w:firstLine="0"/>
              <w:rPr>
                <w:color w:val="000000"/>
              </w:rPr>
            </w:pPr>
            <w:r w:rsidRPr="00837D7A">
              <w:rPr>
                <w:rFonts w:ascii="Verdana" w:hAnsi="Verdana"/>
                <w:color w:val="000000"/>
              </w:rPr>
              <w:t>Everyone is not required to meet the deductible.</w:t>
            </w:r>
          </w:p>
          <w:p w14:paraId="561ADE44" w14:textId="77777777" w:rsidR="00837D7A" w:rsidRPr="00837D7A" w:rsidRDefault="00837D7A" w:rsidP="006A21A2">
            <w:pPr>
              <w:numPr>
                <w:ilvl w:val="0"/>
                <w:numId w:val="26"/>
              </w:numPr>
              <w:spacing w:before="120" w:after="120"/>
              <w:ind w:left="916" w:firstLine="0"/>
              <w:rPr>
                <w:color w:val="000000"/>
              </w:rPr>
            </w:pPr>
            <w:r w:rsidRPr="00837D7A">
              <w:rPr>
                <w:rFonts w:ascii="Verdana" w:hAnsi="Verdana"/>
                <w:color w:val="000000"/>
              </w:rPr>
              <w:t>The family (not the individual) must pay an additional $1740.95 to meet the $2500 deductible amount. </w:t>
            </w:r>
          </w:p>
          <w:p w14:paraId="5FCDCCCA" w14:textId="77777777" w:rsidR="00837D7A" w:rsidRPr="00837D7A" w:rsidRDefault="00837D7A" w:rsidP="006A21A2">
            <w:pPr>
              <w:numPr>
                <w:ilvl w:val="0"/>
                <w:numId w:val="26"/>
              </w:numPr>
              <w:spacing w:before="120" w:after="120"/>
              <w:ind w:left="916" w:firstLine="0"/>
              <w:rPr>
                <w:color w:val="000000"/>
              </w:rPr>
            </w:pPr>
            <w:r w:rsidRPr="00837D7A">
              <w:rPr>
                <w:rFonts w:ascii="Verdana" w:hAnsi="Verdana"/>
                <w:color w:val="000000"/>
              </w:rPr>
              <w:t>Once this family deductible is met, the member will begin paying its co-insurance/copay amount. </w:t>
            </w:r>
          </w:p>
          <w:p w14:paraId="75364569" w14:textId="77777777" w:rsidR="00837D7A" w:rsidRPr="00837D7A" w:rsidRDefault="00837D7A" w:rsidP="006A21A2">
            <w:pPr>
              <w:spacing w:before="120" w:after="120"/>
              <w:rPr>
                <w:color w:val="000000"/>
                <w:sz w:val="27"/>
                <w:szCs w:val="27"/>
              </w:rPr>
            </w:pPr>
            <w:r w:rsidRPr="00837D7A">
              <w:rPr>
                <w:rFonts w:ascii="Verdana" w:hAnsi="Verdana"/>
                <w:color w:val="000000"/>
              </w:rPr>
              <w:t> </w:t>
            </w:r>
          </w:p>
          <w:p w14:paraId="3E11B9CA" w14:textId="77777777" w:rsidR="00837D7A" w:rsidRPr="00837D7A" w:rsidRDefault="00837D7A" w:rsidP="006A21A2">
            <w:pPr>
              <w:spacing w:before="120" w:after="120"/>
              <w:rPr>
                <w:color w:val="000000"/>
                <w:sz w:val="27"/>
                <w:szCs w:val="27"/>
              </w:rPr>
            </w:pPr>
            <w:r w:rsidRPr="00837D7A">
              <w:rPr>
                <w:rFonts w:ascii="Verdana" w:hAnsi="Verdana"/>
                <w:b/>
                <w:bCs/>
                <w:color w:val="000000"/>
              </w:rPr>
              <w:t>Example 2 (Embedded):</w:t>
            </w:r>
            <w:r w:rsidRPr="00837D7A">
              <w:rPr>
                <w:rFonts w:ascii="Verdana" w:hAnsi="Verdana"/>
                <w:color w:val="000000"/>
              </w:rPr>
              <w:t> </w:t>
            </w:r>
          </w:p>
          <w:p w14:paraId="491162E8" w14:textId="77777777" w:rsidR="00837D7A" w:rsidRPr="00837D7A" w:rsidRDefault="00837D7A" w:rsidP="006A21A2">
            <w:pPr>
              <w:numPr>
                <w:ilvl w:val="0"/>
                <w:numId w:val="27"/>
              </w:numPr>
              <w:spacing w:before="120" w:after="120"/>
              <w:ind w:left="916" w:firstLine="0"/>
              <w:rPr>
                <w:color w:val="000000"/>
              </w:rPr>
            </w:pPr>
            <w:r w:rsidRPr="00837D7A">
              <w:rPr>
                <w:rFonts w:ascii="Verdana" w:hAnsi="Verdana"/>
                <w:color w:val="000000"/>
              </w:rPr>
              <w:t>An individual is only required to meet the individual deductible before the plan benefits are paid. </w:t>
            </w:r>
          </w:p>
          <w:p w14:paraId="3B0C4708" w14:textId="77777777" w:rsidR="00837D7A" w:rsidRPr="00837D7A" w:rsidRDefault="00837D7A" w:rsidP="006A21A2">
            <w:pPr>
              <w:numPr>
                <w:ilvl w:val="0"/>
                <w:numId w:val="27"/>
              </w:numPr>
              <w:spacing w:before="120" w:after="120"/>
              <w:ind w:left="916" w:firstLine="0"/>
              <w:rPr>
                <w:color w:val="000000"/>
              </w:rPr>
            </w:pPr>
            <w:r w:rsidRPr="00837D7A">
              <w:rPr>
                <w:rFonts w:ascii="Verdana" w:hAnsi="Verdana"/>
                <w:color w:val="000000"/>
              </w:rPr>
              <w:t>All other individuals on the family plan must pay until their individual or family deductible has been satisfied.  </w:t>
            </w:r>
          </w:p>
          <w:p w14:paraId="610DD532" w14:textId="77777777" w:rsidR="00837D7A" w:rsidRPr="00837D7A" w:rsidRDefault="00837D7A" w:rsidP="006A21A2">
            <w:pPr>
              <w:spacing w:before="120" w:after="120"/>
              <w:rPr>
                <w:color w:val="000000"/>
                <w:sz w:val="27"/>
                <w:szCs w:val="27"/>
              </w:rPr>
            </w:pPr>
            <w:r w:rsidRPr="00837D7A">
              <w:rPr>
                <w:rFonts w:ascii="Verdana" w:hAnsi="Verdana"/>
                <w:color w:val="000000"/>
              </w:rPr>
              <w:t> </w:t>
            </w:r>
          </w:p>
          <w:p w14:paraId="6AB8D074" w14:textId="77777777" w:rsidR="00837D7A" w:rsidRPr="00837D7A" w:rsidRDefault="00837D7A" w:rsidP="006A21A2">
            <w:pPr>
              <w:spacing w:before="120" w:after="120"/>
              <w:rPr>
                <w:color w:val="000000"/>
                <w:sz w:val="27"/>
                <w:szCs w:val="27"/>
              </w:rPr>
            </w:pPr>
            <w:r w:rsidRPr="00837D7A">
              <w:rPr>
                <w:rFonts w:ascii="Verdana" w:hAnsi="Verdana"/>
                <w:b/>
                <w:bCs/>
                <w:color w:val="000000"/>
              </w:rPr>
              <w:t>Example 3:</w:t>
            </w:r>
            <w:r w:rsidRPr="00837D7A">
              <w:rPr>
                <w:rFonts w:ascii="Verdana" w:hAnsi="Verdana"/>
                <w:color w:val="000000"/>
              </w:rPr>
              <w:t> </w:t>
            </w:r>
          </w:p>
          <w:p w14:paraId="4F21E48E" w14:textId="77777777" w:rsidR="00837D7A" w:rsidRPr="00837D7A" w:rsidRDefault="00837D7A" w:rsidP="006A21A2">
            <w:pPr>
              <w:numPr>
                <w:ilvl w:val="0"/>
                <w:numId w:val="28"/>
              </w:numPr>
              <w:spacing w:before="120" w:after="120"/>
              <w:ind w:left="916" w:firstLine="0"/>
              <w:rPr>
                <w:color w:val="000000"/>
              </w:rPr>
            </w:pPr>
            <w:r w:rsidRPr="00837D7A">
              <w:rPr>
                <w:rFonts w:ascii="Verdana" w:hAnsi="Verdana"/>
                <w:color w:val="000000"/>
              </w:rPr>
              <w:t>Member has a $500 embedded deductible and met it; member will pay co-insurances going forward. </w:t>
            </w:r>
          </w:p>
          <w:p w14:paraId="624A036F" w14:textId="77777777" w:rsidR="00837D7A" w:rsidRPr="00837D7A" w:rsidRDefault="00837D7A" w:rsidP="006A21A2">
            <w:pPr>
              <w:numPr>
                <w:ilvl w:val="0"/>
                <w:numId w:val="28"/>
              </w:numPr>
              <w:spacing w:before="120" w:after="120"/>
              <w:ind w:left="916" w:firstLine="0"/>
              <w:rPr>
                <w:color w:val="000000"/>
              </w:rPr>
            </w:pPr>
            <w:r w:rsidRPr="00837D7A">
              <w:rPr>
                <w:rFonts w:ascii="Verdana" w:hAnsi="Verdana"/>
                <w:color w:val="000000"/>
              </w:rPr>
              <w:t>Whereas the family members within the same plan must meet their own individual deductible of $500 not to exceed the family deductible of $1,500.</w:t>
            </w:r>
          </w:p>
          <w:p w14:paraId="4C72B016" w14:textId="77777777" w:rsidR="00837D7A" w:rsidRPr="00837D7A" w:rsidRDefault="00837D7A" w:rsidP="006A21A2">
            <w:pPr>
              <w:spacing w:before="120" w:after="120"/>
              <w:rPr>
                <w:color w:val="000000"/>
                <w:sz w:val="27"/>
                <w:szCs w:val="27"/>
              </w:rPr>
            </w:pPr>
            <w:r w:rsidRPr="00837D7A">
              <w:rPr>
                <w:rFonts w:ascii="Verdana" w:hAnsi="Verdana"/>
                <w:color w:val="000000"/>
              </w:rPr>
              <w:t> </w:t>
            </w:r>
          </w:p>
          <w:p w14:paraId="2FF7BE26" w14:textId="77777777" w:rsidR="00837D7A" w:rsidRDefault="00837D7A" w:rsidP="006A21A2">
            <w:pPr>
              <w:spacing w:before="120" w:after="120"/>
              <w:rPr>
                <w:rFonts w:ascii="Verdana" w:hAnsi="Verdana"/>
              </w:rPr>
            </w:pPr>
          </w:p>
        </w:tc>
      </w:tr>
    </w:tbl>
    <w:p w14:paraId="31D24DF8" w14:textId="71739E37" w:rsidR="00D9349D" w:rsidRDefault="000E1E9F" w:rsidP="000E1E9F">
      <w:pPr>
        <w:tabs>
          <w:tab w:val="left" w:pos="150"/>
        </w:tabs>
        <w:rPr>
          <w:rFonts w:ascii="Verdana" w:hAnsi="Verdana"/>
        </w:rPr>
      </w:pPr>
      <w:bookmarkStart w:id="16" w:name="_Determining_if_the"/>
      <w:bookmarkStart w:id="17" w:name="_Determining_if_the_2"/>
      <w:bookmarkEnd w:id="2"/>
      <w:bookmarkEnd w:id="16"/>
      <w:bookmarkEnd w:id="17"/>
      <w:r>
        <w:rPr>
          <w:rFonts w:ascii="Verdana" w:hAnsi="Verdana"/>
        </w:rPr>
        <w:tab/>
      </w:r>
    </w:p>
    <w:p w14:paraId="65F18458" w14:textId="77777777" w:rsidR="000E1E9F" w:rsidRDefault="000E1E9F" w:rsidP="000E1E9F">
      <w:pPr>
        <w:tabs>
          <w:tab w:val="left" w:pos="150"/>
        </w:tabs>
        <w:rPr>
          <w:rFonts w:ascii="Verdana" w:hAnsi="Verdana"/>
        </w:rPr>
      </w:pPr>
    </w:p>
    <w:tbl>
      <w:tblPr>
        <w:tblW w:w="5000" w:type="pct"/>
        <w:tblCellMar>
          <w:left w:w="0" w:type="dxa"/>
          <w:right w:w="0" w:type="dxa"/>
        </w:tblCellMar>
        <w:tblLook w:val="04A0" w:firstRow="1" w:lastRow="0" w:firstColumn="1" w:lastColumn="0" w:noHBand="0" w:noVBand="1"/>
      </w:tblPr>
      <w:tblGrid>
        <w:gridCol w:w="12944"/>
      </w:tblGrid>
      <w:tr w:rsidR="000E1E9F" w14:paraId="09DE135C" w14:textId="77777777" w:rsidTr="003F61F5">
        <w:tc>
          <w:tcPr>
            <w:tcW w:w="5000" w:type="pct"/>
            <w:tcBorders>
              <w:top w:val="single" w:sz="6" w:space="0" w:color="000000"/>
              <w:left w:val="single" w:sz="6" w:space="0" w:color="000000"/>
              <w:bottom w:val="single" w:sz="6" w:space="0" w:color="000000"/>
              <w:right w:val="single" w:sz="6" w:space="0" w:color="000000"/>
            </w:tcBorders>
            <w:shd w:val="clear" w:color="auto" w:fill="CCCCCC"/>
            <w:tcMar>
              <w:top w:w="0" w:type="dxa"/>
              <w:left w:w="101" w:type="dxa"/>
              <w:bottom w:w="0" w:type="dxa"/>
              <w:right w:w="101" w:type="dxa"/>
            </w:tcMar>
            <w:hideMark/>
          </w:tcPr>
          <w:p w14:paraId="479DC010" w14:textId="77777777" w:rsidR="000E1E9F" w:rsidRPr="000E1E9F" w:rsidRDefault="000E1E9F">
            <w:pPr>
              <w:pStyle w:val="Heading2"/>
              <w:spacing w:before="120" w:after="120"/>
              <w:rPr>
                <w:i w:val="0"/>
                <w:iCs w:val="0"/>
                <w:sz w:val="36"/>
                <w:szCs w:val="36"/>
              </w:rPr>
            </w:pPr>
            <w:bookmarkStart w:id="18" w:name="_Toc167271817"/>
            <w:r w:rsidRPr="000E1E9F">
              <w:rPr>
                <w:rFonts w:ascii="Verdana" w:hAnsi="Verdana"/>
                <w:i w:val="0"/>
                <w:iCs w:val="0"/>
              </w:rPr>
              <w:t>Determining if the Deductible Applies to the Maximum Out of Pocket (MOOP)</w:t>
            </w:r>
            <w:bookmarkEnd w:id="18"/>
          </w:p>
        </w:tc>
      </w:tr>
    </w:tbl>
    <w:p w14:paraId="27997954" w14:textId="37F01A9A" w:rsidR="000E1E9F" w:rsidRPr="000E1E9F" w:rsidRDefault="00D15D5D" w:rsidP="000E1E9F">
      <w:pPr>
        <w:pStyle w:val="NormalWeb"/>
        <w:spacing w:before="120" w:beforeAutospacing="0" w:after="120" w:afterAutospacing="0"/>
        <w:rPr>
          <w:rFonts w:ascii="Verdana" w:hAnsi="Verdana"/>
          <w:sz w:val="24"/>
          <w:szCs w:val="24"/>
        </w:rPr>
      </w:pPr>
      <w:r>
        <w:rPr>
          <w:rFonts w:ascii="Verdana" w:hAnsi="Verdana"/>
          <w:sz w:val="24"/>
          <w:szCs w:val="24"/>
        </w:rPr>
        <w:t>F</w:t>
      </w:r>
      <w:r w:rsidR="000E1E9F" w:rsidRPr="000E1E9F">
        <w:rPr>
          <w:rFonts w:ascii="Verdana" w:hAnsi="Verdana"/>
          <w:sz w:val="24"/>
          <w:szCs w:val="24"/>
        </w:rPr>
        <w:t xml:space="preserve">rom the </w:t>
      </w:r>
      <w:r>
        <w:rPr>
          <w:rFonts w:ascii="Verdana" w:hAnsi="Verdana"/>
          <w:sz w:val="24"/>
          <w:szCs w:val="24"/>
        </w:rPr>
        <w:t xml:space="preserve">Accumulations tab in Compass </w:t>
      </w:r>
      <w:r w:rsidR="000E1E9F" w:rsidRPr="000E1E9F">
        <w:rPr>
          <w:rFonts w:ascii="Verdana" w:hAnsi="Verdana"/>
          <w:sz w:val="24"/>
          <w:szCs w:val="24"/>
        </w:rPr>
        <w:t>determine if the deductible applies to the MOOP.  </w:t>
      </w:r>
    </w:p>
    <w:p w14:paraId="45D05B3D" w14:textId="77777777" w:rsidR="000E1E9F" w:rsidRPr="000E1E9F" w:rsidRDefault="000E1E9F" w:rsidP="000E1E9F">
      <w:pPr>
        <w:pStyle w:val="NormalWeb"/>
        <w:spacing w:before="120" w:beforeAutospacing="0" w:after="120" w:afterAutospacing="0"/>
        <w:rPr>
          <w:rFonts w:ascii="Verdana" w:hAnsi="Verdana"/>
          <w:sz w:val="24"/>
          <w:szCs w:val="24"/>
        </w:rPr>
      </w:pPr>
      <w:r w:rsidRPr="000E1E9F">
        <w:rPr>
          <w:rFonts w:ascii="Verdana" w:hAnsi="Verdana"/>
          <w:b/>
          <w:bCs/>
          <w:sz w:val="24"/>
          <w:szCs w:val="24"/>
        </w:rPr>
        <w:t>Note:</w:t>
      </w:r>
      <w:r w:rsidRPr="000E1E9F">
        <w:rPr>
          <w:rFonts w:ascii="Verdana" w:hAnsi="Verdana"/>
          <w:sz w:val="24"/>
          <w:szCs w:val="24"/>
        </w:rPr>
        <w:t>  Once the MOOP has been satisfied, the family is charged $0 for their prescriptions for the remainder of the benefit year.</w:t>
      </w:r>
    </w:p>
    <w:p w14:paraId="65491730" w14:textId="77777777" w:rsidR="000E1E9F" w:rsidRDefault="000E1E9F" w:rsidP="000E1E9F">
      <w:pPr>
        <w:pStyle w:val="NormalWeb"/>
        <w:spacing w:before="120" w:beforeAutospacing="0" w:after="120" w:afterAutospacing="0"/>
        <w:jc w:val="center"/>
        <w:rPr>
          <w:sz w:val="27"/>
          <w:szCs w:val="27"/>
        </w:rPr>
      </w:pPr>
      <w:r>
        <w:rPr>
          <w:rFonts w:ascii="Verdana" w:hAnsi="Verdana"/>
          <w:b/>
          <w:bCs/>
        </w:rPr>
        <w:t> </w:t>
      </w:r>
    </w:p>
    <w:p w14:paraId="400B7915" w14:textId="1791EF17" w:rsidR="000E1E9F" w:rsidRDefault="000E1E9F" w:rsidP="000E1E9F">
      <w:pPr>
        <w:pStyle w:val="NormalWeb"/>
        <w:spacing w:before="120" w:beforeAutospacing="0" w:after="120" w:afterAutospacing="0"/>
        <w:jc w:val="center"/>
        <w:rPr>
          <w:sz w:val="27"/>
          <w:szCs w:val="27"/>
        </w:rPr>
      </w:pPr>
      <w:r>
        <w:rPr>
          <w:noProof/>
        </w:rPr>
        <w:drawing>
          <wp:inline distT="0" distB="0" distL="0" distR="0" wp14:anchorId="548DF9E1" wp14:editId="531B102E">
            <wp:extent cx="9991725" cy="5023865"/>
            <wp:effectExtent l="19050" t="19050" r="9525" b="247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13819" cy="5034974"/>
                    </a:xfrm>
                    <a:prstGeom prst="rect">
                      <a:avLst/>
                    </a:prstGeom>
                    <a:ln>
                      <a:solidFill>
                        <a:schemeClr val="tx1"/>
                      </a:solidFill>
                    </a:ln>
                  </pic:spPr>
                </pic:pic>
              </a:graphicData>
            </a:graphic>
          </wp:inline>
        </w:drawing>
      </w:r>
    </w:p>
    <w:p w14:paraId="13310302" w14:textId="77777777" w:rsidR="000E1E9F" w:rsidRDefault="000E1E9F" w:rsidP="000E1E9F">
      <w:pPr>
        <w:pStyle w:val="NormalWeb"/>
        <w:spacing w:before="0" w:beforeAutospacing="0" w:after="0" w:afterAutospacing="0"/>
        <w:jc w:val="center"/>
        <w:rPr>
          <w:sz w:val="27"/>
          <w:szCs w:val="27"/>
        </w:rPr>
      </w:pPr>
      <w:r>
        <w:rPr>
          <w:rFonts w:ascii="Verdana" w:hAnsi="Verdana"/>
        </w:rPr>
        <w:t> </w:t>
      </w:r>
    </w:p>
    <w:tbl>
      <w:tblPr>
        <w:tblW w:w="5000" w:type="pct"/>
        <w:tblCellMar>
          <w:left w:w="0" w:type="dxa"/>
          <w:right w:w="0" w:type="dxa"/>
        </w:tblCellMar>
        <w:tblLook w:val="04A0" w:firstRow="1" w:lastRow="0" w:firstColumn="1" w:lastColumn="0" w:noHBand="0" w:noVBand="1"/>
      </w:tblPr>
      <w:tblGrid>
        <w:gridCol w:w="2871"/>
        <w:gridCol w:w="10073"/>
      </w:tblGrid>
      <w:tr w:rsidR="000E1E9F" w14:paraId="13DC8949" w14:textId="77777777" w:rsidTr="003F61F5">
        <w:tc>
          <w:tcPr>
            <w:tcW w:w="110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A4D182D" w14:textId="77777777" w:rsidR="000E1E9F" w:rsidRPr="000E1E9F" w:rsidRDefault="000E1E9F">
            <w:pPr>
              <w:pStyle w:val="NormalWeb"/>
              <w:spacing w:before="120" w:beforeAutospacing="0" w:after="120" w:afterAutospacing="0"/>
              <w:jc w:val="center"/>
              <w:rPr>
                <w:rFonts w:ascii="Verdana" w:hAnsi="Verdana"/>
                <w:color w:val="auto"/>
                <w:sz w:val="24"/>
                <w:szCs w:val="24"/>
              </w:rPr>
            </w:pPr>
            <w:r w:rsidRPr="000E1E9F">
              <w:rPr>
                <w:rFonts w:ascii="Verdana" w:hAnsi="Verdana"/>
                <w:b/>
                <w:bCs/>
                <w:sz w:val="24"/>
                <w:szCs w:val="24"/>
              </w:rPr>
              <w:t>If the Account Class is…</w:t>
            </w:r>
          </w:p>
        </w:tc>
        <w:tc>
          <w:tcPr>
            <w:tcW w:w="389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AA555E1" w14:textId="77777777" w:rsidR="000E1E9F" w:rsidRPr="000E1E9F" w:rsidRDefault="000E1E9F">
            <w:pPr>
              <w:pStyle w:val="NormalWeb"/>
              <w:spacing w:before="120" w:beforeAutospacing="0" w:after="120" w:afterAutospacing="0"/>
              <w:jc w:val="center"/>
              <w:rPr>
                <w:rFonts w:ascii="Verdana" w:hAnsi="Verdana"/>
                <w:sz w:val="24"/>
                <w:szCs w:val="24"/>
              </w:rPr>
            </w:pPr>
            <w:r w:rsidRPr="000E1E9F">
              <w:rPr>
                <w:rFonts w:ascii="Verdana" w:hAnsi="Verdana"/>
                <w:b/>
                <w:bCs/>
                <w:sz w:val="24"/>
                <w:szCs w:val="24"/>
              </w:rPr>
              <w:t>Then the Deductible…</w:t>
            </w:r>
          </w:p>
        </w:tc>
      </w:tr>
      <w:tr w:rsidR="000E1E9F" w14:paraId="4A37E8AC" w14:textId="77777777" w:rsidTr="003F61F5">
        <w:tc>
          <w:tcPr>
            <w:tcW w:w="110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E8B6241" w14:textId="77777777" w:rsidR="000E1E9F" w:rsidRPr="000E1E9F" w:rsidRDefault="000E1E9F">
            <w:pPr>
              <w:pStyle w:val="NormalWeb"/>
              <w:spacing w:before="120" w:beforeAutospacing="0" w:after="120" w:afterAutospacing="0"/>
              <w:rPr>
                <w:rFonts w:ascii="Verdana" w:hAnsi="Verdana"/>
                <w:sz w:val="24"/>
                <w:szCs w:val="24"/>
              </w:rPr>
            </w:pPr>
            <w:r w:rsidRPr="000E1E9F">
              <w:rPr>
                <w:rFonts w:ascii="Verdana" w:hAnsi="Verdana"/>
                <w:sz w:val="24"/>
                <w:szCs w:val="24"/>
              </w:rPr>
              <w:t>MOOP-IN-DED</w:t>
            </w:r>
          </w:p>
          <w:p w14:paraId="14451BF3" w14:textId="77777777" w:rsidR="000E1E9F" w:rsidRPr="000E1E9F" w:rsidRDefault="000E1E9F">
            <w:pPr>
              <w:pStyle w:val="NormalWeb"/>
              <w:spacing w:before="120" w:beforeAutospacing="0" w:after="120" w:afterAutospacing="0"/>
              <w:rPr>
                <w:rFonts w:ascii="Verdana" w:hAnsi="Verdana"/>
                <w:sz w:val="24"/>
                <w:szCs w:val="24"/>
              </w:rPr>
            </w:pPr>
            <w:r w:rsidRPr="000E1E9F">
              <w:rPr>
                <w:rFonts w:ascii="Verdana" w:hAnsi="Verdana"/>
                <w:sz w:val="24"/>
                <w:szCs w:val="24"/>
              </w:rPr>
              <w:t> </w:t>
            </w:r>
          </w:p>
        </w:tc>
        <w:tc>
          <w:tcPr>
            <w:tcW w:w="389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4E05EE" w14:textId="77777777" w:rsidR="000E1E9F" w:rsidRPr="000E1E9F" w:rsidRDefault="000E1E9F">
            <w:pPr>
              <w:pStyle w:val="NormalWeb"/>
              <w:spacing w:before="120" w:beforeAutospacing="0" w:after="120" w:afterAutospacing="0"/>
              <w:rPr>
                <w:rFonts w:ascii="Verdana" w:hAnsi="Verdana"/>
                <w:sz w:val="24"/>
                <w:szCs w:val="24"/>
              </w:rPr>
            </w:pPr>
            <w:r w:rsidRPr="000E1E9F">
              <w:rPr>
                <w:rFonts w:ascii="Verdana" w:hAnsi="Verdana"/>
                <w:sz w:val="24"/>
                <w:szCs w:val="24"/>
              </w:rPr>
              <w:t>Deductible is included and applied in the MOOP amount.</w:t>
            </w:r>
          </w:p>
          <w:p w14:paraId="5E464E55" w14:textId="19AA0DAB" w:rsidR="000E1E9F" w:rsidRPr="000E1E9F" w:rsidRDefault="000E1E9F">
            <w:pPr>
              <w:pStyle w:val="NormalWeb"/>
              <w:spacing w:before="120" w:beforeAutospacing="0" w:after="120" w:afterAutospacing="0"/>
              <w:ind w:left="31"/>
              <w:rPr>
                <w:rFonts w:ascii="Verdana" w:hAnsi="Verdana"/>
                <w:sz w:val="24"/>
                <w:szCs w:val="24"/>
              </w:rPr>
            </w:pPr>
            <w:r w:rsidRPr="000E1E9F">
              <w:rPr>
                <w:rFonts w:ascii="Verdana" w:hAnsi="Verdana"/>
                <w:b/>
                <w:bCs/>
                <w:sz w:val="24"/>
                <w:szCs w:val="24"/>
              </w:rPr>
              <w:t>Note:</w:t>
            </w:r>
            <w:r w:rsidRPr="000E1E9F">
              <w:rPr>
                <w:rFonts w:ascii="Verdana" w:hAnsi="Verdana"/>
                <w:sz w:val="24"/>
                <w:szCs w:val="24"/>
              </w:rPr>
              <w:t> </w:t>
            </w:r>
            <w:r w:rsidR="009808A0">
              <w:rPr>
                <w:rFonts w:ascii="Verdana" w:hAnsi="Verdana"/>
                <w:sz w:val="24"/>
                <w:szCs w:val="24"/>
              </w:rPr>
              <w:t xml:space="preserve"> </w:t>
            </w:r>
            <w:r w:rsidRPr="000E1E9F">
              <w:rPr>
                <w:rFonts w:ascii="Verdana" w:hAnsi="Verdana"/>
                <w:sz w:val="24"/>
                <w:szCs w:val="24"/>
              </w:rPr>
              <w:t>Some High Deductible Plans have a preventative drug list which bypasses the deductible and applies to MOOP.</w:t>
            </w:r>
          </w:p>
        </w:tc>
      </w:tr>
      <w:tr w:rsidR="000E1E9F" w14:paraId="7C771E66" w14:textId="77777777" w:rsidTr="003F61F5">
        <w:tc>
          <w:tcPr>
            <w:tcW w:w="110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DE5E77F" w14:textId="77777777" w:rsidR="000E1E9F" w:rsidRPr="000E1E9F" w:rsidRDefault="000E1E9F">
            <w:pPr>
              <w:pStyle w:val="NormalWeb"/>
              <w:spacing w:before="120" w:beforeAutospacing="0" w:after="120" w:afterAutospacing="0"/>
              <w:rPr>
                <w:rFonts w:ascii="Verdana" w:hAnsi="Verdana"/>
                <w:sz w:val="24"/>
                <w:szCs w:val="24"/>
              </w:rPr>
            </w:pPr>
            <w:r w:rsidRPr="000E1E9F">
              <w:rPr>
                <w:rFonts w:ascii="Verdana" w:hAnsi="Verdana"/>
                <w:sz w:val="24"/>
                <w:szCs w:val="24"/>
              </w:rPr>
              <w:t>MOOP-EX-DED</w:t>
            </w:r>
          </w:p>
          <w:p w14:paraId="57EEEB3F" w14:textId="77777777" w:rsidR="000E1E9F" w:rsidRPr="000E1E9F" w:rsidRDefault="000E1E9F">
            <w:pPr>
              <w:pStyle w:val="NormalWeb"/>
              <w:spacing w:before="120" w:beforeAutospacing="0" w:after="120" w:afterAutospacing="0"/>
              <w:rPr>
                <w:rFonts w:ascii="Verdana" w:hAnsi="Verdana"/>
                <w:sz w:val="24"/>
                <w:szCs w:val="24"/>
              </w:rPr>
            </w:pPr>
            <w:r w:rsidRPr="000E1E9F">
              <w:rPr>
                <w:rFonts w:ascii="Verdana" w:hAnsi="Verdana"/>
                <w:sz w:val="24"/>
                <w:szCs w:val="24"/>
              </w:rPr>
              <w:t> </w:t>
            </w:r>
          </w:p>
        </w:tc>
        <w:tc>
          <w:tcPr>
            <w:tcW w:w="389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54D2AFF" w14:textId="6ADA06B3" w:rsidR="000E1E9F" w:rsidRPr="000E1E9F" w:rsidRDefault="000E1E9F">
            <w:pPr>
              <w:pStyle w:val="NormalWeb"/>
              <w:spacing w:before="120" w:beforeAutospacing="0" w:after="120" w:afterAutospacing="0"/>
              <w:rPr>
                <w:rFonts w:ascii="Verdana" w:hAnsi="Verdana"/>
                <w:sz w:val="24"/>
                <w:szCs w:val="24"/>
              </w:rPr>
            </w:pPr>
            <w:r w:rsidRPr="000E1E9F">
              <w:rPr>
                <w:rFonts w:ascii="Verdana" w:hAnsi="Verdana"/>
                <w:sz w:val="24"/>
                <w:szCs w:val="24"/>
              </w:rPr>
              <w:t>Deductible is excluded (does not apply) to the amount needed to reach the MOOP amount.</w:t>
            </w:r>
          </w:p>
        </w:tc>
      </w:tr>
    </w:tbl>
    <w:p w14:paraId="033D40CB" w14:textId="77777777" w:rsidR="000E1E9F" w:rsidRDefault="000E1E9F" w:rsidP="000E1E9F">
      <w:pPr>
        <w:tabs>
          <w:tab w:val="left" w:pos="150"/>
        </w:tabs>
        <w:rPr>
          <w:rFonts w:ascii="Verdana" w:hAnsi="Verdana"/>
        </w:rPr>
      </w:pPr>
    </w:p>
    <w:bookmarkStart w:id="19" w:name="_Preventive_Drug_List"/>
    <w:bookmarkStart w:id="20" w:name="OLE_LINK10"/>
    <w:bookmarkEnd w:id="19"/>
    <w:p w14:paraId="6C05FD88" w14:textId="77777777" w:rsidR="00D9349D" w:rsidRDefault="0022173D" w:rsidP="00D9349D">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A238F">
        <w:rPr>
          <w:rStyle w:val="Hyperlink"/>
          <w:rFonts w:ascii="Verdana" w:hAnsi="Verdana"/>
        </w:rPr>
        <w:t>Top of the Document</w:t>
      </w:r>
      <w:r>
        <w:rPr>
          <w:rFonts w:ascii="Verdana" w:hAnsi="Verdana"/>
        </w:rPr>
        <w:fldChar w:fldCharType="end"/>
      </w:r>
    </w:p>
    <w:p w14:paraId="3CDC2D76" w14:textId="77777777" w:rsidR="00D9349D" w:rsidRDefault="00D9349D" w:rsidP="00D9349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12950"/>
      </w:tblGrid>
      <w:tr w:rsidR="00FF190B" w14:paraId="674B25A1" w14:textId="77777777" w:rsidTr="00D9349D">
        <w:tc>
          <w:tcPr>
            <w:tcW w:w="5000" w:type="pct"/>
            <w:shd w:val="clear" w:color="auto" w:fill="CCCCCC"/>
          </w:tcPr>
          <w:p w14:paraId="65C8E6CD" w14:textId="77777777" w:rsidR="00D9349D" w:rsidRPr="00D051E7" w:rsidRDefault="0022173D" w:rsidP="00D9349D">
            <w:pPr>
              <w:pStyle w:val="Heading2"/>
              <w:spacing w:before="120" w:after="120"/>
              <w:rPr>
                <w:rFonts w:ascii="Verdana" w:hAnsi="Verdana"/>
                <w:i w:val="0"/>
                <w:iCs w:val="0"/>
              </w:rPr>
            </w:pPr>
            <w:bookmarkStart w:id="21" w:name="_How_to_Handle"/>
            <w:bookmarkStart w:id="22" w:name="_Toc490636271"/>
            <w:bookmarkStart w:id="23" w:name="_Toc167271818"/>
            <w:bookmarkEnd w:id="21"/>
            <w:r w:rsidRPr="00D051E7">
              <w:rPr>
                <w:rFonts w:ascii="Verdana" w:hAnsi="Verdana"/>
                <w:i w:val="0"/>
                <w:iCs w:val="0"/>
              </w:rPr>
              <w:t>How to Handle Member Reimbursement for Overpayments</w:t>
            </w:r>
            <w:bookmarkEnd w:id="22"/>
            <w:r>
              <w:rPr>
                <w:rFonts w:ascii="Verdana" w:hAnsi="Verdana"/>
                <w:i w:val="0"/>
                <w:iCs w:val="0"/>
              </w:rPr>
              <w:t xml:space="preserve"> for HDHP Plans</w:t>
            </w:r>
            <w:bookmarkEnd w:id="23"/>
          </w:p>
        </w:tc>
      </w:tr>
    </w:tbl>
    <w:p w14:paraId="48EF858D" w14:textId="77777777" w:rsidR="00D9349D" w:rsidRPr="007568DD" w:rsidRDefault="0022173D" w:rsidP="00D9349D">
      <w:pPr>
        <w:spacing w:before="120" w:after="120"/>
        <w:rPr>
          <w:rFonts w:ascii="Verdana" w:hAnsi="Verdana"/>
          <w:bCs/>
          <w:noProof/>
        </w:rPr>
      </w:pPr>
      <w:r w:rsidRPr="007568DD">
        <w:rPr>
          <w:rFonts w:ascii="Verdana" w:hAnsi="Verdana"/>
          <w:bCs/>
          <w:noProof/>
        </w:rPr>
        <w:t xml:space="preserve">In cases of deductible or MOOP overpayments on HDHP plans, the medical plan will reimburse members. </w:t>
      </w:r>
    </w:p>
    <w:p w14:paraId="27E359ED" w14:textId="77777777" w:rsidR="00D9349D" w:rsidRPr="007568DD" w:rsidRDefault="0022173D" w:rsidP="00D9349D">
      <w:pPr>
        <w:spacing w:before="120" w:after="120"/>
        <w:rPr>
          <w:rFonts w:ascii="Verdana" w:hAnsi="Verdana"/>
          <w:bCs/>
          <w:noProof/>
        </w:rPr>
      </w:pPr>
      <w:r>
        <w:rPr>
          <w:rFonts w:ascii="Verdana" w:hAnsi="Verdana"/>
          <w:b/>
          <w:bCs/>
          <w:noProof/>
        </w:rPr>
        <w:t xml:space="preserve">Note:  </w:t>
      </w:r>
      <w:r>
        <w:rPr>
          <w:rFonts w:ascii="Verdana" w:hAnsi="Verdana"/>
          <w:bCs/>
          <w:noProof/>
        </w:rPr>
        <w:t>P</w:t>
      </w:r>
      <w:r w:rsidRPr="007568DD">
        <w:rPr>
          <w:rFonts w:ascii="Verdana" w:hAnsi="Verdana"/>
          <w:bCs/>
          <w:noProof/>
        </w:rPr>
        <w:t xml:space="preserve">harmacy claims are real time and medical claims can have a delay depending on when they are submitted.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gridCol w:w="2577"/>
        <w:gridCol w:w="9404"/>
      </w:tblGrid>
      <w:tr w:rsidR="00FF190B" w14:paraId="04602D6E" w14:textId="77777777" w:rsidTr="00652294">
        <w:tc>
          <w:tcPr>
            <w:tcW w:w="374" w:type="pct"/>
            <w:shd w:val="clear" w:color="auto" w:fill="D9D9D9" w:themeFill="background1" w:themeFillShade="D9"/>
          </w:tcPr>
          <w:p w14:paraId="57FD9B8F" w14:textId="77777777" w:rsidR="00D9349D" w:rsidRPr="007568DD" w:rsidRDefault="0022173D" w:rsidP="009808A0">
            <w:pPr>
              <w:spacing w:before="120" w:after="120"/>
              <w:jc w:val="center"/>
              <w:rPr>
                <w:rFonts w:ascii="Verdana" w:hAnsi="Verdana"/>
                <w:b/>
              </w:rPr>
            </w:pPr>
            <w:r w:rsidRPr="007568DD">
              <w:rPr>
                <w:rFonts w:ascii="Verdana" w:hAnsi="Verdana"/>
                <w:b/>
              </w:rPr>
              <w:t>Step</w:t>
            </w:r>
          </w:p>
        </w:tc>
        <w:tc>
          <w:tcPr>
            <w:tcW w:w="4626" w:type="pct"/>
            <w:gridSpan w:val="2"/>
            <w:shd w:val="clear" w:color="auto" w:fill="D9D9D9" w:themeFill="background1" w:themeFillShade="D9"/>
          </w:tcPr>
          <w:p w14:paraId="37459B36" w14:textId="77777777" w:rsidR="00D9349D" w:rsidRPr="007568DD" w:rsidRDefault="0022173D" w:rsidP="009808A0">
            <w:pPr>
              <w:spacing w:before="120" w:after="120"/>
              <w:jc w:val="center"/>
              <w:rPr>
                <w:rFonts w:ascii="Verdana" w:hAnsi="Verdana"/>
                <w:b/>
              </w:rPr>
            </w:pPr>
            <w:r w:rsidRPr="007568DD">
              <w:rPr>
                <w:rFonts w:ascii="Verdana" w:hAnsi="Verdana"/>
                <w:b/>
              </w:rPr>
              <w:t xml:space="preserve">Action </w:t>
            </w:r>
          </w:p>
        </w:tc>
      </w:tr>
      <w:bookmarkEnd w:id="20"/>
      <w:tr w:rsidR="00FF190B" w14:paraId="6B1CCC62" w14:textId="77777777" w:rsidTr="00652294">
        <w:tblPrEx>
          <w:tblLook w:val="04A0" w:firstRow="1" w:lastRow="0" w:firstColumn="1" w:lastColumn="0" w:noHBand="0" w:noVBand="1"/>
        </w:tblPrEx>
        <w:tc>
          <w:tcPr>
            <w:tcW w:w="374" w:type="pct"/>
            <w:vMerge w:val="restart"/>
          </w:tcPr>
          <w:p w14:paraId="78BB7B05" w14:textId="77777777" w:rsidR="00D9349D" w:rsidRDefault="0022173D" w:rsidP="009808A0">
            <w:pPr>
              <w:spacing w:before="120" w:after="120"/>
              <w:jc w:val="center"/>
              <w:rPr>
                <w:rFonts w:ascii="Verdana" w:hAnsi="Verdana"/>
                <w:b/>
              </w:rPr>
            </w:pPr>
            <w:r>
              <w:rPr>
                <w:rFonts w:ascii="Verdana" w:hAnsi="Verdana"/>
                <w:b/>
              </w:rPr>
              <w:t>1</w:t>
            </w:r>
          </w:p>
          <w:p w14:paraId="4B6B7982" w14:textId="77777777" w:rsidR="00D9349D" w:rsidRDefault="00D9349D" w:rsidP="009808A0">
            <w:pPr>
              <w:spacing w:before="120" w:after="120"/>
              <w:jc w:val="center"/>
              <w:rPr>
                <w:rFonts w:ascii="Verdana" w:hAnsi="Verdana"/>
                <w:b/>
              </w:rPr>
            </w:pPr>
          </w:p>
        </w:tc>
        <w:tc>
          <w:tcPr>
            <w:tcW w:w="4626" w:type="pct"/>
            <w:gridSpan w:val="2"/>
          </w:tcPr>
          <w:p w14:paraId="75215274" w14:textId="4F30F4BB" w:rsidR="00D9349D" w:rsidRPr="005C5D67" w:rsidRDefault="00DC3B8A" w:rsidP="009808A0">
            <w:pPr>
              <w:spacing w:before="120" w:after="120"/>
              <w:rPr>
                <w:rFonts w:ascii="Verdana" w:hAnsi="Verdana"/>
                <w:bCs/>
                <w:noProof/>
              </w:rPr>
            </w:pPr>
            <w:r>
              <w:rPr>
                <w:rFonts w:ascii="Verdana" w:hAnsi="Verdana"/>
                <w:bCs/>
                <w:noProof/>
              </w:rPr>
              <w:t xml:space="preserve">From </w:t>
            </w:r>
            <w:r w:rsidR="0022173D" w:rsidRPr="005C5D67">
              <w:rPr>
                <w:rFonts w:ascii="Verdana" w:hAnsi="Verdana"/>
                <w:bCs/>
                <w:noProof/>
              </w:rPr>
              <w:t xml:space="preserve">the </w:t>
            </w:r>
            <w:r w:rsidR="00D83991" w:rsidRPr="003F61F5">
              <w:rPr>
                <w:rFonts w:ascii="Verdana" w:hAnsi="Verdana"/>
                <w:noProof/>
              </w:rPr>
              <w:t>Accumulations</w:t>
            </w:r>
            <w:r w:rsidR="00D83991">
              <w:rPr>
                <w:rFonts w:ascii="Verdana" w:hAnsi="Verdana"/>
                <w:b/>
                <w:bCs/>
                <w:noProof/>
              </w:rPr>
              <w:t xml:space="preserve"> </w:t>
            </w:r>
            <w:r w:rsidR="00E5183E" w:rsidRPr="003F61F5">
              <w:rPr>
                <w:rFonts w:ascii="Verdana" w:hAnsi="Verdana"/>
                <w:noProof/>
              </w:rPr>
              <w:t>screen</w:t>
            </w:r>
            <w:r w:rsidR="003F61F5">
              <w:rPr>
                <w:rFonts w:ascii="Verdana" w:hAnsi="Verdana"/>
                <w:noProof/>
              </w:rPr>
              <w:t>,</w:t>
            </w:r>
            <w:r w:rsidR="00E5183E" w:rsidRPr="003F61F5">
              <w:rPr>
                <w:rFonts w:ascii="Verdana" w:hAnsi="Verdana"/>
                <w:noProof/>
              </w:rPr>
              <w:t xml:space="preserve"> click the</w:t>
            </w:r>
            <w:r w:rsidR="00E5183E">
              <w:rPr>
                <w:rFonts w:ascii="Verdana" w:hAnsi="Verdana"/>
                <w:b/>
                <w:bCs/>
                <w:noProof/>
              </w:rPr>
              <w:t xml:space="preserve"> View Claims </w:t>
            </w:r>
            <w:r w:rsidR="00E5183E" w:rsidRPr="003F61F5">
              <w:rPr>
                <w:rFonts w:ascii="Verdana" w:hAnsi="Verdana"/>
                <w:noProof/>
              </w:rPr>
              <w:t>button</w:t>
            </w:r>
            <w:r w:rsidR="00E5183E">
              <w:rPr>
                <w:rFonts w:ascii="Verdana" w:hAnsi="Verdana"/>
                <w:b/>
                <w:bCs/>
                <w:noProof/>
              </w:rPr>
              <w:t xml:space="preserve"> </w:t>
            </w:r>
            <w:r w:rsidR="00950321" w:rsidRPr="003F61F5">
              <w:rPr>
                <w:rFonts w:ascii="Verdana" w:hAnsi="Verdana"/>
                <w:noProof/>
              </w:rPr>
              <w:t>under</w:t>
            </w:r>
            <w:r w:rsidR="003F61F5">
              <w:rPr>
                <w:rFonts w:ascii="Verdana" w:hAnsi="Verdana"/>
                <w:noProof/>
              </w:rPr>
              <w:t xml:space="preserve"> the</w:t>
            </w:r>
            <w:r w:rsidR="00950321">
              <w:rPr>
                <w:rFonts w:ascii="Verdana" w:hAnsi="Verdana"/>
                <w:b/>
                <w:bCs/>
                <w:noProof/>
              </w:rPr>
              <w:t xml:space="preserve"> </w:t>
            </w:r>
            <w:r w:rsidR="001F57EF">
              <w:rPr>
                <w:rFonts w:ascii="Verdana" w:hAnsi="Verdana"/>
                <w:b/>
                <w:bCs/>
                <w:noProof/>
              </w:rPr>
              <w:t xml:space="preserve">Deductible </w:t>
            </w:r>
            <w:r w:rsidR="001F57EF" w:rsidRPr="003F61F5">
              <w:rPr>
                <w:rFonts w:ascii="Verdana" w:hAnsi="Verdana"/>
                <w:noProof/>
              </w:rPr>
              <w:t>or</w:t>
            </w:r>
            <w:r w:rsidR="001F57EF">
              <w:rPr>
                <w:rFonts w:ascii="Verdana" w:hAnsi="Verdana"/>
                <w:b/>
                <w:bCs/>
                <w:noProof/>
              </w:rPr>
              <w:t xml:space="preserve"> </w:t>
            </w:r>
            <w:r w:rsidR="00641AEC">
              <w:rPr>
                <w:rFonts w:ascii="Verdana" w:hAnsi="Verdana"/>
                <w:b/>
                <w:bCs/>
                <w:noProof/>
              </w:rPr>
              <w:t xml:space="preserve">OOP </w:t>
            </w:r>
            <w:r w:rsidR="00641AEC" w:rsidRPr="003F61F5">
              <w:rPr>
                <w:rFonts w:ascii="Verdana" w:hAnsi="Verdana"/>
                <w:noProof/>
              </w:rPr>
              <w:t>column.</w:t>
            </w:r>
            <w:r w:rsidR="00641AEC">
              <w:rPr>
                <w:rFonts w:ascii="Verdana" w:hAnsi="Verdana"/>
                <w:b/>
                <w:bCs/>
                <w:noProof/>
              </w:rPr>
              <w:t xml:space="preserve">  </w:t>
            </w:r>
            <w:r w:rsidR="0022173D">
              <w:rPr>
                <w:rFonts w:ascii="Verdana" w:hAnsi="Verdana"/>
                <w:bCs/>
                <w:noProof/>
              </w:rPr>
              <w:t>Review</w:t>
            </w:r>
            <w:r w:rsidR="0022173D" w:rsidRPr="005C5D67">
              <w:rPr>
                <w:rFonts w:ascii="Verdana" w:hAnsi="Verdana"/>
                <w:bCs/>
                <w:noProof/>
              </w:rPr>
              <w:t xml:space="preserve"> the Pharmacy Claims and Pharmacy/Medical Adjustments</w:t>
            </w:r>
            <w:r w:rsidR="0022173D">
              <w:rPr>
                <w:rFonts w:ascii="Verdana" w:hAnsi="Verdana"/>
                <w:bCs/>
                <w:noProof/>
              </w:rPr>
              <w:t xml:space="preserve"> and look </w:t>
            </w:r>
            <w:r w:rsidR="0022173D" w:rsidRPr="005C5D67">
              <w:rPr>
                <w:rFonts w:ascii="Verdana" w:hAnsi="Verdana"/>
                <w:bCs/>
                <w:noProof/>
              </w:rPr>
              <w:t>for reversals.</w:t>
            </w:r>
          </w:p>
          <w:p w14:paraId="1A65315E" w14:textId="65B44B7D" w:rsidR="00D9349D" w:rsidRDefault="0022173D" w:rsidP="009808A0">
            <w:pPr>
              <w:spacing w:before="120" w:after="120"/>
              <w:rPr>
                <w:rFonts w:ascii="Verdana" w:hAnsi="Verdana"/>
                <w:bCs/>
                <w:noProof/>
              </w:rPr>
            </w:pPr>
            <w:r>
              <w:rPr>
                <w:rFonts w:ascii="Verdana" w:hAnsi="Verdana"/>
                <w:b/>
                <w:bCs/>
                <w:noProof/>
              </w:rPr>
              <w:t xml:space="preserve">Note: </w:t>
            </w:r>
            <w:r>
              <w:rPr>
                <w:rFonts w:ascii="Verdana" w:hAnsi="Verdana"/>
                <w:bCs/>
                <w:noProof/>
              </w:rPr>
              <w:t xml:space="preserve"> Reversals are identified by a </w:t>
            </w:r>
            <w:r w:rsidR="00E674CF">
              <w:rPr>
                <w:rFonts w:ascii="Verdana" w:hAnsi="Verdana"/>
                <w:bCs/>
                <w:noProof/>
              </w:rPr>
              <w:t>negative (</w:t>
            </w:r>
            <w:r>
              <w:rPr>
                <w:rFonts w:ascii="Verdana" w:hAnsi="Verdana"/>
                <w:bCs/>
                <w:noProof/>
              </w:rPr>
              <w:t>-</w:t>
            </w:r>
            <w:r w:rsidR="00E674CF">
              <w:rPr>
                <w:rFonts w:ascii="Verdana" w:hAnsi="Verdana"/>
                <w:bCs/>
                <w:noProof/>
              </w:rPr>
              <w:t>)</w:t>
            </w:r>
            <w:r>
              <w:rPr>
                <w:rFonts w:ascii="Verdana" w:hAnsi="Verdana"/>
                <w:bCs/>
                <w:noProof/>
              </w:rPr>
              <w:t xml:space="preserve"> sign next to the amount.</w:t>
            </w:r>
          </w:p>
          <w:p w14:paraId="37239520" w14:textId="4944DFE8" w:rsidR="00D566C1" w:rsidRDefault="00D566C1" w:rsidP="009808A0">
            <w:pPr>
              <w:spacing w:before="120" w:after="120"/>
              <w:jc w:val="center"/>
              <w:rPr>
                <w:rFonts w:ascii="Verdana" w:hAnsi="Verdana"/>
                <w:bCs/>
                <w:noProof/>
              </w:rPr>
            </w:pPr>
          </w:p>
        </w:tc>
      </w:tr>
      <w:tr w:rsidR="00FF190B" w14:paraId="52F516E4" w14:textId="77777777" w:rsidTr="00652294">
        <w:tblPrEx>
          <w:tblLook w:val="04A0" w:firstRow="1" w:lastRow="0" w:firstColumn="1" w:lastColumn="0" w:noHBand="0" w:noVBand="1"/>
        </w:tblPrEx>
        <w:tc>
          <w:tcPr>
            <w:tcW w:w="374" w:type="pct"/>
            <w:vMerge/>
          </w:tcPr>
          <w:p w14:paraId="4AD9AAAF" w14:textId="77777777" w:rsidR="00D9349D" w:rsidRDefault="00D9349D" w:rsidP="009808A0">
            <w:pPr>
              <w:spacing w:before="120" w:after="120"/>
              <w:jc w:val="center"/>
              <w:rPr>
                <w:rFonts w:ascii="Verdana" w:hAnsi="Verdana"/>
                <w:b/>
              </w:rPr>
            </w:pPr>
          </w:p>
        </w:tc>
        <w:tc>
          <w:tcPr>
            <w:tcW w:w="995" w:type="pct"/>
            <w:shd w:val="clear" w:color="auto" w:fill="D9D9D9" w:themeFill="background1" w:themeFillShade="D9"/>
          </w:tcPr>
          <w:p w14:paraId="1B75E8BF" w14:textId="77777777" w:rsidR="00D9349D" w:rsidRDefault="0022173D" w:rsidP="009808A0">
            <w:pPr>
              <w:spacing w:before="120" w:after="120"/>
              <w:jc w:val="center"/>
              <w:rPr>
                <w:rFonts w:ascii="Verdana" w:hAnsi="Verdana"/>
                <w:bCs/>
                <w:noProof/>
              </w:rPr>
            </w:pPr>
            <w:r>
              <w:rPr>
                <w:rFonts w:ascii="Verdana" w:hAnsi="Verdana"/>
                <w:b/>
                <w:bCs/>
                <w:noProof/>
              </w:rPr>
              <w:t>If a Reversal is…</w:t>
            </w:r>
          </w:p>
        </w:tc>
        <w:tc>
          <w:tcPr>
            <w:tcW w:w="3631" w:type="pct"/>
            <w:shd w:val="clear" w:color="auto" w:fill="D9D9D9" w:themeFill="background1" w:themeFillShade="D9"/>
          </w:tcPr>
          <w:p w14:paraId="156EB3D1" w14:textId="77777777" w:rsidR="00D9349D" w:rsidRDefault="0022173D" w:rsidP="009808A0">
            <w:pPr>
              <w:spacing w:before="120" w:after="120"/>
              <w:jc w:val="center"/>
              <w:rPr>
                <w:rFonts w:ascii="Verdana" w:hAnsi="Verdana"/>
                <w:bCs/>
                <w:noProof/>
              </w:rPr>
            </w:pPr>
            <w:r>
              <w:rPr>
                <w:rFonts w:ascii="Verdana" w:hAnsi="Verdana"/>
                <w:b/>
                <w:bCs/>
                <w:noProof/>
              </w:rPr>
              <w:t>Then…</w:t>
            </w:r>
          </w:p>
        </w:tc>
      </w:tr>
      <w:tr w:rsidR="00FF190B" w14:paraId="7AB6A772" w14:textId="77777777" w:rsidTr="00652294">
        <w:tblPrEx>
          <w:tblLook w:val="04A0" w:firstRow="1" w:lastRow="0" w:firstColumn="1" w:lastColumn="0" w:noHBand="0" w:noVBand="1"/>
        </w:tblPrEx>
        <w:tc>
          <w:tcPr>
            <w:tcW w:w="374" w:type="pct"/>
            <w:vMerge/>
          </w:tcPr>
          <w:p w14:paraId="1F7C0AFD" w14:textId="77777777" w:rsidR="00D9349D" w:rsidRDefault="00D9349D" w:rsidP="009808A0">
            <w:pPr>
              <w:spacing w:before="120" w:after="120"/>
              <w:jc w:val="center"/>
              <w:rPr>
                <w:rFonts w:ascii="Verdana" w:hAnsi="Verdana"/>
                <w:b/>
              </w:rPr>
            </w:pPr>
          </w:p>
        </w:tc>
        <w:tc>
          <w:tcPr>
            <w:tcW w:w="995" w:type="pct"/>
          </w:tcPr>
          <w:p w14:paraId="74BE3D6F" w14:textId="77777777" w:rsidR="00D9349D" w:rsidRDefault="0022173D" w:rsidP="009808A0">
            <w:pPr>
              <w:spacing w:before="120" w:after="120"/>
              <w:rPr>
                <w:rFonts w:ascii="Verdana" w:hAnsi="Verdana"/>
                <w:bCs/>
                <w:noProof/>
              </w:rPr>
            </w:pPr>
            <w:r>
              <w:rPr>
                <w:rFonts w:ascii="Verdana" w:hAnsi="Verdana"/>
                <w:bCs/>
                <w:noProof/>
              </w:rPr>
              <w:t>Present</w:t>
            </w:r>
          </w:p>
        </w:tc>
        <w:tc>
          <w:tcPr>
            <w:tcW w:w="3631" w:type="pct"/>
          </w:tcPr>
          <w:p w14:paraId="4147CE00" w14:textId="77777777" w:rsidR="00D9349D" w:rsidRPr="005C5D67" w:rsidRDefault="0022173D" w:rsidP="009808A0">
            <w:pPr>
              <w:spacing w:before="120" w:after="120"/>
              <w:rPr>
                <w:rFonts w:ascii="Verdana" w:hAnsi="Verdana"/>
                <w:bCs/>
                <w:noProof/>
              </w:rPr>
            </w:pPr>
            <w:r w:rsidRPr="005C5D67">
              <w:rPr>
                <w:rFonts w:ascii="Verdana" w:hAnsi="Verdana"/>
                <w:bCs/>
                <w:noProof/>
              </w:rPr>
              <w:t xml:space="preserve">Advise the member there has been a reversal from their medical plan and this may have brought them under their required balance for deductible or MOOP. This means that the balance has not been met at this time. </w:t>
            </w:r>
          </w:p>
        </w:tc>
      </w:tr>
      <w:tr w:rsidR="00FF190B" w14:paraId="54C7F8AE" w14:textId="77777777" w:rsidTr="00652294">
        <w:tblPrEx>
          <w:tblLook w:val="04A0" w:firstRow="1" w:lastRow="0" w:firstColumn="1" w:lastColumn="0" w:noHBand="0" w:noVBand="1"/>
        </w:tblPrEx>
        <w:tc>
          <w:tcPr>
            <w:tcW w:w="374" w:type="pct"/>
            <w:vMerge/>
          </w:tcPr>
          <w:p w14:paraId="4C42AB43" w14:textId="77777777" w:rsidR="00D9349D" w:rsidRDefault="00D9349D" w:rsidP="009808A0">
            <w:pPr>
              <w:spacing w:before="120" w:after="120"/>
              <w:jc w:val="center"/>
              <w:rPr>
                <w:rFonts w:ascii="Verdana" w:hAnsi="Verdana"/>
                <w:b/>
              </w:rPr>
            </w:pPr>
          </w:p>
        </w:tc>
        <w:tc>
          <w:tcPr>
            <w:tcW w:w="995" w:type="pct"/>
          </w:tcPr>
          <w:p w14:paraId="34B10414" w14:textId="77777777" w:rsidR="00D9349D" w:rsidRDefault="0022173D" w:rsidP="009808A0">
            <w:pPr>
              <w:spacing w:before="120" w:after="120"/>
              <w:rPr>
                <w:rFonts w:ascii="Verdana" w:hAnsi="Verdana"/>
                <w:bCs/>
                <w:noProof/>
              </w:rPr>
            </w:pPr>
            <w:r>
              <w:rPr>
                <w:rFonts w:ascii="Verdana" w:hAnsi="Verdana"/>
                <w:bCs/>
                <w:noProof/>
              </w:rPr>
              <w:t xml:space="preserve">Not present </w:t>
            </w:r>
          </w:p>
        </w:tc>
        <w:tc>
          <w:tcPr>
            <w:tcW w:w="3631" w:type="pct"/>
          </w:tcPr>
          <w:p w14:paraId="05F64BD6" w14:textId="77777777" w:rsidR="00D9349D" w:rsidRPr="005C5D67" w:rsidRDefault="0022173D" w:rsidP="009808A0">
            <w:pPr>
              <w:spacing w:before="120" w:after="120"/>
              <w:rPr>
                <w:rFonts w:ascii="Verdana" w:hAnsi="Verdana"/>
                <w:bCs/>
                <w:noProof/>
              </w:rPr>
            </w:pPr>
            <w:r w:rsidRPr="005C5D67">
              <w:rPr>
                <w:rFonts w:ascii="Verdana" w:hAnsi="Verdana"/>
                <w:bCs/>
                <w:noProof/>
              </w:rPr>
              <w:t xml:space="preserve">Proceed to the next step. </w:t>
            </w:r>
          </w:p>
        </w:tc>
      </w:tr>
      <w:tr w:rsidR="00FF190B" w14:paraId="19F22DB6" w14:textId="77777777" w:rsidTr="00652294">
        <w:tblPrEx>
          <w:tblLook w:val="04A0" w:firstRow="1" w:lastRow="0" w:firstColumn="1" w:lastColumn="0" w:noHBand="0" w:noVBand="1"/>
        </w:tblPrEx>
        <w:tc>
          <w:tcPr>
            <w:tcW w:w="374" w:type="pct"/>
            <w:vMerge w:val="restart"/>
          </w:tcPr>
          <w:p w14:paraId="169BFDEF" w14:textId="77777777" w:rsidR="00D9349D" w:rsidRDefault="0022173D" w:rsidP="009808A0">
            <w:pPr>
              <w:spacing w:before="120" w:after="120"/>
              <w:jc w:val="center"/>
              <w:rPr>
                <w:rFonts w:ascii="Verdana" w:hAnsi="Verdana"/>
                <w:b/>
              </w:rPr>
            </w:pPr>
            <w:r>
              <w:rPr>
                <w:rFonts w:ascii="Verdana" w:hAnsi="Verdana"/>
                <w:b/>
              </w:rPr>
              <w:t>2</w:t>
            </w:r>
          </w:p>
          <w:p w14:paraId="796981AD" w14:textId="77777777" w:rsidR="00D9349D" w:rsidRPr="007568DD" w:rsidRDefault="0022173D" w:rsidP="009808A0">
            <w:pPr>
              <w:spacing w:before="120" w:after="120"/>
              <w:jc w:val="center"/>
              <w:rPr>
                <w:rFonts w:ascii="Verdana" w:hAnsi="Verdana"/>
                <w:b/>
              </w:rPr>
            </w:pPr>
            <w:r>
              <w:rPr>
                <w:noProof/>
              </w:rPr>
              <w:t xml:space="preserve"> </w:t>
            </w:r>
          </w:p>
        </w:tc>
        <w:tc>
          <w:tcPr>
            <w:tcW w:w="4626" w:type="pct"/>
            <w:gridSpan w:val="2"/>
          </w:tcPr>
          <w:p w14:paraId="5FA0D177" w14:textId="0480B7D1" w:rsidR="00D9349D" w:rsidRPr="00AB10D8" w:rsidRDefault="0022173D" w:rsidP="009808A0">
            <w:pPr>
              <w:spacing w:before="120" w:after="120"/>
              <w:rPr>
                <w:rFonts w:ascii="Verdana" w:hAnsi="Verdana"/>
                <w:bCs/>
                <w:noProof/>
              </w:rPr>
            </w:pPr>
            <w:r w:rsidRPr="005C5D67">
              <w:rPr>
                <w:rFonts w:ascii="Verdana" w:hAnsi="Verdana"/>
                <w:bCs/>
                <w:noProof/>
              </w:rPr>
              <w:t xml:space="preserve">Verify that the Accumulated Amount is </w:t>
            </w:r>
            <w:r w:rsidRPr="005C5D67">
              <w:rPr>
                <w:rFonts w:ascii="Verdana" w:hAnsi="Verdana"/>
                <w:noProof/>
              </w:rPr>
              <w:t>more</w:t>
            </w:r>
            <w:r w:rsidRPr="005C5D67">
              <w:rPr>
                <w:rFonts w:ascii="Verdana" w:hAnsi="Verdana"/>
                <w:bCs/>
                <w:noProof/>
              </w:rPr>
              <w:t xml:space="preserve"> than the Limit Amount for either the deductible or the OOP.  </w:t>
            </w:r>
            <w:r>
              <w:rPr>
                <w:rFonts w:ascii="Verdana" w:hAnsi="Verdana"/>
                <w:bCs/>
                <w:noProof/>
              </w:rPr>
              <w:t>Refer to</w:t>
            </w:r>
            <w:r w:rsidR="00D868FB">
              <w:rPr>
                <w:rFonts w:ascii="Verdana" w:hAnsi="Verdana"/>
                <w:bCs/>
                <w:noProof/>
              </w:rPr>
              <w:t xml:space="preserve"> </w:t>
            </w:r>
            <w:hyperlink r:id="rId19" w:anchor="!/view?docid=c4fb8a09-f22f-49cd-a22d-71930039f08c" w:history="1">
              <w:r w:rsidR="003509D6" w:rsidRPr="00593AF6">
                <w:rPr>
                  <w:rStyle w:val="Hyperlink"/>
                  <w:rFonts w:ascii="Verdana" w:hAnsi="Verdana"/>
                </w:rPr>
                <w:t>Compass - Viewing Accumulations (050010)</w:t>
              </w:r>
            </w:hyperlink>
            <w:r w:rsidR="003509D6" w:rsidRPr="003509D6" w:rsidDel="003509D6">
              <w:t xml:space="preserve"> </w:t>
            </w:r>
            <w:r w:rsidRPr="00AB10D8">
              <w:rPr>
                <w:rFonts w:ascii="Verdana" w:hAnsi="Verdana"/>
                <w:b/>
                <w:bCs/>
              </w:rPr>
              <w:t>or</w:t>
            </w:r>
            <w:r w:rsidRPr="00AB10D8">
              <w:rPr>
                <w:rFonts w:ascii="Verdana" w:hAnsi="Verdana"/>
              </w:rPr>
              <w:t xml:space="preserve"> </w:t>
            </w:r>
            <w:hyperlink r:id="rId20" w:anchor="!/view?docid=12f37233-9a3a-4a6d-bd6f-a3ce23787904" w:history="1">
              <w:r w:rsidRPr="00AB10D8">
                <w:rPr>
                  <w:rStyle w:val="Hyperlink"/>
                  <w:rFonts w:ascii="Verdana" w:hAnsi="Verdana"/>
                </w:rPr>
                <w:t>CarelonRx Accumulators - Deductible, HDHP, MAB and MOOPs</w:t>
              </w:r>
            </w:hyperlink>
            <w:r w:rsidR="00AB10D8" w:rsidRPr="00AB10D8">
              <w:rPr>
                <w:rStyle w:val="Hyperlink"/>
                <w:rFonts w:ascii="Verdana" w:hAnsi="Verdana"/>
              </w:rPr>
              <w:t xml:space="preserve"> (</w:t>
            </w:r>
            <w:r w:rsidR="001F2F5C">
              <w:rPr>
                <w:rStyle w:val="Hyperlink"/>
                <w:rFonts w:ascii="Verdana" w:hAnsi="Verdana"/>
              </w:rPr>
              <w:t>0</w:t>
            </w:r>
            <w:r w:rsidR="00AB10D8" w:rsidRPr="00AB10D8">
              <w:rPr>
                <w:rStyle w:val="Hyperlink"/>
                <w:rFonts w:ascii="Verdana" w:hAnsi="Verdana"/>
              </w:rPr>
              <w:t>18947)</w:t>
            </w:r>
            <w:r w:rsidRPr="00AB10D8">
              <w:rPr>
                <w:rFonts w:ascii="Verdana" w:hAnsi="Verdana"/>
              </w:rPr>
              <w:t>.</w:t>
            </w:r>
            <w:r w:rsidRPr="00AB10D8">
              <w:rPr>
                <w:rFonts w:ascii="Verdana" w:hAnsi="Verdana"/>
                <w:bCs/>
                <w:noProof/>
              </w:rPr>
              <w:t xml:space="preserve"> </w:t>
            </w:r>
          </w:p>
          <w:p w14:paraId="46327CFF" w14:textId="77777777" w:rsidR="00D9349D" w:rsidRPr="007568DD" w:rsidRDefault="00D9349D" w:rsidP="009808A0">
            <w:pPr>
              <w:spacing w:before="120" w:after="120"/>
              <w:jc w:val="center"/>
              <w:rPr>
                <w:rFonts w:ascii="Verdana" w:hAnsi="Verdana"/>
              </w:rPr>
            </w:pPr>
          </w:p>
        </w:tc>
      </w:tr>
      <w:tr w:rsidR="00FF190B" w14:paraId="69370309" w14:textId="77777777" w:rsidTr="00652294">
        <w:tblPrEx>
          <w:tblLook w:val="04A0" w:firstRow="1" w:lastRow="0" w:firstColumn="1" w:lastColumn="0" w:noHBand="0" w:noVBand="1"/>
        </w:tblPrEx>
        <w:tc>
          <w:tcPr>
            <w:tcW w:w="374" w:type="pct"/>
            <w:vMerge/>
          </w:tcPr>
          <w:p w14:paraId="7AD0683E" w14:textId="77777777" w:rsidR="00D9349D" w:rsidRDefault="00D9349D" w:rsidP="009808A0">
            <w:pPr>
              <w:spacing w:before="120" w:after="120"/>
              <w:jc w:val="center"/>
              <w:rPr>
                <w:rFonts w:ascii="Verdana" w:hAnsi="Verdana"/>
                <w:b/>
              </w:rPr>
            </w:pPr>
          </w:p>
        </w:tc>
        <w:tc>
          <w:tcPr>
            <w:tcW w:w="995" w:type="pct"/>
            <w:shd w:val="clear" w:color="auto" w:fill="D9D9D9" w:themeFill="background1" w:themeFillShade="D9"/>
          </w:tcPr>
          <w:p w14:paraId="283C1D84" w14:textId="77777777" w:rsidR="00D9349D" w:rsidRPr="007568DD" w:rsidRDefault="0022173D" w:rsidP="009808A0">
            <w:pPr>
              <w:spacing w:before="120" w:after="120"/>
              <w:jc w:val="center"/>
              <w:rPr>
                <w:rFonts w:ascii="Verdana" w:hAnsi="Verdana"/>
                <w:b/>
                <w:bCs/>
                <w:noProof/>
              </w:rPr>
            </w:pPr>
            <w:r>
              <w:rPr>
                <w:rFonts w:ascii="Verdana" w:hAnsi="Verdana"/>
                <w:b/>
                <w:bCs/>
                <w:noProof/>
              </w:rPr>
              <w:t>If…</w:t>
            </w:r>
          </w:p>
        </w:tc>
        <w:tc>
          <w:tcPr>
            <w:tcW w:w="3631" w:type="pct"/>
            <w:shd w:val="clear" w:color="auto" w:fill="D9D9D9" w:themeFill="background1" w:themeFillShade="D9"/>
          </w:tcPr>
          <w:p w14:paraId="254528B2" w14:textId="77777777" w:rsidR="00D9349D" w:rsidRPr="007568DD" w:rsidRDefault="0022173D" w:rsidP="009808A0">
            <w:pPr>
              <w:spacing w:before="120" w:after="120"/>
              <w:jc w:val="center"/>
              <w:rPr>
                <w:rFonts w:ascii="Verdana" w:hAnsi="Verdana"/>
                <w:b/>
                <w:bCs/>
                <w:noProof/>
              </w:rPr>
            </w:pPr>
            <w:r>
              <w:rPr>
                <w:rFonts w:ascii="Verdana" w:hAnsi="Verdana"/>
                <w:b/>
                <w:bCs/>
                <w:noProof/>
              </w:rPr>
              <w:t>Then…</w:t>
            </w:r>
          </w:p>
        </w:tc>
      </w:tr>
      <w:tr w:rsidR="00FF190B" w14:paraId="5F9C558E" w14:textId="77777777" w:rsidTr="00652294">
        <w:tblPrEx>
          <w:tblLook w:val="04A0" w:firstRow="1" w:lastRow="0" w:firstColumn="1" w:lastColumn="0" w:noHBand="0" w:noVBand="1"/>
        </w:tblPrEx>
        <w:tc>
          <w:tcPr>
            <w:tcW w:w="374" w:type="pct"/>
            <w:vMerge/>
          </w:tcPr>
          <w:p w14:paraId="7E7C7052" w14:textId="77777777" w:rsidR="00D9349D" w:rsidRDefault="00D9349D" w:rsidP="009808A0">
            <w:pPr>
              <w:spacing w:before="120" w:after="120"/>
              <w:jc w:val="center"/>
              <w:rPr>
                <w:rFonts w:ascii="Verdana" w:hAnsi="Verdana"/>
                <w:b/>
              </w:rPr>
            </w:pPr>
          </w:p>
        </w:tc>
        <w:tc>
          <w:tcPr>
            <w:tcW w:w="995" w:type="pct"/>
          </w:tcPr>
          <w:p w14:paraId="06EDE3E4" w14:textId="77777777" w:rsidR="00D9349D" w:rsidRDefault="0022173D" w:rsidP="009808A0">
            <w:pPr>
              <w:spacing w:before="120" w:after="120"/>
              <w:rPr>
                <w:rFonts w:ascii="Verdana" w:hAnsi="Verdana"/>
                <w:bCs/>
                <w:noProof/>
              </w:rPr>
            </w:pPr>
            <w:r>
              <w:rPr>
                <w:rFonts w:ascii="Verdana" w:hAnsi="Verdana"/>
                <w:bCs/>
                <w:noProof/>
              </w:rPr>
              <w:t>Yes</w:t>
            </w:r>
          </w:p>
        </w:tc>
        <w:tc>
          <w:tcPr>
            <w:tcW w:w="3631" w:type="pct"/>
          </w:tcPr>
          <w:p w14:paraId="6F4C5D18" w14:textId="77777777" w:rsidR="00D9349D" w:rsidRDefault="0022173D" w:rsidP="009808A0">
            <w:pPr>
              <w:spacing w:before="120" w:after="120"/>
              <w:rPr>
                <w:rFonts w:ascii="Verdana" w:hAnsi="Verdana"/>
                <w:bCs/>
                <w:noProof/>
              </w:rPr>
            </w:pPr>
            <w:r>
              <w:rPr>
                <w:rFonts w:ascii="Verdana" w:hAnsi="Verdana"/>
                <w:bCs/>
                <w:noProof/>
              </w:rPr>
              <w:t xml:space="preserve">Proceed to the next step. </w:t>
            </w:r>
          </w:p>
        </w:tc>
      </w:tr>
      <w:tr w:rsidR="00FF190B" w14:paraId="2BF76E83" w14:textId="77777777" w:rsidTr="00652294">
        <w:tblPrEx>
          <w:tblLook w:val="04A0" w:firstRow="1" w:lastRow="0" w:firstColumn="1" w:lastColumn="0" w:noHBand="0" w:noVBand="1"/>
        </w:tblPrEx>
        <w:tc>
          <w:tcPr>
            <w:tcW w:w="374" w:type="pct"/>
            <w:vMerge/>
          </w:tcPr>
          <w:p w14:paraId="0B8B21E6" w14:textId="77777777" w:rsidR="00D9349D" w:rsidRDefault="00D9349D" w:rsidP="009808A0">
            <w:pPr>
              <w:spacing w:before="120" w:after="120"/>
              <w:jc w:val="center"/>
              <w:rPr>
                <w:rFonts w:ascii="Verdana" w:hAnsi="Verdana"/>
                <w:b/>
              </w:rPr>
            </w:pPr>
          </w:p>
        </w:tc>
        <w:tc>
          <w:tcPr>
            <w:tcW w:w="995" w:type="pct"/>
          </w:tcPr>
          <w:p w14:paraId="73A02AF3" w14:textId="77777777" w:rsidR="00D9349D" w:rsidRDefault="0022173D" w:rsidP="009808A0">
            <w:pPr>
              <w:spacing w:before="120" w:after="120"/>
              <w:rPr>
                <w:rFonts w:ascii="Verdana" w:hAnsi="Verdana"/>
                <w:bCs/>
                <w:noProof/>
              </w:rPr>
            </w:pPr>
            <w:r>
              <w:rPr>
                <w:rFonts w:ascii="Verdana" w:hAnsi="Verdana"/>
                <w:bCs/>
                <w:noProof/>
              </w:rPr>
              <w:t>No</w:t>
            </w:r>
          </w:p>
        </w:tc>
        <w:tc>
          <w:tcPr>
            <w:tcW w:w="3631" w:type="pct"/>
          </w:tcPr>
          <w:p w14:paraId="629CA788" w14:textId="716FC374" w:rsidR="00D9349D" w:rsidRDefault="0022173D" w:rsidP="009808A0">
            <w:pPr>
              <w:spacing w:before="120" w:after="120"/>
              <w:rPr>
                <w:rFonts w:ascii="Verdana" w:hAnsi="Verdana"/>
                <w:bCs/>
                <w:noProof/>
              </w:rPr>
            </w:pPr>
            <w:r>
              <w:rPr>
                <w:rFonts w:ascii="Verdana" w:hAnsi="Verdana"/>
                <w:bCs/>
                <w:noProof/>
              </w:rPr>
              <w:t xml:space="preserve">Advise the member that our records do not display </w:t>
            </w:r>
            <w:r w:rsidR="00E12157">
              <w:rPr>
                <w:rFonts w:ascii="Verdana" w:hAnsi="Verdana"/>
                <w:bCs/>
                <w:noProof/>
              </w:rPr>
              <w:t>a</w:t>
            </w:r>
            <w:r>
              <w:rPr>
                <w:rFonts w:ascii="Verdana" w:hAnsi="Verdana"/>
                <w:bCs/>
                <w:noProof/>
              </w:rPr>
              <w:t xml:space="preserve">n overpayment at this time, ask probing questions to determine why the member feels they are entitled to an overpayment. </w:t>
            </w:r>
          </w:p>
          <w:p w14:paraId="2ED404F8" w14:textId="77777777" w:rsidR="00D9349D" w:rsidRDefault="0022173D" w:rsidP="009808A0">
            <w:pPr>
              <w:numPr>
                <w:ilvl w:val="0"/>
                <w:numId w:val="3"/>
              </w:numPr>
              <w:spacing w:before="120" w:after="120"/>
              <w:ind w:left="421" w:hanging="421"/>
              <w:rPr>
                <w:rFonts w:ascii="Verdana" w:hAnsi="Verdana"/>
                <w:bCs/>
                <w:noProof/>
              </w:rPr>
            </w:pPr>
            <w:r>
              <w:rPr>
                <w:rFonts w:ascii="Verdana" w:hAnsi="Verdana"/>
                <w:bCs/>
                <w:noProof/>
              </w:rPr>
              <w:t>If possible, advise the member to contact their medical benefits or provider to ensure all claims have processed as expected.</w:t>
            </w:r>
          </w:p>
          <w:p w14:paraId="16CF5B8A" w14:textId="77777777" w:rsidR="00D9349D" w:rsidRPr="007568DD" w:rsidRDefault="0022173D" w:rsidP="009808A0">
            <w:pPr>
              <w:spacing w:before="120" w:after="120"/>
              <w:rPr>
                <w:rFonts w:ascii="Verdana" w:hAnsi="Verdana"/>
                <w:bCs/>
                <w:noProof/>
              </w:rPr>
            </w:pPr>
            <w:r>
              <w:rPr>
                <w:rFonts w:ascii="Verdana" w:hAnsi="Verdana"/>
                <w:b/>
                <w:bCs/>
                <w:noProof/>
              </w:rPr>
              <w:t xml:space="preserve">Example:  </w:t>
            </w:r>
            <w:r w:rsidRPr="007568DD">
              <w:rPr>
                <w:rFonts w:ascii="Verdana" w:hAnsi="Verdana"/>
                <w:bCs/>
                <w:noProof/>
              </w:rPr>
              <w:t>The member may have a medical claim that has not processed.</w:t>
            </w:r>
          </w:p>
        </w:tc>
      </w:tr>
      <w:tr w:rsidR="00FF190B" w14:paraId="02FA740D" w14:textId="77777777" w:rsidTr="00652294">
        <w:tblPrEx>
          <w:tblLook w:val="04A0" w:firstRow="1" w:lastRow="0" w:firstColumn="1" w:lastColumn="0" w:noHBand="0" w:noVBand="1"/>
        </w:tblPrEx>
        <w:tc>
          <w:tcPr>
            <w:tcW w:w="374" w:type="pct"/>
          </w:tcPr>
          <w:p w14:paraId="4E5765F7" w14:textId="77777777" w:rsidR="00D9349D" w:rsidRDefault="0022173D" w:rsidP="00D9349D">
            <w:pPr>
              <w:spacing w:before="120" w:after="120"/>
              <w:jc w:val="center"/>
              <w:rPr>
                <w:rFonts w:ascii="Verdana" w:hAnsi="Verdana"/>
                <w:b/>
              </w:rPr>
            </w:pPr>
            <w:r>
              <w:rPr>
                <w:rFonts w:ascii="Verdana" w:hAnsi="Verdana"/>
                <w:b/>
              </w:rPr>
              <w:t>3</w:t>
            </w:r>
          </w:p>
          <w:p w14:paraId="09EF8E6C" w14:textId="77777777" w:rsidR="00D9349D" w:rsidRPr="007568DD" w:rsidRDefault="0022173D" w:rsidP="00D9349D">
            <w:pPr>
              <w:spacing w:before="120" w:after="120"/>
              <w:jc w:val="center"/>
              <w:rPr>
                <w:rFonts w:ascii="Verdana" w:hAnsi="Verdana"/>
                <w:b/>
              </w:rPr>
            </w:pPr>
            <w:r>
              <w:rPr>
                <w:noProof/>
              </w:rPr>
              <w:t xml:space="preserve"> </w:t>
            </w:r>
          </w:p>
        </w:tc>
        <w:tc>
          <w:tcPr>
            <w:tcW w:w="4626" w:type="pct"/>
            <w:gridSpan w:val="2"/>
          </w:tcPr>
          <w:p w14:paraId="463788F8" w14:textId="77777777" w:rsidR="00D9349D" w:rsidRPr="007568DD" w:rsidRDefault="0022173D" w:rsidP="00D9349D">
            <w:pPr>
              <w:spacing w:before="120" w:after="120"/>
              <w:rPr>
                <w:rFonts w:ascii="Verdana" w:hAnsi="Verdana"/>
                <w:bCs/>
                <w:noProof/>
              </w:rPr>
            </w:pPr>
            <w:bookmarkStart w:id="24" w:name="OLE_LINK12"/>
            <w:r>
              <w:rPr>
                <w:rFonts w:ascii="Verdana" w:hAnsi="Verdana"/>
                <w:bCs/>
                <w:noProof/>
              </w:rPr>
              <w:t>Review</w:t>
            </w:r>
            <w:r w:rsidRPr="007568DD">
              <w:rPr>
                <w:rFonts w:ascii="Verdana" w:hAnsi="Verdana"/>
                <w:bCs/>
                <w:noProof/>
              </w:rPr>
              <w:t xml:space="preserve"> the CIF for plan-specific procedures. </w:t>
            </w:r>
          </w:p>
          <w:p w14:paraId="5B8E73B9" w14:textId="67AA3FA3" w:rsidR="00D9349D" w:rsidRPr="007568DD" w:rsidRDefault="0022173D" w:rsidP="00D9349D">
            <w:pPr>
              <w:spacing w:before="120" w:after="120"/>
              <w:rPr>
                <w:rFonts w:ascii="Verdana" w:hAnsi="Verdana"/>
              </w:rPr>
            </w:pPr>
            <w:r w:rsidRPr="007568DD">
              <w:rPr>
                <w:rFonts w:ascii="Verdana" w:hAnsi="Verdana"/>
                <w:b/>
                <w:bCs/>
                <w:noProof/>
              </w:rPr>
              <w:t>Note:</w:t>
            </w:r>
            <w:r w:rsidRPr="007568DD">
              <w:rPr>
                <w:rFonts w:ascii="Verdana" w:hAnsi="Verdana"/>
                <w:bCs/>
                <w:noProof/>
              </w:rPr>
              <w:t xml:space="preserve">  If the CIF directs to </w:t>
            </w:r>
            <w:r w:rsidRPr="00E91979">
              <w:rPr>
                <w:rFonts w:ascii="Verdana" w:hAnsi="Verdana"/>
                <w:bCs/>
                <w:noProof/>
              </w:rPr>
              <w:t xml:space="preserve">submit a Consumer Driven Health </w:t>
            </w:r>
            <w:r w:rsidR="00B03AE9">
              <w:rPr>
                <w:rFonts w:ascii="Verdana" w:hAnsi="Verdana"/>
                <w:bCs/>
                <w:noProof/>
              </w:rPr>
              <w:t xml:space="preserve">(CDH) </w:t>
            </w:r>
            <w:r w:rsidRPr="00E91979">
              <w:rPr>
                <w:rFonts w:ascii="Verdana" w:hAnsi="Verdana"/>
                <w:bCs/>
                <w:noProof/>
              </w:rPr>
              <w:t xml:space="preserve">Accumulations </w:t>
            </w:r>
            <w:r w:rsidR="00005096">
              <w:rPr>
                <w:rFonts w:ascii="Verdana" w:hAnsi="Verdana"/>
                <w:bCs/>
                <w:noProof/>
              </w:rPr>
              <w:t xml:space="preserve">Support </w:t>
            </w:r>
            <w:r w:rsidRPr="00E91979">
              <w:rPr>
                <w:rFonts w:ascii="Verdana" w:hAnsi="Verdana"/>
                <w:bCs/>
                <w:noProof/>
              </w:rPr>
              <w:t>Task to correct accumulations to Deductible/MOOP/MA</w:t>
            </w:r>
            <w:r w:rsidR="00BD612C">
              <w:rPr>
                <w:rFonts w:ascii="Verdana" w:hAnsi="Verdana"/>
                <w:bCs/>
                <w:noProof/>
              </w:rPr>
              <w:t>B</w:t>
            </w:r>
            <w:r w:rsidRPr="007568DD">
              <w:rPr>
                <w:rFonts w:ascii="Verdana" w:hAnsi="Verdana"/>
                <w:bCs/>
                <w:noProof/>
              </w:rPr>
              <w:t xml:space="preserve">, </w:t>
            </w:r>
            <w:r w:rsidRPr="00642AA4">
              <w:rPr>
                <w:rFonts w:ascii="Verdana" w:hAnsi="Verdana"/>
                <w:b/>
                <w:bCs/>
                <w:noProof/>
              </w:rPr>
              <w:t>do not</w:t>
            </w:r>
            <w:r>
              <w:rPr>
                <w:rFonts w:ascii="Verdana" w:hAnsi="Verdana"/>
                <w:bCs/>
                <w:noProof/>
              </w:rPr>
              <w:t xml:space="preserve"> </w:t>
            </w:r>
            <w:r w:rsidRPr="007568DD">
              <w:rPr>
                <w:rFonts w:ascii="Verdana" w:hAnsi="Verdana"/>
                <w:bCs/>
                <w:noProof/>
              </w:rPr>
              <w:t xml:space="preserve">create a Participant CallBack Request </w:t>
            </w:r>
            <w:r w:rsidR="00A03BCC">
              <w:rPr>
                <w:rFonts w:ascii="Verdana" w:hAnsi="Verdana"/>
                <w:bCs/>
                <w:noProof/>
              </w:rPr>
              <w:t>Support</w:t>
            </w:r>
            <w:r w:rsidR="00A03BCC" w:rsidRPr="007568DD">
              <w:rPr>
                <w:rFonts w:ascii="Verdana" w:hAnsi="Verdana"/>
                <w:bCs/>
                <w:noProof/>
              </w:rPr>
              <w:t xml:space="preserve"> </w:t>
            </w:r>
            <w:r w:rsidRPr="007568DD">
              <w:rPr>
                <w:rFonts w:ascii="Verdana" w:hAnsi="Verdana"/>
                <w:bCs/>
                <w:noProof/>
              </w:rPr>
              <w:t>task.  The Account Manager verif</w:t>
            </w:r>
            <w:r>
              <w:rPr>
                <w:rFonts w:ascii="Verdana" w:hAnsi="Verdana"/>
                <w:bCs/>
                <w:noProof/>
              </w:rPr>
              <w:t>ies</w:t>
            </w:r>
            <w:r w:rsidRPr="007568DD">
              <w:rPr>
                <w:rFonts w:ascii="Verdana" w:hAnsi="Verdana"/>
                <w:bCs/>
                <w:noProof/>
              </w:rPr>
              <w:t xml:space="preserve"> the accumulations</w:t>
            </w:r>
            <w:r>
              <w:rPr>
                <w:rFonts w:ascii="Verdana" w:hAnsi="Verdana"/>
                <w:bCs/>
                <w:noProof/>
              </w:rPr>
              <w:t xml:space="preserve"> and the member will be called back regarding resolution based on the phone number in the task.  </w:t>
            </w:r>
            <w:bookmarkEnd w:id="24"/>
          </w:p>
        </w:tc>
      </w:tr>
      <w:tr w:rsidR="00FF190B" w14:paraId="1A77CF16" w14:textId="77777777" w:rsidTr="00652294">
        <w:tblPrEx>
          <w:tblLook w:val="04A0" w:firstRow="1" w:lastRow="0" w:firstColumn="1" w:lastColumn="0" w:noHBand="0" w:noVBand="1"/>
        </w:tblPrEx>
        <w:tc>
          <w:tcPr>
            <w:tcW w:w="374" w:type="pct"/>
          </w:tcPr>
          <w:p w14:paraId="5D42C327" w14:textId="77777777" w:rsidR="00D9349D" w:rsidRDefault="0022173D" w:rsidP="00D9349D">
            <w:pPr>
              <w:spacing w:before="120" w:after="120"/>
              <w:jc w:val="center"/>
              <w:rPr>
                <w:rFonts w:ascii="Verdana" w:hAnsi="Verdana"/>
                <w:b/>
              </w:rPr>
            </w:pPr>
            <w:r>
              <w:rPr>
                <w:rFonts w:ascii="Verdana" w:hAnsi="Verdana"/>
                <w:b/>
              </w:rPr>
              <w:t>4</w:t>
            </w:r>
          </w:p>
          <w:p w14:paraId="6545A45B" w14:textId="77777777" w:rsidR="00D9349D" w:rsidRPr="007568DD" w:rsidRDefault="0022173D" w:rsidP="00D9349D">
            <w:pPr>
              <w:spacing w:before="120" w:after="120"/>
              <w:jc w:val="center"/>
              <w:rPr>
                <w:rFonts w:ascii="Verdana" w:hAnsi="Verdana"/>
                <w:b/>
              </w:rPr>
            </w:pPr>
            <w:r>
              <w:rPr>
                <w:noProof/>
              </w:rPr>
              <w:t xml:space="preserve"> </w:t>
            </w:r>
          </w:p>
        </w:tc>
        <w:tc>
          <w:tcPr>
            <w:tcW w:w="4626" w:type="pct"/>
            <w:gridSpan w:val="2"/>
          </w:tcPr>
          <w:p w14:paraId="3BBF2B33" w14:textId="77777777" w:rsidR="00D9349D" w:rsidRPr="007568DD" w:rsidRDefault="0022173D" w:rsidP="00D9349D">
            <w:pPr>
              <w:spacing w:before="120" w:after="120"/>
              <w:rPr>
                <w:rFonts w:ascii="Verdana" w:hAnsi="Verdana"/>
                <w:bCs/>
                <w:noProof/>
              </w:rPr>
            </w:pPr>
            <w:r w:rsidRPr="007568DD">
              <w:rPr>
                <w:rFonts w:ascii="Verdana" w:hAnsi="Verdana"/>
              </w:rPr>
              <w:t>Advise the member to d</w:t>
            </w:r>
            <w:r w:rsidRPr="007568DD">
              <w:rPr>
                <w:rFonts w:ascii="Verdana" w:hAnsi="Verdana"/>
                <w:bCs/>
                <w:noProof/>
              </w:rPr>
              <w:t>irect the inquiry to the</w:t>
            </w:r>
            <w:r>
              <w:rPr>
                <w:rFonts w:ascii="Verdana" w:hAnsi="Verdana"/>
                <w:bCs/>
                <w:noProof/>
              </w:rPr>
              <w:t>ir</w:t>
            </w:r>
            <w:r w:rsidRPr="007568DD">
              <w:rPr>
                <w:rFonts w:ascii="Verdana" w:hAnsi="Verdana"/>
                <w:bCs/>
                <w:noProof/>
              </w:rPr>
              <w:t xml:space="preserve"> medical plan.</w:t>
            </w:r>
          </w:p>
          <w:p w14:paraId="2FE90BD6" w14:textId="71C0C1E5" w:rsidR="00D9349D" w:rsidRPr="007568DD" w:rsidRDefault="0022173D" w:rsidP="2C4EF4F5">
            <w:pPr>
              <w:spacing w:before="120" w:after="120"/>
              <w:rPr>
                <w:rFonts w:ascii="Verdana" w:hAnsi="Verdana"/>
                <w:noProof/>
              </w:rPr>
            </w:pPr>
            <w:r w:rsidRPr="2C4EF4F5">
              <w:rPr>
                <w:rFonts w:ascii="Verdana" w:hAnsi="Verdana"/>
                <w:b/>
                <w:bCs/>
                <w:noProof/>
              </w:rPr>
              <w:t>Note:</w:t>
            </w:r>
            <w:r w:rsidRPr="2C4EF4F5">
              <w:rPr>
                <w:rFonts w:ascii="Verdana" w:hAnsi="Verdana"/>
                <w:noProof/>
              </w:rPr>
              <w:t xml:space="preserve">  </w:t>
            </w:r>
            <w:bookmarkStart w:id="25" w:name="OLE_LINK3"/>
            <w:r w:rsidRPr="2C4EF4F5">
              <w:rPr>
                <w:rFonts w:ascii="Verdana" w:hAnsi="Verdana"/>
                <w:noProof/>
              </w:rPr>
              <w:t>If the member disputes the accumulations, becomes esc</w:t>
            </w:r>
            <w:r w:rsidR="4227D5C6" w:rsidRPr="2C4EF4F5">
              <w:rPr>
                <w:rFonts w:ascii="Verdana" w:hAnsi="Verdana"/>
                <w:noProof/>
              </w:rPr>
              <w:t>a</w:t>
            </w:r>
            <w:r w:rsidRPr="2C4EF4F5">
              <w:rPr>
                <w:rFonts w:ascii="Verdana" w:hAnsi="Verdana"/>
                <w:noProof/>
              </w:rPr>
              <w:t xml:space="preserve">lated, or insists he/she will not pay for anymore prescriptions until reimbursed, submit </w:t>
            </w:r>
            <w:bookmarkStart w:id="26" w:name="OLE_LINK11"/>
            <w:r w:rsidRPr="2C4EF4F5">
              <w:rPr>
                <w:rFonts w:ascii="Verdana" w:hAnsi="Verdana"/>
                <w:noProof/>
              </w:rPr>
              <w:t xml:space="preserve">Consumer Driven Health </w:t>
            </w:r>
            <w:r w:rsidR="00171B31">
              <w:rPr>
                <w:rFonts w:ascii="Verdana" w:hAnsi="Verdana"/>
                <w:noProof/>
              </w:rPr>
              <w:t>(C</w:t>
            </w:r>
            <w:r w:rsidR="00152DFA">
              <w:rPr>
                <w:rFonts w:ascii="Verdana" w:hAnsi="Verdana"/>
                <w:noProof/>
              </w:rPr>
              <w:t>DH</w:t>
            </w:r>
            <w:r w:rsidR="00171B31">
              <w:rPr>
                <w:rFonts w:ascii="Verdana" w:hAnsi="Verdana"/>
                <w:noProof/>
              </w:rPr>
              <w:t>)</w:t>
            </w:r>
            <w:r w:rsidR="00B01B12">
              <w:rPr>
                <w:rFonts w:ascii="Verdana" w:hAnsi="Verdana"/>
                <w:noProof/>
              </w:rPr>
              <w:t xml:space="preserve"> </w:t>
            </w:r>
            <w:r w:rsidRPr="2C4EF4F5">
              <w:rPr>
                <w:rFonts w:ascii="Verdana" w:hAnsi="Verdana"/>
                <w:noProof/>
              </w:rPr>
              <w:t xml:space="preserve">Accumulations </w:t>
            </w:r>
            <w:r w:rsidR="00171B31">
              <w:rPr>
                <w:rFonts w:ascii="Verdana" w:hAnsi="Verdana"/>
                <w:noProof/>
              </w:rPr>
              <w:t xml:space="preserve">Support </w:t>
            </w:r>
            <w:r w:rsidRPr="2C4EF4F5">
              <w:rPr>
                <w:rFonts w:ascii="Verdana" w:hAnsi="Verdana"/>
                <w:noProof/>
              </w:rPr>
              <w:t>Task</w:t>
            </w:r>
            <w:bookmarkEnd w:id="26"/>
            <w:r w:rsidRPr="2C4EF4F5">
              <w:rPr>
                <w:rFonts w:ascii="Verdana" w:hAnsi="Verdana"/>
                <w:noProof/>
              </w:rPr>
              <w:t xml:space="preserve"> to correct accumulations to Deductible/MOOP/MA</w:t>
            </w:r>
            <w:r w:rsidR="00415A35">
              <w:rPr>
                <w:rFonts w:ascii="Verdana" w:hAnsi="Verdana"/>
                <w:noProof/>
              </w:rPr>
              <w:t>B</w:t>
            </w:r>
            <w:r w:rsidRPr="2C4EF4F5">
              <w:rPr>
                <w:rFonts w:ascii="Verdana" w:hAnsi="Verdana"/>
                <w:noProof/>
              </w:rPr>
              <w:t xml:space="preserve">. </w:t>
            </w:r>
            <w:r w:rsidR="00652294">
              <w:rPr>
                <w:rFonts w:ascii="Verdana" w:hAnsi="Verdana"/>
                <w:noProof/>
              </w:rPr>
              <w:t xml:space="preserve">For assistance, refer to </w:t>
            </w:r>
            <w:hyperlink r:id="rId21" w:anchor="!/view?docid=247ab457-e428-4092-bde5-5b8aa2845389" w:tgtFrame="_blank" w:history="1">
              <w:r w:rsidR="00652294" w:rsidRPr="002C5618">
                <w:rPr>
                  <w:rStyle w:val="Hyperlink"/>
                  <w:rFonts w:ascii="Verdana" w:hAnsi="Verdana"/>
                  <w:shd w:val="clear" w:color="auto" w:fill="FFFFFF"/>
                </w:rPr>
                <w:t>Compass - Corrections to Deductible, MOOP, and MAB (CDH Accumulations Task</w:t>
              </w:r>
              <w:r w:rsidR="009808A0">
                <w:rPr>
                  <w:rStyle w:val="Hyperlink"/>
                  <w:rFonts w:ascii="Verdana" w:hAnsi="Verdana"/>
                  <w:shd w:val="clear" w:color="auto" w:fill="FFFFFF"/>
                </w:rPr>
                <w:t>)</w:t>
              </w:r>
              <w:r w:rsidR="00652294" w:rsidRPr="002C5618">
                <w:rPr>
                  <w:rStyle w:val="Hyperlink"/>
                  <w:rFonts w:ascii="Verdana" w:hAnsi="Verdana"/>
                  <w:shd w:val="clear" w:color="auto" w:fill="FFFFFF"/>
                </w:rPr>
                <w:t> </w:t>
              </w:r>
              <w:r w:rsidR="009808A0">
                <w:rPr>
                  <w:rStyle w:val="Hyperlink"/>
                  <w:rFonts w:ascii="Verdana" w:hAnsi="Verdana"/>
                  <w:shd w:val="clear" w:color="auto" w:fill="FFFFFF"/>
                </w:rPr>
                <w:t>(</w:t>
              </w:r>
              <w:r w:rsidR="00652294" w:rsidRPr="002C5618">
                <w:rPr>
                  <w:rStyle w:val="Hyperlink"/>
                  <w:rFonts w:ascii="Verdana" w:hAnsi="Verdana"/>
                  <w:shd w:val="clear" w:color="auto" w:fill="FFFFFF"/>
                </w:rPr>
                <w:t>061925)</w:t>
              </w:r>
            </w:hyperlink>
            <w:r w:rsidR="003D13EF" w:rsidRPr="002C5618">
              <w:rPr>
                <w:rFonts w:ascii="Verdana" w:hAnsi="Verdana"/>
              </w:rPr>
              <w:t>.</w:t>
            </w:r>
            <w:bookmarkEnd w:id="25"/>
          </w:p>
        </w:tc>
      </w:tr>
    </w:tbl>
    <w:p w14:paraId="01503744" w14:textId="77777777" w:rsidR="00D9349D" w:rsidRDefault="00D9349D" w:rsidP="00D9349D">
      <w:pPr>
        <w:jc w:val="right"/>
        <w:rPr>
          <w:rFonts w:ascii="Verdana" w:hAnsi="Verdana"/>
        </w:rPr>
      </w:pPr>
    </w:p>
    <w:bookmarkStart w:id="27" w:name="_Reference:_Contribution_Limits,"/>
    <w:bookmarkStart w:id="28" w:name="_Log_Activity"/>
    <w:bookmarkEnd w:id="27"/>
    <w:bookmarkEnd w:id="28"/>
    <w:p w14:paraId="7D64EEFC" w14:textId="77777777" w:rsidR="00D9349D" w:rsidRDefault="0022173D" w:rsidP="00D9349D">
      <w:pPr>
        <w:jc w:val="right"/>
        <w:rPr>
          <w:rFonts w:ascii="Verdana" w:hAnsi="Verdana"/>
        </w:rPr>
      </w:pPr>
      <w:r>
        <w:fldChar w:fldCharType="begin"/>
      </w:r>
      <w:r>
        <w:instrText xml:space="preserve"> HYPERLINK \l "_top" </w:instrText>
      </w:r>
      <w:r>
        <w:fldChar w:fldCharType="separate"/>
      </w:r>
      <w:r w:rsidRPr="000A238F">
        <w:rPr>
          <w:rStyle w:val="Hyperlink"/>
          <w:rFonts w:ascii="Verdana" w:hAnsi="Verdana"/>
        </w:rPr>
        <w:t>Top of the Document</w:t>
      </w:r>
      <w:r>
        <w:rPr>
          <w:rStyle w:val="Hyperlink"/>
          <w:rFonts w:ascii="Verdana" w:hAnsi="Verdana"/>
        </w:rPr>
        <w:fldChar w:fldCharType="end"/>
      </w:r>
    </w:p>
    <w:p w14:paraId="24313E19" w14:textId="77777777" w:rsidR="00D9349D" w:rsidRDefault="00D9349D" w:rsidP="00D9349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F190B" w14:paraId="6C0F2E3C" w14:textId="77777777" w:rsidTr="00D9349D">
        <w:tc>
          <w:tcPr>
            <w:tcW w:w="5000" w:type="pct"/>
            <w:shd w:val="clear" w:color="auto" w:fill="C0C0C0"/>
          </w:tcPr>
          <w:p w14:paraId="1028108A" w14:textId="77777777" w:rsidR="00D9349D" w:rsidRPr="00F13F27" w:rsidRDefault="0022173D" w:rsidP="00D9349D">
            <w:pPr>
              <w:pStyle w:val="Heading2"/>
              <w:spacing w:before="120" w:after="120"/>
              <w:rPr>
                <w:rFonts w:ascii="Verdana" w:hAnsi="Verdana"/>
                <w:i w:val="0"/>
              </w:rPr>
            </w:pPr>
            <w:bookmarkStart w:id="29" w:name="_Toc167271819"/>
            <w:r w:rsidRPr="00F13F27">
              <w:rPr>
                <w:rFonts w:ascii="Verdana" w:hAnsi="Verdana"/>
                <w:i w:val="0"/>
              </w:rPr>
              <w:t>Related Documents</w:t>
            </w:r>
            <w:bookmarkEnd w:id="29"/>
          </w:p>
        </w:tc>
      </w:tr>
    </w:tbl>
    <w:p w14:paraId="3EF48CFD" w14:textId="4C19B61C" w:rsidR="002C5618" w:rsidRDefault="003F61F5" w:rsidP="00D9349D">
      <w:pPr>
        <w:spacing w:before="120" w:after="120"/>
        <w:rPr>
          <w:rFonts w:ascii="Verdana" w:hAnsi="Verdana"/>
        </w:rPr>
      </w:pPr>
      <w:hyperlink r:id="rId22" w:anchor="!/view?docid=0296717e-6df6-4184-b337-13abcd4b070b" w:history="1">
        <w:r w:rsidR="008020D6">
          <w:rPr>
            <w:rStyle w:val="Hyperlink"/>
            <w:rFonts w:ascii="Verdana" w:hAnsi="Verdana"/>
          </w:rPr>
          <w:t>Compass - Call Documentation (050011)</w:t>
        </w:r>
      </w:hyperlink>
    </w:p>
    <w:p w14:paraId="1D6DA52A" w14:textId="7991AB5D" w:rsidR="00D9349D" w:rsidRPr="003B12B2" w:rsidRDefault="00056DE5" w:rsidP="00D9349D">
      <w:pPr>
        <w:spacing w:before="120" w:after="120"/>
        <w:rPr>
          <w:rStyle w:val="Hyperlink"/>
          <w:rFonts w:ascii="Verdana" w:hAnsi="Verdana"/>
        </w:rPr>
      </w:pPr>
      <w:hyperlink r:id="rId23" w:anchor="!/view?docid=433711aa-8fa6-447c-872b-bd69cd6cd7c0" w:history="1">
        <w:r w:rsidR="00300A6F">
          <w:rPr>
            <w:rStyle w:val="Hyperlink"/>
            <w:rFonts w:ascii="Verdana" w:hAnsi="Verdana" w:cs="Segoe UI"/>
          </w:rPr>
          <w:t>Compass MED D - Call Documentation Job Aid (061758)</w:t>
        </w:r>
      </w:hyperlink>
      <w:r w:rsidR="003B12B2" w:rsidRPr="00E01766">
        <w:rPr>
          <w:rFonts w:ascii="Verdana" w:hAnsi="Verdana" w:cs="Segoe UI"/>
          <w:color w:val="0000FF"/>
        </w:rPr>
        <w:t xml:space="preserve"> </w:t>
      </w:r>
    </w:p>
    <w:bookmarkStart w:id="30" w:name="OLE_LINK91"/>
    <w:p w14:paraId="07326DBC" w14:textId="0ADB6CC0" w:rsidR="00841C18" w:rsidRPr="000C506A" w:rsidRDefault="00841C18" w:rsidP="00C563CC">
      <w:pPr>
        <w:rPr>
          <w:rFonts w:ascii="Verdana" w:hAnsi="Verdana"/>
          <w:color w:val="00B0F0"/>
        </w:rPr>
      </w:pPr>
      <w:r>
        <w:fldChar w:fldCharType="begin"/>
      </w:r>
      <w:r>
        <w:instrText xml:space="preserve"> HYPERLINK "https://thesource.cvshealth.com/nuxeo/thesource/" \l "!/view?docid=247ab457-e428-4092-bde5-5b8aa2845389" \t "_blank" </w:instrText>
      </w:r>
      <w:r>
        <w:fldChar w:fldCharType="separate"/>
      </w:r>
      <w:r>
        <w:rPr>
          <w:rStyle w:val="Hyperlink"/>
          <w:rFonts w:ascii="Verdana" w:hAnsi="Verdana"/>
          <w:shd w:val="clear" w:color="auto" w:fill="FFFFFF"/>
        </w:rPr>
        <w:t>Compass - Corrections to Deductible, MOOP, and MAB (CDH Accumulations Task </w:t>
      </w:r>
      <w:r w:rsidR="009808A0">
        <w:rPr>
          <w:rStyle w:val="Hyperlink"/>
          <w:rFonts w:ascii="Verdana" w:hAnsi="Verdana"/>
          <w:shd w:val="clear" w:color="auto" w:fill="FFFFFF"/>
        </w:rPr>
        <w:t>(</w:t>
      </w:r>
      <w:r>
        <w:rPr>
          <w:rStyle w:val="Hyperlink"/>
          <w:rFonts w:ascii="Verdana" w:hAnsi="Verdana"/>
          <w:shd w:val="clear" w:color="auto" w:fill="FFFFFF"/>
        </w:rPr>
        <w:t>061925)</w:t>
      </w:r>
      <w:r>
        <w:fldChar w:fldCharType="end"/>
      </w:r>
      <w:bookmarkEnd w:id="30"/>
    </w:p>
    <w:p w14:paraId="58E19E62" w14:textId="77777777" w:rsidR="00340813" w:rsidRDefault="00340813" w:rsidP="00D9349D">
      <w:pPr>
        <w:spacing w:before="120" w:after="120"/>
        <w:rPr>
          <w:rFonts w:ascii="Verdana" w:hAnsi="Verdana"/>
        </w:rPr>
      </w:pPr>
    </w:p>
    <w:p w14:paraId="12660F5B" w14:textId="40EE533F" w:rsidR="00D9349D" w:rsidRDefault="0022173D" w:rsidP="00D9349D">
      <w:pPr>
        <w:spacing w:before="120" w:after="120"/>
        <w:rPr>
          <w:rStyle w:val="Hyperlink"/>
          <w:rFonts w:ascii="Verdana" w:hAnsi="Verdana"/>
          <w:shd w:val="clear" w:color="auto" w:fill="FFFFFF"/>
        </w:rPr>
      </w:pPr>
      <w:r w:rsidRPr="00390030">
        <w:rPr>
          <w:rStyle w:val="Hyperlink"/>
          <w:rFonts w:ascii="Verdana" w:hAnsi="Verdana"/>
          <w:b/>
          <w:color w:val="000000"/>
          <w:u w:val="none"/>
        </w:rPr>
        <w:t xml:space="preserve">Abbreviations/Definitions: </w:t>
      </w:r>
      <w:r>
        <w:rPr>
          <w:rStyle w:val="Hyperlink"/>
          <w:rFonts w:ascii="Verdana" w:hAnsi="Verdana"/>
          <w:b/>
          <w:color w:val="000000"/>
          <w:u w:val="none"/>
        </w:rPr>
        <w:t xml:space="preserve"> </w:t>
      </w:r>
      <w:hyperlink r:id="rId24" w:anchor="!/view?docid=c1f1028b-e42c-4b4f-a4cf-cc0b42c91606" w:history="1">
        <w:r w:rsidRPr="005C5D67">
          <w:rPr>
            <w:rStyle w:val="Hyperlink"/>
            <w:rFonts w:ascii="Verdana" w:hAnsi="Verdana"/>
            <w:bCs/>
          </w:rPr>
          <w:t>Customer Care</w:t>
        </w:r>
      </w:hyperlink>
      <w:r w:rsidR="00AB10D8">
        <w:rPr>
          <w:rStyle w:val="Hyperlink"/>
          <w:rFonts w:ascii="Verdana" w:hAnsi="Verdana"/>
          <w:bCs/>
        </w:rPr>
        <w:t xml:space="preserve"> (</w:t>
      </w:r>
      <w:r w:rsidR="001F2F5C">
        <w:rPr>
          <w:rStyle w:val="Hyperlink"/>
          <w:rFonts w:ascii="Verdana" w:hAnsi="Verdana"/>
          <w:bCs/>
        </w:rPr>
        <w:t>0</w:t>
      </w:r>
      <w:r w:rsidR="00AB10D8">
        <w:rPr>
          <w:rStyle w:val="Hyperlink"/>
          <w:rFonts w:ascii="Verdana" w:hAnsi="Verdana"/>
          <w:bCs/>
        </w:rPr>
        <w:t>17428)</w:t>
      </w:r>
      <w:r w:rsidRPr="005C5D67">
        <w:rPr>
          <w:rStyle w:val="Hyperlink"/>
          <w:rFonts w:ascii="Verdana" w:hAnsi="Verdana"/>
          <w:bCs/>
          <w:color w:val="000000"/>
          <w:u w:val="none"/>
        </w:rPr>
        <w:t xml:space="preserve"> / </w:t>
      </w:r>
      <w:hyperlink r:id="rId25" w:anchor="!/view?docid=4d4bedc3-6ab8-46ce-8b90-f0b7bdabc984" w:tgtFrame="SRC-PROD-019003" w:history="1">
        <w:r w:rsidRPr="005C5D67">
          <w:rPr>
            <w:rStyle w:val="Hyperlink"/>
            <w:rFonts w:ascii="Verdana" w:hAnsi="Verdana"/>
            <w:bCs/>
          </w:rPr>
          <w:t>CarelonRx</w:t>
        </w:r>
      </w:hyperlink>
      <w:r w:rsidR="00AB10D8">
        <w:rPr>
          <w:rStyle w:val="Hyperlink"/>
          <w:rFonts w:ascii="Verdana" w:hAnsi="Verdana"/>
          <w:bCs/>
        </w:rPr>
        <w:t xml:space="preserve"> (</w:t>
      </w:r>
      <w:r w:rsidR="001F2F5C">
        <w:rPr>
          <w:rStyle w:val="Hyperlink"/>
          <w:rFonts w:ascii="Verdana" w:hAnsi="Verdana"/>
          <w:bCs/>
        </w:rPr>
        <w:t>0</w:t>
      </w:r>
      <w:r w:rsidR="00AB10D8">
        <w:rPr>
          <w:rStyle w:val="Hyperlink"/>
          <w:rFonts w:ascii="Verdana" w:hAnsi="Verdana"/>
          <w:bCs/>
        </w:rPr>
        <w:t>19003)</w:t>
      </w:r>
      <w:r w:rsidRPr="00390030">
        <w:rPr>
          <w:rStyle w:val="Hyperlink"/>
          <w:rFonts w:ascii="Verdana" w:hAnsi="Verdana"/>
          <w:b/>
          <w:color w:val="000000"/>
          <w:u w:val="none"/>
        </w:rPr>
        <w:t xml:space="preserve"> </w:t>
      </w:r>
      <w:r>
        <w:t xml:space="preserve"> </w:t>
      </w:r>
    </w:p>
    <w:p w14:paraId="7067DA64" w14:textId="77777777" w:rsidR="00D9349D" w:rsidRDefault="0022173D" w:rsidP="00D9349D">
      <w:pPr>
        <w:spacing w:before="120" w:after="120"/>
        <w:rPr>
          <w:rFonts w:ascii="Verdana" w:hAnsi="Verdana"/>
        </w:rPr>
      </w:pPr>
      <w:r>
        <w:rPr>
          <w:rStyle w:val="Hyperlink"/>
          <w:rFonts w:ascii="Verdana" w:hAnsi="Verdana"/>
          <w:b/>
          <w:color w:val="000000"/>
          <w:u w:val="none"/>
        </w:rPr>
        <w:t>Parent Documents</w:t>
      </w:r>
      <w:r w:rsidRPr="00B93341">
        <w:rPr>
          <w:rStyle w:val="Hyperlink"/>
          <w:rFonts w:ascii="Verdana" w:hAnsi="Verdana"/>
          <w:b/>
          <w:color w:val="000000"/>
          <w:u w:val="none"/>
        </w:rPr>
        <w:t xml:space="preserve">:  </w:t>
      </w:r>
      <w:hyperlink r:id="rId26" w:tgtFrame="_blank" w:history="1">
        <w:r w:rsidRPr="00DB338D">
          <w:rPr>
            <w:rStyle w:val="Hyperlink"/>
            <w:rFonts w:ascii="Verdana" w:hAnsi="Verdana"/>
          </w:rPr>
          <w:t>Customer Care Internal and External Call Handling (CALL</w:t>
        </w:r>
        <w:r>
          <w:rPr>
            <w:rStyle w:val="Hyperlink"/>
            <w:rFonts w:ascii="Verdana" w:hAnsi="Verdana"/>
          </w:rPr>
          <w:t>-</w:t>
        </w:r>
        <w:r w:rsidRPr="00DB338D">
          <w:rPr>
            <w:rStyle w:val="Hyperlink"/>
            <w:rFonts w:ascii="Verdana" w:hAnsi="Verdana"/>
          </w:rPr>
          <w:t>0049)</w:t>
        </w:r>
      </w:hyperlink>
      <w:r>
        <w:rPr>
          <w:rStyle w:val="Hyperlink"/>
          <w:rFonts w:ascii="Verdana" w:hAnsi="Verdana"/>
          <w:b/>
          <w:color w:val="000000"/>
          <w:u w:val="none"/>
        </w:rPr>
        <w:t xml:space="preserve"> or </w:t>
      </w:r>
      <w:hyperlink r:id="rId27" w:history="1">
        <w:r>
          <w:rPr>
            <w:rStyle w:val="Hyperlink"/>
            <w:rFonts w:ascii="Verdana" w:hAnsi="Verdana"/>
            <w:noProof/>
          </w:rPr>
          <w:t>CarelonRx Customer Care - Internal and External Call Handling</w:t>
        </w:r>
      </w:hyperlink>
    </w:p>
    <w:bookmarkStart w:id="31" w:name="OLE_LINK27"/>
    <w:p w14:paraId="5B322157" w14:textId="77777777" w:rsidR="00D9349D" w:rsidRPr="00C3097B" w:rsidRDefault="0022173D" w:rsidP="00D9349D">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A238F">
        <w:rPr>
          <w:rStyle w:val="Hyperlink"/>
          <w:rFonts w:ascii="Verdana" w:hAnsi="Verdana"/>
        </w:rPr>
        <w:t>Top of the Document</w:t>
      </w:r>
      <w:r>
        <w:rPr>
          <w:rFonts w:ascii="Verdana" w:hAnsi="Verdana"/>
        </w:rPr>
        <w:fldChar w:fldCharType="end"/>
      </w:r>
    </w:p>
    <w:bookmarkEnd w:id="31"/>
    <w:p w14:paraId="2D35FFEA" w14:textId="77777777" w:rsidR="00D9349D" w:rsidRPr="00C247CB" w:rsidRDefault="0022173D" w:rsidP="00D9349D">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0BA790C6" w14:textId="77777777" w:rsidR="00D9349D" w:rsidRPr="00C247CB" w:rsidRDefault="0022173D" w:rsidP="00D9349D">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3669AA76" w14:textId="77777777" w:rsidR="00D9349D" w:rsidRPr="00C247CB" w:rsidRDefault="00D9349D" w:rsidP="00D9349D">
      <w:pPr>
        <w:jc w:val="center"/>
        <w:rPr>
          <w:rFonts w:ascii="Verdana" w:hAnsi="Verdana"/>
          <w:sz w:val="16"/>
          <w:szCs w:val="16"/>
        </w:rPr>
      </w:pPr>
    </w:p>
    <w:p w14:paraId="0EBD42FE" w14:textId="77777777" w:rsidR="00D9349D" w:rsidRPr="00C247CB" w:rsidRDefault="00D9349D" w:rsidP="00D9349D">
      <w:pPr>
        <w:jc w:val="center"/>
        <w:rPr>
          <w:rFonts w:ascii="Verdana" w:hAnsi="Verdana"/>
          <w:b/>
          <w:color w:val="000000"/>
          <w:sz w:val="16"/>
          <w:szCs w:val="16"/>
        </w:rPr>
      </w:pPr>
    </w:p>
    <w:p w14:paraId="0DBFC0C0" w14:textId="77777777" w:rsidR="00D9349D" w:rsidRPr="00C247CB" w:rsidRDefault="00D9349D" w:rsidP="00D9349D">
      <w:pPr>
        <w:jc w:val="center"/>
        <w:rPr>
          <w:rFonts w:ascii="Verdana" w:hAnsi="Verdana"/>
          <w:sz w:val="16"/>
          <w:szCs w:val="16"/>
        </w:rPr>
      </w:pPr>
    </w:p>
    <w:p w14:paraId="10523B41" w14:textId="77777777" w:rsidR="00D9349D" w:rsidRPr="00B60242" w:rsidRDefault="00D9349D" w:rsidP="00D9349D">
      <w:pPr>
        <w:jc w:val="right"/>
        <w:rPr>
          <w:rFonts w:ascii="Verdana" w:hAnsi="Verdana"/>
        </w:rPr>
      </w:pPr>
    </w:p>
    <w:sectPr w:rsidR="00D9349D" w:rsidRPr="00B60242" w:rsidSect="00D9349D">
      <w:footerReference w:type="defaul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7D0C2" w14:textId="77777777" w:rsidR="002C4063" w:rsidRDefault="002C4063">
      <w:r>
        <w:separator/>
      </w:r>
    </w:p>
  </w:endnote>
  <w:endnote w:type="continuationSeparator" w:id="0">
    <w:p w14:paraId="41DE416A" w14:textId="77777777" w:rsidR="002C4063" w:rsidRDefault="002C4063">
      <w:r>
        <w:continuationSeparator/>
      </w:r>
    </w:p>
  </w:endnote>
  <w:endnote w:type="continuationNotice" w:id="1">
    <w:p w14:paraId="030AB2DD" w14:textId="77777777" w:rsidR="002C4063" w:rsidRDefault="002C4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55045" w14:textId="77777777" w:rsidR="00D9349D" w:rsidRDefault="0022173D" w:rsidP="00D9349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293AD" w14:textId="77777777" w:rsidR="002C4063" w:rsidRDefault="002C4063">
      <w:r>
        <w:separator/>
      </w:r>
    </w:p>
  </w:footnote>
  <w:footnote w:type="continuationSeparator" w:id="0">
    <w:p w14:paraId="73EF7C1F" w14:textId="77777777" w:rsidR="002C4063" w:rsidRDefault="002C4063">
      <w:r>
        <w:continuationSeparator/>
      </w:r>
    </w:p>
  </w:footnote>
  <w:footnote w:type="continuationNotice" w:id="1">
    <w:p w14:paraId="68607690" w14:textId="77777777" w:rsidR="002C4063" w:rsidRDefault="002C40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2FC"/>
    <w:multiLevelType w:val="hybridMultilevel"/>
    <w:tmpl w:val="46EC3C78"/>
    <w:lvl w:ilvl="0" w:tplc="6CDCBCEE">
      <w:start w:val="1"/>
      <w:numFmt w:val="bullet"/>
      <w:lvlText w:val=""/>
      <w:lvlJc w:val="left"/>
      <w:pPr>
        <w:ind w:left="720" w:hanging="360"/>
      </w:pPr>
      <w:rPr>
        <w:rFonts w:ascii="Symbol" w:hAnsi="Symbol" w:hint="default"/>
      </w:rPr>
    </w:lvl>
    <w:lvl w:ilvl="1" w:tplc="97AC0C9A" w:tentative="1">
      <w:start w:val="1"/>
      <w:numFmt w:val="bullet"/>
      <w:lvlText w:val="o"/>
      <w:lvlJc w:val="left"/>
      <w:pPr>
        <w:ind w:left="1440" w:hanging="360"/>
      </w:pPr>
      <w:rPr>
        <w:rFonts w:ascii="Courier New" w:hAnsi="Courier New" w:cs="Courier New" w:hint="default"/>
      </w:rPr>
    </w:lvl>
    <w:lvl w:ilvl="2" w:tplc="C4B008E4" w:tentative="1">
      <w:start w:val="1"/>
      <w:numFmt w:val="bullet"/>
      <w:lvlText w:val=""/>
      <w:lvlJc w:val="left"/>
      <w:pPr>
        <w:ind w:left="2160" w:hanging="360"/>
      </w:pPr>
      <w:rPr>
        <w:rFonts w:ascii="Wingdings" w:hAnsi="Wingdings" w:hint="default"/>
      </w:rPr>
    </w:lvl>
    <w:lvl w:ilvl="3" w:tplc="935CDDE6" w:tentative="1">
      <w:start w:val="1"/>
      <w:numFmt w:val="bullet"/>
      <w:lvlText w:val=""/>
      <w:lvlJc w:val="left"/>
      <w:pPr>
        <w:ind w:left="2880" w:hanging="360"/>
      </w:pPr>
      <w:rPr>
        <w:rFonts w:ascii="Symbol" w:hAnsi="Symbol" w:hint="default"/>
      </w:rPr>
    </w:lvl>
    <w:lvl w:ilvl="4" w:tplc="562A1FB4" w:tentative="1">
      <w:start w:val="1"/>
      <w:numFmt w:val="bullet"/>
      <w:lvlText w:val="o"/>
      <w:lvlJc w:val="left"/>
      <w:pPr>
        <w:ind w:left="3600" w:hanging="360"/>
      </w:pPr>
      <w:rPr>
        <w:rFonts w:ascii="Courier New" w:hAnsi="Courier New" w:cs="Courier New" w:hint="default"/>
      </w:rPr>
    </w:lvl>
    <w:lvl w:ilvl="5" w:tplc="AE347402" w:tentative="1">
      <w:start w:val="1"/>
      <w:numFmt w:val="bullet"/>
      <w:lvlText w:val=""/>
      <w:lvlJc w:val="left"/>
      <w:pPr>
        <w:ind w:left="4320" w:hanging="360"/>
      </w:pPr>
      <w:rPr>
        <w:rFonts w:ascii="Wingdings" w:hAnsi="Wingdings" w:hint="default"/>
      </w:rPr>
    </w:lvl>
    <w:lvl w:ilvl="6" w:tplc="D38E649C" w:tentative="1">
      <w:start w:val="1"/>
      <w:numFmt w:val="bullet"/>
      <w:lvlText w:val=""/>
      <w:lvlJc w:val="left"/>
      <w:pPr>
        <w:ind w:left="5040" w:hanging="360"/>
      </w:pPr>
      <w:rPr>
        <w:rFonts w:ascii="Symbol" w:hAnsi="Symbol" w:hint="default"/>
      </w:rPr>
    </w:lvl>
    <w:lvl w:ilvl="7" w:tplc="2286B91C" w:tentative="1">
      <w:start w:val="1"/>
      <w:numFmt w:val="bullet"/>
      <w:lvlText w:val="o"/>
      <w:lvlJc w:val="left"/>
      <w:pPr>
        <w:ind w:left="5760" w:hanging="360"/>
      </w:pPr>
      <w:rPr>
        <w:rFonts w:ascii="Courier New" w:hAnsi="Courier New" w:cs="Courier New" w:hint="default"/>
      </w:rPr>
    </w:lvl>
    <w:lvl w:ilvl="8" w:tplc="EFF656B2" w:tentative="1">
      <w:start w:val="1"/>
      <w:numFmt w:val="bullet"/>
      <w:lvlText w:val=""/>
      <w:lvlJc w:val="left"/>
      <w:pPr>
        <w:ind w:left="6480" w:hanging="360"/>
      </w:pPr>
      <w:rPr>
        <w:rFonts w:ascii="Wingdings" w:hAnsi="Wingdings" w:hint="default"/>
      </w:rPr>
    </w:lvl>
  </w:abstractNum>
  <w:abstractNum w:abstractNumId="1" w15:restartNumberingAfterBreak="0">
    <w:nsid w:val="06273DC7"/>
    <w:multiLevelType w:val="hybridMultilevel"/>
    <w:tmpl w:val="F476E40C"/>
    <w:lvl w:ilvl="0" w:tplc="6D2EE5FC">
      <w:start w:val="1"/>
      <w:numFmt w:val="bullet"/>
      <w:lvlText w:val=""/>
      <w:lvlJc w:val="left"/>
      <w:pPr>
        <w:ind w:left="720" w:hanging="360"/>
      </w:pPr>
      <w:rPr>
        <w:rFonts w:ascii="Symbol" w:hAnsi="Symbol" w:hint="default"/>
      </w:rPr>
    </w:lvl>
    <w:lvl w:ilvl="1" w:tplc="7EBA158E" w:tentative="1">
      <w:start w:val="1"/>
      <w:numFmt w:val="bullet"/>
      <w:lvlText w:val="o"/>
      <w:lvlJc w:val="left"/>
      <w:pPr>
        <w:ind w:left="1440" w:hanging="360"/>
      </w:pPr>
      <w:rPr>
        <w:rFonts w:ascii="Courier New" w:hAnsi="Courier New" w:cs="Courier New" w:hint="default"/>
      </w:rPr>
    </w:lvl>
    <w:lvl w:ilvl="2" w:tplc="5082EECC" w:tentative="1">
      <w:start w:val="1"/>
      <w:numFmt w:val="bullet"/>
      <w:lvlText w:val=""/>
      <w:lvlJc w:val="left"/>
      <w:pPr>
        <w:ind w:left="2160" w:hanging="360"/>
      </w:pPr>
      <w:rPr>
        <w:rFonts w:ascii="Wingdings" w:hAnsi="Wingdings" w:hint="default"/>
      </w:rPr>
    </w:lvl>
    <w:lvl w:ilvl="3" w:tplc="B4909A66" w:tentative="1">
      <w:start w:val="1"/>
      <w:numFmt w:val="bullet"/>
      <w:lvlText w:val=""/>
      <w:lvlJc w:val="left"/>
      <w:pPr>
        <w:ind w:left="2880" w:hanging="360"/>
      </w:pPr>
      <w:rPr>
        <w:rFonts w:ascii="Symbol" w:hAnsi="Symbol" w:hint="default"/>
      </w:rPr>
    </w:lvl>
    <w:lvl w:ilvl="4" w:tplc="E0D252F2" w:tentative="1">
      <w:start w:val="1"/>
      <w:numFmt w:val="bullet"/>
      <w:lvlText w:val="o"/>
      <w:lvlJc w:val="left"/>
      <w:pPr>
        <w:ind w:left="3600" w:hanging="360"/>
      </w:pPr>
      <w:rPr>
        <w:rFonts w:ascii="Courier New" w:hAnsi="Courier New" w:cs="Courier New" w:hint="default"/>
      </w:rPr>
    </w:lvl>
    <w:lvl w:ilvl="5" w:tplc="6DCA7952" w:tentative="1">
      <w:start w:val="1"/>
      <w:numFmt w:val="bullet"/>
      <w:lvlText w:val=""/>
      <w:lvlJc w:val="left"/>
      <w:pPr>
        <w:ind w:left="4320" w:hanging="360"/>
      </w:pPr>
      <w:rPr>
        <w:rFonts w:ascii="Wingdings" w:hAnsi="Wingdings" w:hint="default"/>
      </w:rPr>
    </w:lvl>
    <w:lvl w:ilvl="6" w:tplc="D0C0FEE8" w:tentative="1">
      <w:start w:val="1"/>
      <w:numFmt w:val="bullet"/>
      <w:lvlText w:val=""/>
      <w:lvlJc w:val="left"/>
      <w:pPr>
        <w:ind w:left="5040" w:hanging="360"/>
      </w:pPr>
      <w:rPr>
        <w:rFonts w:ascii="Symbol" w:hAnsi="Symbol" w:hint="default"/>
      </w:rPr>
    </w:lvl>
    <w:lvl w:ilvl="7" w:tplc="A1F0E872" w:tentative="1">
      <w:start w:val="1"/>
      <w:numFmt w:val="bullet"/>
      <w:lvlText w:val="o"/>
      <w:lvlJc w:val="left"/>
      <w:pPr>
        <w:ind w:left="5760" w:hanging="360"/>
      </w:pPr>
      <w:rPr>
        <w:rFonts w:ascii="Courier New" w:hAnsi="Courier New" w:cs="Courier New" w:hint="default"/>
      </w:rPr>
    </w:lvl>
    <w:lvl w:ilvl="8" w:tplc="DD42E45A" w:tentative="1">
      <w:start w:val="1"/>
      <w:numFmt w:val="bullet"/>
      <w:lvlText w:val=""/>
      <w:lvlJc w:val="left"/>
      <w:pPr>
        <w:ind w:left="6480" w:hanging="360"/>
      </w:pPr>
      <w:rPr>
        <w:rFonts w:ascii="Wingdings" w:hAnsi="Wingdings" w:hint="default"/>
      </w:rPr>
    </w:lvl>
  </w:abstractNum>
  <w:abstractNum w:abstractNumId="2" w15:restartNumberingAfterBreak="0">
    <w:nsid w:val="09DE3FB4"/>
    <w:multiLevelType w:val="multilevel"/>
    <w:tmpl w:val="42B80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833CB"/>
    <w:multiLevelType w:val="multilevel"/>
    <w:tmpl w:val="57DA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96ACC"/>
    <w:multiLevelType w:val="multilevel"/>
    <w:tmpl w:val="D07CC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AB60F7"/>
    <w:multiLevelType w:val="multilevel"/>
    <w:tmpl w:val="77A69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737D4"/>
    <w:multiLevelType w:val="hybridMultilevel"/>
    <w:tmpl w:val="D12883DC"/>
    <w:lvl w:ilvl="0" w:tplc="52DAFC24">
      <w:start w:val="1"/>
      <w:numFmt w:val="bullet"/>
      <w:lvlText w:val=""/>
      <w:lvlJc w:val="left"/>
      <w:pPr>
        <w:ind w:left="720" w:hanging="360"/>
      </w:pPr>
      <w:rPr>
        <w:rFonts w:ascii="Symbol" w:hAnsi="Symbol" w:hint="default"/>
      </w:rPr>
    </w:lvl>
    <w:lvl w:ilvl="1" w:tplc="84EA8082" w:tentative="1">
      <w:start w:val="1"/>
      <w:numFmt w:val="bullet"/>
      <w:lvlText w:val="o"/>
      <w:lvlJc w:val="left"/>
      <w:pPr>
        <w:ind w:left="1440" w:hanging="360"/>
      </w:pPr>
      <w:rPr>
        <w:rFonts w:ascii="Courier New" w:hAnsi="Courier New" w:cs="Courier New" w:hint="default"/>
      </w:rPr>
    </w:lvl>
    <w:lvl w:ilvl="2" w:tplc="8C449368" w:tentative="1">
      <w:start w:val="1"/>
      <w:numFmt w:val="bullet"/>
      <w:lvlText w:val=""/>
      <w:lvlJc w:val="left"/>
      <w:pPr>
        <w:ind w:left="2160" w:hanging="360"/>
      </w:pPr>
      <w:rPr>
        <w:rFonts w:ascii="Wingdings" w:hAnsi="Wingdings" w:hint="default"/>
      </w:rPr>
    </w:lvl>
    <w:lvl w:ilvl="3" w:tplc="999C9BA4" w:tentative="1">
      <w:start w:val="1"/>
      <w:numFmt w:val="bullet"/>
      <w:lvlText w:val=""/>
      <w:lvlJc w:val="left"/>
      <w:pPr>
        <w:ind w:left="2880" w:hanging="360"/>
      </w:pPr>
      <w:rPr>
        <w:rFonts w:ascii="Symbol" w:hAnsi="Symbol" w:hint="default"/>
      </w:rPr>
    </w:lvl>
    <w:lvl w:ilvl="4" w:tplc="5A92F772" w:tentative="1">
      <w:start w:val="1"/>
      <w:numFmt w:val="bullet"/>
      <w:lvlText w:val="o"/>
      <w:lvlJc w:val="left"/>
      <w:pPr>
        <w:ind w:left="3600" w:hanging="360"/>
      </w:pPr>
      <w:rPr>
        <w:rFonts w:ascii="Courier New" w:hAnsi="Courier New" w:cs="Courier New" w:hint="default"/>
      </w:rPr>
    </w:lvl>
    <w:lvl w:ilvl="5" w:tplc="5EDEBF84" w:tentative="1">
      <w:start w:val="1"/>
      <w:numFmt w:val="bullet"/>
      <w:lvlText w:val=""/>
      <w:lvlJc w:val="left"/>
      <w:pPr>
        <w:ind w:left="4320" w:hanging="360"/>
      </w:pPr>
      <w:rPr>
        <w:rFonts w:ascii="Wingdings" w:hAnsi="Wingdings" w:hint="default"/>
      </w:rPr>
    </w:lvl>
    <w:lvl w:ilvl="6" w:tplc="AEE401BE" w:tentative="1">
      <w:start w:val="1"/>
      <w:numFmt w:val="bullet"/>
      <w:lvlText w:val=""/>
      <w:lvlJc w:val="left"/>
      <w:pPr>
        <w:ind w:left="5040" w:hanging="360"/>
      </w:pPr>
      <w:rPr>
        <w:rFonts w:ascii="Symbol" w:hAnsi="Symbol" w:hint="default"/>
      </w:rPr>
    </w:lvl>
    <w:lvl w:ilvl="7" w:tplc="1ED2C50C" w:tentative="1">
      <w:start w:val="1"/>
      <w:numFmt w:val="bullet"/>
      <w:lvlText w:val="o"/>
      <w:lvlJc w:val="left"/>
      <w:pPr>
        <w:ind w:left="5760" w:hanging="360"/>
      </w:pPr>
      <w:rPr>
        <w:rFonts w:ascii="Courier New" w:hAnsi="Courier New" w:cs="Courier New" w:hint="default"/>
      </w:rPr>
    </w:lvl>
    <w:lvl w:ilvl="8" w:tplc="E6CE0572" w:tentative="1">
      <w:start w:val="1"/>
      <w:numFmt w:val="bullet"/>
      <w:lvlText w:val=""/>
      <w:lvlJc w:val="left"/>
      <w:pPr>
        <w:ind w:left="6480" w:hanging="360"/>
      </w:pPr>
      <w:rPr>
        <w:rFonts w:ascii="Wingdings" w:hAnsi="Wingdings" w:hint="default"/>
      </w:rPr>
    </w:lvl>
  </w:abstractNum>
  <w:abstractNum w:abstractNumId="7" w15:restartNumberingAfterBreak="0">
    <w:nsid w:val="1FA11395"/>
    <w:multiLevelType w:val="multilevel"/>
    <w:tmpl w:val="F240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93A13"/>
    <w:multiLevelType w:val="hybridMultilevel"/>
    <w:tmpl w:val="C26E78B2"/>
    <w:lvl w:ilvl="0" w:tplc="5E7AC700">
      <w:start w:val="1"/>
      <w:numFmt w:val="lowerLetter"/>
      <w:lvlText w:val="%1."/>
      <w:lvlJc w:val="left"/>
      <w:pPr>
        <w:ind w:left="720" w:hanging="360"/>
      </w:pPr>
      <w:rPr>
        <w:rFonts w:hint="default"/>
      </w:rPr>
    </w:lvl>
    <w:lvl w:ilvl="1" w:tplc="FAE8520E" w:tentative="1">
      <w:start w:val="1"/>
      <w:numFmt w:val="lowerLetter"/>
      <w:lvlText w:val="%2."/>
      <w:lvlJc w:val="left"/>
      <w:pPr>
        <w:ind w:left="1440" w:hanging="360"/>
      </w:pPr>
    </w:lvl>
    <w:lvl w:ilvl="2" w:tplc="5B60057E" w:tentative="1">
      <w:start w:val="1"/>
      <w:numFmt w:val="lowerRoman"/>
      <w:lvlText w:val="%3."/>
      <w:lvlJc w:val="right"/>
      <w:pPr>
        <w:ind w:left="2160" w:hanging="180"/>
      </w:pPr>
    </w:lvl>
    <w:lvl w:ilvl="3" w:tplc="2C24C230" w:tentative="1">
      <w:start w:val="1"/>
      <w:numFmt w:val="decimal"/>
      <w:lvlText w:val="%4."/>
      <w:lvlJc w:val="left"/>
      <w:pPr>
        <w:ind w:left="2880" w:hanging="360"/>
      </w:pPr>
    </w:lvl>
    <w:lvl w:ilvl="4" w:tplc="5A6A047A" w:tentative="1">
      <w:start w:val="1"/>
      <w:numFmt w:val="lowerLetter"/>
      <w:lvlText w:val="%5."/>
      <w:lvlJc w:val="left"/>
      <w:pPr>
        <w:ind w:left="3600" w:hanging="360"/>
      </w:pPr>
    </w:lvl>
    <w:lvl w:ilvl="5" w:tplc="329871E2" w:tentative="1">
      <w:start w:val="1"/>
      <w:numFmt w:val="lowerRoman"/>
      <w:lvlText w:val="%6."/>
      <w:lvlJc w:val="right"/>
      <w:pPr>
        <w:ind w:left="4320" w:hanging="180"/>
      </w:pPr>
    </w:lvl>
    <w:lvl w:ilvl="6" w:tplc="46688406" w:tentative="1">
      <w:start w:val="1"/>
      <w:numFmt w:val="decimal"/>
      <w:lvlText w:val="%7."/>
      <w:lvlJc w:val="left"/>
      <w:pPr>
        <w:ind w:left="5040" w:hanging="360"/>
      </w:pPr>
    </w:lvl>
    <w:lvl w:ilvl="7" w:tplc="5D669946" w:tentative="1">
      <w:start w:val="1"/>
      <w:numFmt w:val="lowerLetter"/>
      <w:lvlText w:val="%8."/>
      <w:lvlJc w:val="left"/>
      <w:pPr>
        <w:ind w:left="5760" w:hanging="360"/>
      </w:pPr>
    </w:lvl>
    <w:lvl w:ilvl="8" w:tplc="BAB2F420" w:tentative="1">
      <w:start w:val="1"/>
      <w:numFmt w:val="lowerRoman"/>
      <w:lvlText w:val="%9."/>
      <w:lvlJc w:val="right"/>
      <w:pPr>
        <w:ind w:left="6480" w:hanging="180"/>
      </w:pPr>
    </w:lvl>
  </w:abstractNum>
  <w:abstractNum w:abstractNumId="9" w15:restartNumberingAfterBreak="0">
    <w:nsid w:val="256F3F54"/>
    <w:multiLevelType w:val="multilevel"/>
    <w:tmpl w:val="724C2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85822"/>
    <w:multiLevelType w:val="hybridMultilevel"/>
    <w:tmpl w:val="66BE2364"/>
    <w:lvl w:ilvl="0" w:tplc="5CF6B338">
      <w:start w:val="1"/>
      <w:numFmt w:val="bullet"/>
      <w:lvlText w:val=""/>
      <w:lvlJc w:val="left"/>
      <w:pPr>
        <w:ind w:left="720" w:hanging="360"/>
      </w:pPr>
      <w:rPr>
        <w:rFonts w:ascii="Symbol" w:hAnsi="Symbol" w:hint="default"/>
      </w:rPr>
    </w:lvl>
    <w:lvl w:ilvl="1" w:tplc="E65AC2CE" w:tentative="1">
      <w:start w:val="1"/>
      <w:numFmt w:val="bullet"/>
      <w:lvlText w:val="o"/>
      <w:lvlJc w:val="left"/>
      <w:pPr>
        <w:ind w:left="1440" w:hanging="360"/>
      </w:pPr>
      <w:rPr>
        <w:rFonts w:ascii="Courier New" w:hAnsi="Courier New" w:cs="Courier New" w:hint="default"/>
      </w:rPr>
    </w:lvl>
    <w:lvl w:ilvl="2" w:tplc="E7E28188" w:tentative="1">
      <w:start w:val="1"/>
      <w:numFmt w:val="bullet"/>
      <w:lvlText w:val=""/>
      <w:lvlJc w:val="left"/>
      <w:pPr>
        <w:ind w:left="2160" w:hanging="360"/>
      </w:pPr>
      <w:rPr>
        <w:rFonts w:ascii="Wingdings" w:hAnsi="Wingdings" w:hint="default"/>
      </w:rPr>
    </w:lvl>
    <w:lvl w:ilvl="3" w:tplc="AC12D2B2" w:tentative="1">
      <w:start w:val="1"/>
      <w:numFmt w:val="bullet"/>
      <w:lvlText w:val=""/>
      <w:lvlJc w:val="left"/>
      <w:pPr>
        <w:ind w:left="2880" w:hanging="360"/>
      </w:pPr>
      <w:rPr>
        <w:rFonts w:ascii="Symbol" w:hAnsi="Symbol" w:hint="default"/>
      </w:rPr>
    </w:lvl>
    <w:lvl w:ilvl="4" w:tplc="6E9E0C2A" w:tentative="1">
      <w:start w:val="1"/>
      <w:numFmt w:val="bullet"/>
      <w:lvlText w:val="o"/>
      <w:lvlJc w:val="left"/>
      <w:pPr>
        <w:ind w:left="3600" w:hanging="360"/>
      </w:pPr>
      <w:rPr>
        <w:rFonts w:ascii="Courier New" w:hAnsi="Courier New" w:cs="Courier New" w:hint="default"/>
      </w:rPr>
    </w:lvl>
    <w:lvl w:ilvl="5" w:tplc="1B6428C4" w:tentative="1">
      <w:start w:val="1"/>
      <w:numFmt w:val="bullet"/>
      <w:lvlText w:val=""/>
      <w:lvlJc w:val="left"/>
      <w:pPr>
        <w:ind w:left="4320" w:hanging="360"/>
      </w:pPr>
      <w:rPr>
        <w:rFonts w:ascii="Wingdings" w:hAnsi="Wingdings" w:hint="default"/>
      </w:rPr>
    </w:lvl>
    <w:lvl w:ilvl="6" w:tplc="5C9AFD32" w:tentative="1">
      <w:start w:val="1"/>
      <w:numFmt w:val="bullet"/>
      <w:lvlText w:val=""/>
      <w:lvlJc w:val="left"/>
      <w:pPr>
        <w:ind w:left="5040" w:hanging="360"/>
      </w:pPr>
      <w:rPr>
        <w:rFonts w:ascii="Symbol" w:hAnsi="Symbol" w:hint="default"/>
      </w:rPr>
    </w:lvl>
    <w:lvl w:ilvl="7" w:tplc="FD043A8C" w:tentative="1">
      <w:start w:val="1"/>
      <w:numFmt w:val="bullet"/>
      <w:lvlText w:val="o"/>
      <w:lvlJc w:val="left"/>
      <w:pPr>
        <w:ind w:left="5760" w:hanging="360"/>
      </w:pPr>
      <w:rPr>
        <w:rFonts w:ascii="Courier New" w:hAnsi="Courier New" w:cs="Courier New" w:hint="default"/>
      </w:rPr>
    </w:lvl>
    <w:lvl w:ilvl="8" w:tplc="87425DE6" w:tentative="1">
      <w:start w:val="1"/>
      <w:numFmt w:val="bullet"/>
      <w:lvlText w:val=""/>
      <w:lvlJc w:val="left"/>
      <w:pPr>
        <w:ind w:left="6480" w:hanging="360"/>
      </w:pPr>
      <w:rPr>
        <w:rFonts w:ascii="Wingdings" w:hAnsi="Wingdings" w:hint="default"/>
      </w:rPr>
    </w:lvl>
  </w:abstractNum>
  <w:abstractNum w:abstractNumId="11" w15:restartNumberingAfterBreak="0">
    <w:nsid w:val="306976CE"/>
    <w:multiLevelType w:val="hybridMultilevel"/>
    <w:tmpl w:val="637A9FD8"/>
    <w:lvl w:ilvl="0" w:tplc="94DE70EC">
      <w:start w:val="1"/>
      <w:numFmt w:val="bullet"/>
      <w:lvlText w:val=""/>
      <w:lvlJc w:val="left"/>
      <w:pPr>
        <w:ind w:left="720" w:hanging="360"/>
      </w:pPr>
      <w:rPr>
        <w:rFonts w:ascii="Symbol" w:hAnsi="Symbol" w:hint="default"/>
      </w:rPr>
    </w:lvl>
    <w:lvl w:ilvl="1" w:tplc="96E6973C" w:tentative="1">
      <w:start w:val="1"/>
      <w:numFmt w:val="bullet"/>
      <w:lvlText w:val="o"/>
      <w:lvlJc w:val="left"/>
      <w:pPr>
        <w:ind w:left="1440" w:hanging="360"/>
      </w:pPr>
      <w:rPr>
        <w:rFonts w:ascii="Courier New" w:hAnsi="Courier New" w:cs="Courier New" w:hint="default"/>
      </w:rPr>
    </w:lvl>
    <w:lvl w:ilvl="2" w:tplc="5E58BBA4" w:tentative="1">
      <w:start w:val="1"/>
      <w:numFmt w:val="bullet"/>
      <w:lvlText w:val=""/>
      <w:lvlJc w:val="left"/>
      <w:pPr>
        <w:ind w:left="2160" w:hanging="360"/>
      </w:pPr>
      <w:rPr>
        <w:rFonts w:ascii="Wingdings" w:hAnsi="Wingdings" w:hint="default"/>
      </w:rPr>
    </w:lvl>
    <w:lvl w:ilvl="3" w:tplc="1A36D948" w:tentative="1">
      <w:start w:val="1"/>
      <w:numFmt w:val="bullet"/>
      <w:lvlText w:val=""/>
      <w:lvlJc w:val="left"/>
      <w:pPr>
        <w:ind w:left="2880" w:hanging="360"/>
      </w:pPr>
      <w:rPr>
        <w:rFonts w:ascii="Symbol" w:hAnsi="Symbol" w:hint="default"/>
      </w:rPr>
    </w:lvl>
    <w:lvl w:ilvl="4" w:tplc="6232AD0E" w:tentative="1">
      <w:start w:val="1"/>
      <w:numFmt w:val="bullet"/>
      <w:lvlText w:val="o"/>
      <w:lvlJc w:val="left"/>
      <w:pPr>
        <w:ind w:left="3600" w:hanging="360"/>
      </w:pPr>
      <w:rPr>
        <w:rFonts w:ascii="Courier New" w:hAnsi="Courier New" w:cs="Courier New" w:hint="default"/>
      </w:rPr>
    </w:lvl>
    <w:lvl w:ilvl="5" w:tplc="93964CF6" w:tentative="1">
      <w:start w:val="1"/>
      <w:numFmt w:val="bullet"/>
      <w:lvlText w:val=""/>
      <w:lvlJc w:val="left"/>
      <w:pPr>
        <w:ind w:left="4320" w:hanging="360"/>
      </w:pPr>
      <w:rPr>
        <w:rFonts w:ascii="Wingdings" w:hAnsi="Wingdings" w:hint="default"/>
      </w:rPr>
    </w:lvl>
    <w:lvl w:ilvl="6" w:tplc="EB469846" w:tentative="1">
      <w:start w:val="1"/>
      <w:numFmt w:val="bullet"/>
      <w:lvlText w:val=""/>
      <w:lvlJc w:val="left"/>
      <w:pPr>
        <w:ind w:left="5040" w:hanging="360"/>
      </w:pPr>
      <w:rPr>
        <w:rFonts w:ascii="Symbol" w:hAnsi="Symbol" w:hint="default"/>
      </w:rPr>
    </w:lvl>
    <w:lvl w:ilvl="7" w:tplc="5D74C01A" w:tentative="1">
      <w:start w:val="1"/>
      <w:numFmt w:val="bullet"/>
      <w:lvlText w:val="o"/>
      <w:lvlJc w:val="left"/>
      <w:pPr>
        <w:ind w:left="5760" w:hanging="360"/>
      </w:pPr>
      <w:rPr>
        <w:rFonts w:ascii="Courier New" w:hAnsi="Courier New" w:cs="Courier New" w:hint="default"/>
      </w:rPr>
    </w:lvl>
    <w:lvl w:ilvl="8" w:tplc="296EB9A2" w:tentative="1">
      <w:start w:val="1"/>
      <w:numFmt w:val="bullet"/>
      <w:lvlText w:val=""/>
      <w:lvlJc w:val="left"/>
      <w:pPr>
        <w:ind w:left="6480" w:hanging="360"/>
      </w:pPr>
      <w:rPr>
        <w:rFonts w:ascii="Wingdings" w:hAnsi="Wingdings" w:hint="default"/>
      </w:rPr>
    </w:lvl>
  </w:abstractNum>
  <w:abstractNum w:abstractNumId="12" w15:restartNumberingAfterBreak="0">
    <w:nsid w:val="37533389"/>
    <w:multiLevelType w:val="multilevel"/>
    <w:tmpl w:val="7BCCE34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3EE34107"/>
    <w:multiLevelType w:val="multilevel"/>
    <w:tmpl w:val="E2FEC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C347D5"/>
    <w:multiLevelType w:val="hybridMultilevel"/>
    <w:tmpl w:val="0CBE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935F7"/>
    <w:multiLevelType w:val="multilevel"/>
    <w:tmpl w:val="F378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2054C"/>
    <w:multiLevelType w:val="multilevel"/>
    <w:tmpl w:val="C300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D309B4"/>
    <w:multiLevelType w:val="multilevel"/>
    <w:tmpl w:val="FBF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962B49"/>
    <w:multiLevelType w:val="hybridMultilevel"/>
    <w:tmpl w:val="AE160DE4"/>
    <w:lvl w:ilvl="0" w:tplc="78828110">
      <w:start w:val="1"/>
      <w:numFmt w:val="bullet"/>
      <w:lvlText w:val=""/>
      <w:lvlJc w:val="left"/>
      <w:pPr>
        <w:ind w:left="720" w:hanging="360"/>
      </w:pPr>
      <w:rPr>
        <w:rFonts w:ascii="Symbol" w:hAnsi="Symbol" w:hint="default"/>
      </w:rPr>
    </w:lvl>
    <w:lvl w:ilvl="1" w:tplc="C05C0CA0" w:tentative="1">
      <w:start w:val="1"/>
      <w:numFmt w:val="bullet"/>
      <w:lvlText w:val="o"/>
      <w:lvlJc w:val="left"/>
      <w:pPr>
        <w:ind w:left="1440" w:hanging="360"/>
      </w:pPr>
      <w:rPr>
        <w:rFonts w:ascii="Courier New" w:hAnsi="Courier New" w:cs="Courier New" w:hint="default"/>
      </w:rPr>
    </w:lvl>
    <w:lvl w:ilvl="2" w:tplc="B498A30E" w:tentative="1">
      <w:start w:val="1"/>
      <w:numFmt w:val="bullet"/>
      <w:lvlText w:val=""/>
      <w:lvlJc w:val="left"/>
      <w:pPr>
        <w:ind w:left="2160" w:hanging="360"/>
      </w:pPr>
      <w:rPr>
        <w:rFonts w:ascii="Wingdings" w:hAnsi="Wingdings" w:hint="default"/>
      </w:rPr>
    </w:lvl>
    <w:lvl w:ilvl="3" w:tplc="FC6C4BBE" w:tentative="1">
      <w:start w:val="1"/>
      <w:numFmt w:val="bullet"/>
      <w:lvlText w:val=""/>
      <w:lvlJc w:val="left"/>
      <w:pPr>
        <w:ind w:left="2880" w:hanging="360"/>
      </w:pPr>
      <w:rPr>
        <w:rFonts w:ascii="Symbol" w:hAnsi="Symbol" w:hint="default"/>
      </w:rPr>
    </w:lvl>
    <w:lvl w:ilvl="4" w:tplc="26F85D7E" w:tentative="1">
      <w:start w:val="1"/>
      <w:numFmt w:val="bullet"/>
      <w:lvlText w:val="o"/>
      <w:lvlJc w:val="left"/>
      <w:pPr>
        <w:ind w:left="3600" w:hanging="360"/>
      </w:pPr>
      <w:rPr>
        <w:rFonts w:ascii="Courier New" w:hAnsi="Courier New" w:cs="Courier New" w:hint="default"/>
      </w:rPr>
    </w:lvl>
    <w:lvl w:ilvl="5" w:tplc="3D76591A" w:tentative="1">
      <w:start w:val="1"/>
      <w:numFmt w:val="bullet"/>
      <w:lvlText w:val=""/>
      <w:lvlJc w:val="left"/>
      <w:pPr>
        <w:ind w:left="4320" w:hanging="360"/>
      </w:pPr>
      <w:rPr>
        <w:rFonts w:ascii="Wingdings" w:hAnsi="Wingdings" w:hint="default"/>
      </w:rPr>
    </w:lvl>
    <w:lvl w:ilvl="6" w:tplc="B5C0328A" w:tentative="1">
      <w:start w:val="1"/>
      <w:numFmt w:val="bullet"/>
      <w:lvlText w:val=""/>
      <w:lvlJc w:val="left"/>
      <w:pPr>
        <w:ind w:left="5040" w:hanging="360"/>
      </w:pPr>
      <w:rPr>
        <w:rFonts w:ascii="Symbol" w:hAnsi="Symbol" w:hint="default"/>
      </w:rPr>
    </w:lvl>
    <w:lvl w:ilvl="7" w:tplc="3C2EFEA6" w:tentative="1">
      <w:start w:val="1"/>
      <w:numFmt w:val="bullet"/>
      <w:lvlText w:val="o"/>
      <w:lvlJc w:val="left"/>
      <w:pPr>
        <w:ind w:left="5760" w:hanging="360"/>
      </w:pPr>
      <w:rPr>
        <w:rFonts w:ascii="Courier New" w:hAnsi="Courier New" w:cs="Courier New" w:hint="default"/>
      </w:rPr>
    </w:lvl>
    <w:lvl w:ilvl="8" w:tplc="E2823B4A" w:tentative="1">
      <w:start w:val="1"/>
      <w:numFmt w:val="bullet"/>
      <w:lvlText w:val=""/>
      <w:lvlJc w:val="left"/>
      <w:pPr>
        <w:ind w:left="6480" w:hanging="360"/>
      </w:pPr>
      <w:rPr>
        <w:rFonts w:ascii="Wingdings" w:hAnsi="Wingdings" w:hint="default"/>
      </w:rPr>
    </w:lvl>
  </w:abstractNum>
  <w:abstractNum w:abstractNumId="19" w15:restartNumberingAfterBreak="0">
    <w:nsid w:val="64613AE9"/>
    <w:multiLevelType w:val="multilevel"/>
    <w:tmpl w:val="58845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813C40"/>
    <w:multiLevelType w:val="multilevel"/>
    <w:tmpl w:val="56126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6B02AF"/>
    <w:multiLevelType w:val="singleLevel"/>
    <w:tmpl w:val="15F25542"/>
    <w:lvl w:ilvl="0">
      <w:start w:val="1"/>
      <w:numFmt w:val="bullet"/>
      <w:pStyle w:val="BulletText2"/>
      <w:lvlText w:val="-"/>
      <w:lvlJc w:val="left"/>
      <w:pPr>
        <w:tabs>
          <w:tab w:val="num" w:pos="360"/>
        </w:tabs>
        <w:ind w:left="360" w:hanging="187"/>
      </w:pPr>
      <w:rPr>
        <w:rFonts w:ascii="Symbol" w:hAnsi="Symbol" w:cs="Times New Roman" w:hint="default"/>
      </w:rPr>
    </w:lvl>
  </w:abstractNum>
  <w:abstractNum w:abstractNumId="22" w15:restartNumberingAfterBreak="0">
    <w:nsid w:val="6D20321A"/>
    <w:multiLevelType w:val="multilevel"/>
    <w:tmpl w:val="807A5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4A621A"/>
    <w:multiLevelType w:val="multilevel"/>
    <w:tmpl w:val="86CE1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130C69"/>
    <w:multiLevelType w:val="multilevel"/>
    <w:tmpl w:val="7FC05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abstractNum w:abstractNumId="26" w15:restartNumberingAfterBreak="0">
    <w:nsid w:val="78B45E59"/>
    <w:multiLevelType w:val="multilevel"/>
    <w:tmpl w:val="6B1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A938B9"/>
    <w:multiLevelType w:val="hybridMultilevel"/>
    <w:tmpl w:val="A27865DE"/>
    <w:lvl w:ilvl="0" w:tplc="6438582C">
      <w:start w:val="1"/>
      <w:numFmt w:val="bullet"/>
      <w:lvlText w:val=""/>
      <w:lvlJc w:val="left"/>
      <w:pPr>
        <w:ind w:left="720" w:hanging="360"/>
      </w:pPr>
      <w:rPr>
        <w:rFonts w:ascii="Symbol" w:hAnsi="Symbol" w:hint="default"/>
      </w:rPr>
    </w:lvl>
    <w:lvl w:ilvl="1" w:tplc="13563860" w:tentative="1">
      <w:start w:val="1"/>
      <w:numFmt w:val="bullet"/>
      <w:lvlText w:val="o"/>
      <w:lvlJc w:val="left"/>
      <w:pPr>
        <w:ind w:left="1440" w:hanging="360"/>
      </w:pPr>
      <w:rPr>
        <w:rFonts w:ascii="Courier New" w:hAnsi="Courier New" w:cs="Courier New" w:hint="default"/>
      </w:rPr>
    </w:lvl>
    <w:lvl w:ilvl="2" w:tplc="4444398C" w:tentative="1">
      <w:start w:val="1"/>
      <w:numFmt w:val="bullet"/>
      <w:lvlText w:val=""/>
      <w:lvlJc w:val="left"/>
      <w:pPr>
        <w:ind w:left="2160" w:hanging="360"/>
      </w:pPr>
      <w:rPr>
        <w:rFonts w:ascii="Wingdings" w:hAnsi="Wingdings" w:hint="default"/>
      </w:rPr>
    </w:lvl>
    <w:lvl w:ilvl="3" w:tplc="42CC0D9C" w:tentative="1">
      <w:start w:val="1"/>
      <w:numFmt w:val="bullet"/>
      <w:lvlText w:val=""/>
      <w:lvlJc w:val="left"/>
      <w:pPr>
        <w:ind w:left="2880" w:hanging="360"/>
      </w:pPr>
      <w:rPr>
        <w:rFonts w:ascii="Symbol" w:hAnsi="Symbol" w:hint="default"/>
      </w:rPr>
    </w:lvl>
    <w:lvl w:ilvl="4" w:tplc="8C54DC00" w:tentative="1">
      <w:start w:val="1"/>
      <w:numFmt w:val="bullet"/>
      <w:lvlText w:val="o"/>
      <w:lvlJc w:val="left"/>
      <w:pPr>
        <w:ind w:left="3600" w:hanging="360"/>
      </w:pPr>
      <w:rPr>
        <w:rFonts w:ascii="Courier New" w:hAnsi="Courier New" w:cs="Courier New" w:hint="default"/>
      </w:rPr>
    </w:lvl>
    <w:lvl w:ilvl="5" w:tplc="668C87FC" w:tentative="1">
      <w:start w:val="1"/>
      <w:numFmt w:val="bullet"/>
      <w:lvlText w:val=""/>
      <w:lvlJc w:val="left"/>
      <w:pPr>
        <w:ind w:left="4320" w:hanging="360"/>
      </w:pPr>
      <w:rPr>
        <w:rFonts w:ascii="Wingdings" w:hAnsi="Wingdings" w:hint="default"/>
      </w:rPr>
    </w:lvl>
    <w:lvl w:ilvl="6" w:tplc="49B4E8BE" w:tentative="1">
      <w:start w:val="1"/>
      <w:numFmt w:val="bullet"/>
      <w:lvlText w:val=""/>
      <w:lvlJc w:val="left"/>
      <w:pPr>
        <w:ind w:left="5040" w:hanging="360"/>
      </w:pPr>
      <w:rPr>
        <w:rFonts w:ascii="Symbol" w:hAnsi="Symbol" w:hint="default"/>
      </w:rPr>
    </w:lvl>
    <w:lvl w:ilvl="7" w:tplc="696A7DAC" w:tentative="1">
      <w:start w:val="1"/>
      <w:numFmt w:val="bullet"/>
      <w:lvlText w:val="o"/>
      <w:lvlJc w:val="left"/>
      <w:pPr>
        <w:ind w:left="5760" w:hanging="360"/>
      </w:pPr>
      <w:rPr>
        <w:rFonts w:ascii="Courier New" w:hAnsi="Courier New" w:cs="Courier New" w:hint="default"/>
      </w:rPr>
    </w:lvl>
    <w:lvl w:ilvl="8" w:tplc="D5AEF1A0" w:tentative="1">
      <w:start w:val="1"/>
      <w:numFmt w:val="bullet"/>
      <w:lvlText w:val=""/>
      <w:lvlJc w:val="left"/>
      <w:pPr>
        <w:ind w:left="6480" w:hanging="360"/>
      </w:pPr>
      <w:rPr>
        <w:rFonts w:ascii="Wingdings" w:hAnsi="Wingdings" w:hint="default"/>
      </w:rPr>
    </w:lvl>
  </w:abstractNum>
  <w:num w:numId="1" w16cid:durableId="1692149032">
    <w:abstractNumId w:val="25"/>
  </w:num>
  <w:num w:numId="2" w16cid:durableId="984629369">
    <w:abstractNumId w:val="21"/>
  </w:num>
  <w:num w:numId="3" w16cid:durableId="168297191">
    <w:abstractNumId w:val="6"/>
  </w:num>
  <w:num w:numId="4" w16cid:durableId="1569460636">
    <w:abstractNumId w:val="0"/>
  </w:num>
  <w:num w:numId="5" w16cid:durableId="2089689265">
    <w:abstractNumId w:val="1"/>
  </w:num>
  <w:num w:numId="6" w16cid:durableId="221136315">
    <w:abstractNumId w:val="18"/>
  </w:num>
  <w:num w:numId="7" w16cid:durableId="182787288">
    <w:abstractNumId w:val="27"/>
  </w:num>
  <w:num w:numId="8" w16cid:durableId="1733231965">
    <w:abstractNumId w:val="10"/>
  </w:num>
  <w:num w:numId="9" w16cid:durableId="772359406">
    <w:abstractNumId w:val="11"/>
  </w:num>
  <w:num w:numId="10" w16cid:durableId="387414185">
    <w:abstractNumId w:val="8"/>
  </w:num>
  <w:num w:numId="11" w16cid:durableId="1871213101">
    <w:abstractNumId w:val="7"/>
  </w:num>
  <w:num w:numId="12" w16cid:durableId="657424279">
    <w:abstractNumId w:val="26"/>
  </w:num>
  <w:num w:numId="13" w16cid:durableId="36588762">
    <w:abstractNumId w:val="2"/>
  </w:num>
  <w:num w:numId="14" w16cid:durableId="498926656">
    <w:abstractNumId w:val="19"/>
  </w:num>
  <w:num w:numId="15" w16cid:durableId="1817530321">
    <w:abstractNumId w:val="22"/>
  </w:num>
  <w:num w:numId="16" w16cid:durableId="1762749527">
    <w:abstractNumId w:val="24"/>
  </w:num>
  <w:num w:numId="17" w16cid:durableId="1064569558">
    <w:abstractNumId w:val="5"/>
  </w:num>
  <w:num w:numId="18" w16cid:durableId="790394991">
    <w:abstractNumId w:val="3"/>
  </w:num>
  <w:num w:numId="19" w16cid:durableId="511645971">
    <w:abstractNumId w:val="13"/>
  </w:num>
  <w:num w:numId="20" w16cid:durableId="630399712">
    <w:abstractNumId w:val="12"/>
  </w:num>
  <w:num w:numId="21" w16cid:durableId="163933464">
    <w:abstractNumId w:val="9"/>
  </w:num>
  <w:num w:numId="22" w16cid:durableId="6654054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8092491">
    <w:abstractNumId w:val="23"/>
  </w:num>
  <w:num w:numId="24" w16cid:durableId="1874153889">
    <w:abstractNumId w:val="20"/>
  </w:num>
  <w:num w:numId="25" w16cid:durableId="331370546">
    <w:abstractNumId w:val="14"/>
  </w:num>
  <w:num w:numId="26" w16cid:durableId="1622571559">
    <w:abstractNumId w:val="16"/>
  </w:num>
  <w:num w:numId="27" w16cid:durableId="1886991323">
    <w:abstractNumId w:val="17"/>
  </w:num>
  <w:num w:numId="28" w16cid:durableId="503056235">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0B"/>
    <w:rsid w:val="00005096"/>
    <w:rsid w:val="00006B04"/>
    <w:rsid w:val="00027993"/>
    <w:rsid w:val="00037868"/>
    <w:rsid w:val="000534C8"/>
    <w:rsid w:val="000542E6"/>
    <w:rsid w:val="00056DE5"/>
    <w:rsid w:val="0006291A"/>
    <w:rsid w:val="000A341A"/>
    <w:rsid w:val="000B6F2B"/>
    <w:rsid w:val="000C1749"/>
    <w:rsid w:val="000C42FD"/>
    <w:rsid w:val="000C4F6B"/>
    <w:rsid w:val="000C506A"/>
    <w:rsid w:val="000D004D"/>
    <w:rsid w:val="000D519C"/>
    <w:rsid w:val="000E1E9F"/>
    <w:rsid w:val="000F3635"/>
    <w:rsid w:val="00107D15"/>
    <w:rsid w:val="00122DEF"/>
    <w:rsid w:val="001277A7"/>
    <w:rsid w:val="001326BF"/>
    <w:rsid w:val="001335A2"/>
    <w:rsid w:val="00141147"/>
    <w:rsid w:val="00152DFA"/>
    <w:rsid w:val="00171B31"/>
    <w:rsid w:val="00175F07"/>
    <w:rsid w:val="00182A99"/>
    <w:rsid w:val="00197C31"/>
    <w:rsid w:val="001B080D"/>
    <w:rsid w:val="001C67B0"/>
    <w:rsid w:val="001F2F5C"/>
    <w:rsid w:val="001F57EF"/>
    <w:rsid w:val="002101B1"/>
    <w:rsid w:val="0022173D"/>
    <w:rsid w:val="002255FB"/>
    <w:rsid w:val="00225E41"/>
    <w:rsid w:val="002305F7"/>
    <w:rsid w:val="00232250"/>
    <w:rsid w:val="002B3C30"/>
    <w:rsid w:val="002C4063"/>
    <w:rsid w:val="002C5618"/>
    <w:rsid w:val="002D070A"/>
    <w:rsid w:val="002E2AE9"/>
    <w:rsid w:val="002F3150"/>
    <w:rsid w:val="002F40DE"/>
    <w:rsid w:val="00300A6F"/>
    <w:rsid w:val="00306784"/>
    <w:rsid w:val="00335DAA"/>
    <w:rsid w:val="00340813"/>
    <w:rsid w:val="003423C9"/>
    <w:rsid w:val="00350959"/>
    <w:rsid w:val="003509D6"/>
    <w:rsid w:val="0036758B"/>
    <w:rsid w:val="00387668"/>
    <w:rsid w:val="003B12B2"/>
    <w:rsid w:val="003D13EF"/>
    <w:rsid w:val="003E71A1"/>
    <w:rsid w:val="003F61F5"/>
    <w:rsid w:val="00415A35"/>
    <w:rsid w:val="00451414"/>
    <w:rsid w:val="00467E11"/>
    <w:rsid w:val="004B5E56"/>
    <w:rsid w:val="004D1166"/>
    <w:rsid w:val="004E1F5C"/>
    <w:rsid w:val="00505688"/>
    <w:rsid w:val="00506B17"/>
    <w:rsid w:val="005479FC"/>
    <w:rsid w:val="00593AF6"/>
    <w:rsid w:val="005A401E"/>
    <w:rsid w:val="005C3EC1"/>
    <w:rsid w:val="005E378A"/>
    <w:rsid w:val="00614469"/>
    <w:rsid w:val="006306FE"/>
    <w:rsid w:val="00641AEC"/>
    <w:rsid w:val="00652294"/>
    <w:rsid w:val="00664E12"/>
    <w:rsid w:val="00665615"/>
    <w:rsid w:val="006763E2"/>
    <w:rsid w:val="006A0F52"/>
    <w:rsid w:val="006A21A2"/>
    <w:rsid w:val="006A61C4"/>
    <w:rsid w:val="006A6F09"/>
    <w:rsid w:val="006D158D"/>
    <w:rsid w:val="006E068F"/>
    <w:rsid w:val="006E1F7F"/>
    <w:rsid w:val="00711997"/>
    <w:rsid w:val="007215EE"/>
    <w:rsid w:val="00746D5F"/>
    <w:rsid w:val="00775ADF"/>
    <w:rsid w:val="007A5CCC"/>
    <w:rsid w:val="007B31C6"/>
    <w:rsid w:val="007D3933"/>
    <w:rsid w:val="007D6AF4"/>
    <w:rsid w:val="007E6BF9"/>
    <w:rsid w:val="007F14A5"/>
    <w:rsid w:val="008013F0"/>
    <w:rsid w:val="008020D6"/>
    <w:rsid w:val="008139AC"/>
    <w:rsid w:val="00837D7A"/>
    <w:rsid w:val="00841071"/>
    <w:rsid w:val="00841C18"/>
    <w:rsid w:val="00851F9B"/>
    <w:rsid w:val="00854FC0"/>
    <w:rsid w:val="008555BD"/>
    <w:rsid w:val="00862377"/>
    <w:rsid w:val="008663AA"/>
    <w:rsid w:val="008907BB"/>
    <w:rsid w:val="008A7B36"/>
    <w:rsid w:val="008B0A02"/>
    <w:rsid w:val="008B5DAA"/>
    <w:rsid w:val="008C4775"/>
    <w:rsid w:val="008D30A8"/>
    <w:rsid w:val="008D551C"/>
    <w:rsid w:val="008D6AF8"/>
    <w:rsid w:val="00922251"/>
    <w:rsid w:val="00924DE2"/>
    <w:rsid w:val="00934B76"/>
    <w:rsid w:val="00947AA8"/>
    <w:rsid w:val="00950321"/>
    <w:rsid w:val="00963088"/>
    <w:rsid w:val="009808A0"/>
    <w:rsid w:val="009A22DA"/>
    <w:rsid w:val="009C1CC1"/>
    <w:rsid w:val="009C3CE1"/>
    <w:rsid w:val="009C6801"/>
    <w:rsid w:val="009E526A"/>
    <w:rsid w:val="00A03BCC"/>
    <w:rsid w:val="00A112E8"/>
    <w:rsid w:val="00A372BF"/>
    <w:rsid w:val="00A41021"/>
    <w:rsid w:val="00A44EE7"/>
    <w:rsid w:val="00AB10D8"/>
    <w:rsid w:val="00AB35F5"/>
    <w:rsid w:val="00AB7B40"/>
    <w:rsid w:val="00AC2B23"/>
    <w:rsid w:val="00AF0162"/>
    <w:rsid w:val="00B01B12"/>
    <w:rsid w:val="00B03AE9"/>
    <w:rsid w:val="00B1197C"/>
    <w:rsid w:val="00B37F82"/>
    <w:rsid w:val="00B4062F"/>
    <w:rsid w:val="00B66803"/>
    <w:rsid w:val="00B9191D"/>
    <w:rsid w:val="00B92D20"/>
    <w:rsid w:val="00B97524"/>
    <w:rsid w:val="00BA3071"/>
    <w:rsid w:val="00BB762D"/>
    <w:rsid w:val="00BC2955"/>
    <w:rsid w:val="00BD612C"/>
    <w:rsid w:val="00BF6D3F"/>
    <w:rsid w:val="00C049EA"/>
    <w:rsid w:val="00C05FE3"/>
    <w:rsid w:val="00C1119B"/>
    <w:rsid w:val="00C13416"/>
    <w:rsid w:val="00C44145"/>
    <w:rsid w:val="00C563CC"/>
    <w:rsid w:val="00C8185D"/>
    <w:rsid w:val="00C9135A"/>
    <w:rsid w:val="00CB352D"/>
    <w:rsid w:val="00CC1EB0"/>
    <w:rsid w:val="00CC75B9"/>
    <w:rsid w:val="00CF4BF7"/>
    <w:rsid w:val="00D0721C"/>
    <w:rsid w:val="00D15D5D"/>
    <w:rsid w:val="00D23A75"/>
    <w:rsid w:val="00D50341"/>
    <w:rsid w:val="00D566C1"/>
    <w:rsid w:val="00D7156D"/>
    <w:rsid w:val="00D718C6"/>
    <w:rsid w:val="00D83991"/>
    <w:rsid w:val="00D86735"/>
    <w:rsid w:val="00D868FB"/>
    <w:rsid w:val="00D9349D"/>
    <w:rsid w:val="00D97010"/>
    <w:rsid w:val="00DC137C"/>
    <w:rsid w:val="00DC3B8A"/>
    <w:rsid w:val="00DE633A"/>
    <w:rsid w:val="00E01766"/>
    <w:rsid w:val="00E119CA"/>
    <w:rsid w:val="00E12157"/>
    <w:rsid w:val="00E238AD"/>
    <w:rsid w:val="00E3422F"/>
    <w:rsid w:val="00E4030F"/>
    <w:rsid w:val="00E418BF"/>
    <w:rsid w:val="00E5183E"/>
    <w:rsid w:val="00E674CF"/>
    <w:rsid w:val="00E709D9"/>
    <w:rsid w:val="00E7221D"/>
    <w:rsid w:val="00E73429"/>
    <w:rsid w:val="00E942C7"/>
    <w:rsid w:val="00EA7E3B"/>
    <w:rsid w:val="00F41D78"/>
    <w:rsid w:val="00F44412"/>
    <w:rsid w:val="00F44EB9"/>
    <w:rsid w:val="00F617C0"/>
    <w:rsid w:val="00F770FA"/>
    <w:rsid w:val="00F8142B"/>
    <w:rsid w:val="00F85DDF"/>
    <w:rsid w:val="00F95FA0"/>
    <w:rsid w:val="00FE4838"/>
    <w:rsid w:val="00FE6799"/>
    <w:rsid w:val="00FF190B"/>
    <w:rsid w:val="2C4EF4F5"/>
    <w:rsid w:val="4227D5C6"/>
    <w:rsid w:val="43B000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C0689B"/>
  <w15:docId w15:val="{E3E83775-79F7-4541-9C92-58C60120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AA4"/>
    <w:rPr>
      <w:sz w:val="24"/>
      <w:szCs w:val="24"/>
    </w:rPr>
  </w:style>
  <w:style w:type="paragraph" w:styleId="Heading1">
    <w:name w:val="heading 1"/>
    <w:basedOn w:val="Normal"/>
    <w:next w:val="Normal"/>
    <w:qFormat/>
    <w:rsid w:val="00B6024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6024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F97A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0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0242"/>
    <w:rPr>
      <w:color w:val="0000FF"/>
      <w:u w:val="single"/>
    </w:rPr>
  </w:style>
  <w:style w:type="paragraph" w:customStyle="1" w:styleId="BulletText1">
    <w:name w:val="Bullet Text 1"/>
    <w:basedOn w:val="Normal"/>
    <w:rsid w:val="006D343B"/>
    <w:pPr>
      <w:numPr>
        <w:numId w:val="1"/>
      </w:numPr>
    </w:pPr>
    <w:rPr>
      <w:color w:val="000000"/>
      <w:szCs w:val="20"/>
    </w:rPr>
  </w:style>
  <w:style w:type="paragraph" w:customStyle="1" w:styleId="TableText">
    <w:name w:val="Table Text"/>
    <w:basedOn w:val="Normal"/>
    <w:rsid w:val="006D343B"/>
    <w:rPr>
      <w:color w:val="000000"/>
      <w:szCs w:val="20"/>
    </w:rPr>
  </w:style>
  <w:style w:type="paragraph" w:customStyle="1" w:styleId="BulletText2">
    <w:name w:val="Bullet Text 2"/>
    <w:basedOn w:val="Normal"/>
    <w:rsid w:val="006D343B"/>
    <w:pPr>
      <w:numPr>
        <w:numId w:val="2"/>
      </w:numPr>
    </w:pPr>
    <w:rPr>
      <w:color w:val="000000"/>
      <w:szCs w:val="20"/>
    </w:rPr>
  </w:style>
  <w:style w:type="paragraph" w:styleId="NormalWeb">
    <w:name w:val="Normal (Web)"/>
    <w:basedOn w:val="Normal"/>
    <w:uiPriority w:val="99"/>
    <w:unhideWhenUsed/>
    <w:rsid w:val="00382563"/>
    <w:pPr>
      <w:spacing w:before="100" w:beforeAutospacing="1" w:after="100" w:afterAutospacing="1" w:line="187" w:lineRule="atLeast"/>
    </w:pPr>
    <w:rPr>
      <w:rFonts w:ascii="Arial" w:hAnsi="Arial" w:cs="Arial"/>
      <w:color w:val="000000"/>
      <w:sz w:val="16"/>
      <w:szCs w:val="16"/>
    </w:rPr>
  </w:style>
  <w:style w:type="character" w:customStyle="1" w:styleId="bold">
    <w:name w:val="bold"/>
    <w:basedOn w:val="DefaultParagraphFont"/>
    <w:rsid w:val="00382563"/>
  </w:style>
  <w:style w:type="character" w:styleId="FollowedHyperlink">
    <w:name w:val="FollowedHyperlink"/>
    <w:rsid w:val="00D97964"/>
    <w:rPr>
      <w:color w:val="800080"/>
      <w:u w:val="single"/>
    </w:rPr>
  </w:style>
  <w:style w:type="paragraph" w:styleId="BalloonText">
    <w:name w:val="Balloon Text"/>
    <w:basedOn w:val="Normal"/>
    <w:link w:val="BalloonTextChar"/>
    <w:rsid w:val="002B5FED"/>
    <w:rPr>
      <w:rFonts w:ascii="Tahoma" w:hAnsi="Tahoma" w:cs="Tahoma"/>
      <w:sz w:val="16"/>
      <w:szCs w:val="16"/>
    </w:rPr>
  </w:style>
  <w:style w:type="character" w:customStyle="1" w:styleId="BalloonTextChar">
    <w:name w:val="Balloon Text Char"/>
    <w:link w:val="BalloonText"/>
    <w:rsid w:val="002B5FED"/>
    <w:rPr>
      <w:rFonts w:ascii="Tahoma" w:hAnsi="Tahoma" w:cs="Tahoma"/>
      <w:sz w:val="16"/>
      <w:szCs w:val="16"/>
    </w:rPr>
  </w:style>
  <w:style w:type="paragraph" w:styleId="DocumentMap">
    <w:name w:val="Document Map"/>
    <w:basedOn w:val="Normal"/>
    <w:semiHidden/>
    <w:rsid w:val="00B261DA"/>
    <w:pPr>
      <w:shd w:val="clear" w:color="auto" w:fill="000080"/>
    </w:pPr>
    <w:rPr>
      <w:rFonts w:ascii="Tahoma" w:hAnsi="Tahoma" w:cs="Tahoma"/>
      <w:sz w:val="20"/>
      <w:szCs w:val="20"/>
    </w:rPr>
  </w:style>
  <w:style w:type="paragraph" w:styleId="Header">
    <w:name w:val="header"/>
    <w:basedOn w:val="Normal"/>
    <w:rsid w:val="00861FE7"/>
    <w:pPr>
      <w:tabs>
        <w:tab w:val="center" w:pos="4320"/>
        <w:tab w:val="right" w:pos="8640"/>
      </w:tabs>
    </w:pPr>
  </w:style>
  <w:style w:type="paragraph" w:styleId="Footer">
    <w:name w:val="footer"/>
    <w:basedOn w:val="Normal"/>
    <w:rsid w:val="00861FE7"/>
    <w:pPr>
      <w:tabs>
        <w:tab w:val="center" w:pos="4320"/>
        <w:tab w:val="right" w:pos="8640"/>
      </w:tabs>
    </w:pPr>
  </w:style>
  <w:style w:type="character" w:styleId="PageNumber">
    <w:name w:val="page number"/>
    <w:basedOn w:val="DefaultParagraphFont"/>
    <w:rsid w:val="00861FE7"/>
  </w:style>
  <w:style w:type="character" w:styleId="CommentReference">
    <w:name w:val="annotation reference"/>
    <w:rsid w:val="00AA60EC"/>
    <w:rPr>
      <w:sz w:val="16"/>
      <w:szCs w:val="16"/>
    </w:rPr>
  </w:style>
  <w:style w:type="paragraph" w:styleId="CommentText">
    <w:name w:val="annotation text"/>
    <w:basedOn w:val="Normal"/>
    <w:link w:val="CommentTextChar"/>
    <w:rsid w:val="00AA60EC"/>
    <w:rPr>
      <w:sz w:val="20"/>
      <w:szCs w:val="20"/>
    </w:rPr>
  </w:style>
  <w:style w:type="character" w:customStyle="1" w:styleId="CommentTextChar">
    <w:name w:val="Comment Text Char"/>
    <w:basedOn w:val="DefaultParagraphFont"/>
    <w:link w:val="CommentText"/>
    <w:rsid w:val="00AA60EC"/>
  </w:style>
  <w:style w:type="paragraph" w:styleId="CommentSubject">
    <w:name w:val="annotation subject"/>
    <w:basedOn w:val="CommentText"/>
    <w:next w:val="CommentText"/>
    <w:link w:val="CommentSubjectChar"/>
    <w:rsid w:val="00AA60EC"/>
    <w:rPr>
      <w:b/>
      <w:bCs/>
    </w:rPr>
  </w:style>
  <w:style w:type="character" w:customStyle="1" w:styleId="CommentSubjectChar">
    <w:name w:val="Comment Subject Char"/>
    <w:link w:val="CommentSubject"/>
    <w:rsid w:val="00AA60EC"/>
    <w:rPr>
      <w:b/>
      <w:bCs/>
    </w:rPr>
  </w:style>
  <w:style w:type="character" w:customStyle="1" w:styleId="Heading3Char">
    <w:name w:val="Heading 3 Char"/>
    <w:link w:val="Heading3"/>
    <w:semiHidden/>
    <w:rsid w:val="00F97A6B"/>
    <w:rPr>
      <w:rFonts w:ascii="Cambria" w:eastAsia="Times New Roman" w:hAnsi="Cambria" w:cs="Times New Roman"/>
      <w:b/>
      <w:bCs/>
      <w:sz w:val="26"/>
      <w:szCs w:val="26"/>
    </w:rPr>
  </w:style>
  <w:style w:type="paragraph" w:styleId="TOC2">
    <w:name w:val="toc 2"/>
    <w:basedOn w:val="Normal"/>
    <w:next w:val="Normal"/>
    <w:autoRedefine/>
    <w:uiPriority w:val="39"/>
    <w:rsid w:val="00E119CA"/>
    <w:pPr>
      <w:tabs>
        <w:tab w:val="right" w:leader="dot" w:pos="12950"/>
      </w:tabs>
    </w:pPr>
  </w:style>
  <w:style w:type="character" w:customStyle="1" w:styleId="Heading2Char">
    <w:name w:val="Heading 2 Char"/>
    <w:link w:val="Heading2"/>
    <w:uiPriority w:val="9"/>
    <w:rsid w:val="00A84179"/>
    <w:rPr>
      <w:rFonts w:ascii="Arial" w:hAnsi="Arial" w:cs="Arial"/>
      <w:b/>
      <w:bCs/>
      <w:i/>
      <w:iCs/>
      <w:sz w:val="28"/>
      <w:szCs w:val="28"/>
    </w:rPr>
  </w:style>
  <w:style w:type="paragraph" w:styleId="ListParagraph">
    <w:name w:val="List Paragraph"/>
    <w:aliases w:val="Sapient_TableNumber"/>
    <w:basedOn w:val="Normal"/>
    <w:link w:val="ListParagraphChar"/>
    <w:uiPriority w:val="34"/>
    <w:qFormat/>
    <w:rsid w:val="00B2588F"/>
    <w:pPr>
      <w:ind w:left="720"/>
      <w:contextualSpacing/>
    </w:pPr>
  </w:style>
  <w:style w:type="character" w:customStyle="1" w:styleId="UnresolvedMention1">
    <w:name w:val="Unresolved Mention1"/>
    <w:basedOn w:val="DefaultParagraphFont"/>
    <w:uiPriority w:val="99"/>
    <w:semiHidden/>
    <w:unhideWhenUsed/>
    <w:rsid w:val="00C45EEF"/>
    <w:rPr>
      <w:color w:val="605E5C"/>
      <w:shd w:val="clear" w:color="auto" w:fill="E1DFDD"/>
    </w:rPr>
  </w:style>
  <w:style w:type="paragraph" w:customStyle="1" w:styleId="doctitle">
    <w:name w:val="doctitle"/>
    <w:basedOn w:val="Normal"/>
    <w:rsid w:val="000354F3"/>
    <w:pPr>
      <w:spacing w:before="100" w:beforeAutospacing="1" w:after="100" w:afterAutospacing="1"/>
    </w:pPr>
  </w:style>
  <w:style w:type="paragraph" w:styleId="Revision">
    <w:name w:val="Revision"/>
    <w:hidden/>
    <w:uiPriority w:val="99"/>
    <w:semiHidden/>
    <w:rsid w:val="006E1F7F"/>
    <w:rPr>
      <w:sz w:val="24"/>
      <w:szCs w:val="24"/>
    </w:rPr>
  </w:style>
  <w:style w:type="character" w:customStyle="1" w:styleId="ListParagraphChar">
    <w:name w:val="List Paragraph Char"/>
    <w:aliases w:val="Sapient_TableNumber Char"/>
    <w:basedOn w:val="DefaultParagraphFont"/>
    <w:link w:val="ListParagraph"/>
    <w:uiPriority w:val="34"/>
    <w:locked/>
    <w:rsid w:val="00F617C0"/>
    <w:rPr>
      <w:sz w:val="24"/>
      <w:szCs w:val="24"/>
    </w:rPr>
  </w:style>
  <w:style w:type="character" w:styleId="UnresolvedMention">
    <w:name w:val="Unresolved Mention"/>
    <w:basedOn w:val="DefaultParagraphFont"/>
    <w:rsid w:val="0033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354620">
      <w:bodyDiv w:val="1"/>
      <w:marLeft w:val="0"/>
      <w:marRight w:val="0"/>
      <w:marTop w:val="0"/>
      <w:marBottom w:val="0"/>
      <w:divBdr>
        <w:top w:val="none" w:sz="0" w:space="0" w:color="auto"/>
        <w:left w:val="none" w:sz="0" w:space="0" w:color="auto"/>
        <w:bottom w:val="none" w:sz="0" w:space="0" w:color="auto"/>
        <w:right w:val="none" w:sz="0" w:space="0" w:color="auto"/>
      </w:divBdr>
    </w:div>
    <w:div w:id="1203053032">
      <w:bodyDiv w:val="1"/>
      <w:marLeft w:val="0"/>
      <w:marRight w:val="0"/>
      <w:marTop w:val="0"/>
      <w:marBottom w:val="0"/>
      <w:divBdr>
        <w:top w:val="none" w:sz="0" w:space="0" w:color="auto"/>
        <w:left w:val="none" w:sz="0" w:space="0" w:color="auto"/>
        <w:bottom w:val="none" w:sz="0" w:space="0" w:color="auto"/>
        <w:right w:val="none" w:sz="0" w:space="0" w:color="auto"/>
      </w:divBdr>
    </w:div>
    <w:div w:id="1373925321">
      <w:bodyDiv w:val="1"/>
      <w:marLeft w:val="0"/>
      <w:marRight w:val="0"/>
      <w:marTop w:val="0"/>
      <w:marBottom w:val="0"/>
      <w:divBdr>
        <w:top w:val="none" w:sz="0" w:space="0" w:color="auto"/>
        <w:left w:val="none" w:sz="0" w:space="0" w:color="auto"/>
        <w:bottom w:val="none" w:sz="0" w:space="0" w:color="auto"/>
        <w:right w:val="none" w:sz="0" w:space="0" w:color="auto"/>
      </w:divBdr>
    </w:div>
    <w:div w:id="1707366178">
      <w:bodyDiv w:val="1"/>
      <w:marLeft w:val="0"/>
      <w:marRight w:val="0"/>
      <w:marTop w:val="0"/>
      <w:marBottom w:val="0"/>
      <w:divBdr>
        <w:top w:val="none" w:sz="0" w:space="0" w:color="auto"/>
        <w:left w:val="none" w:sz="0" w:space="0" w:color="auto"/>
        <w:bottom w:val="none" w:sz="0" w:space="0" w:color="auto"/>
        <w:right w:val="none" w:sz="0" w:space="0" w:color="auto"/>
      </w:divBdr>
    </w:div>
    <w:div w:id="1774395641">
      <w:bodyDiv w:val="1"/>
      <w:marLeft w:val="0"/>
      <w:marRight w:val="0"/>
      <w:marTop w:val="0"/>
      <w:marBottom w:val="0"/>
      <w:divBdr>
        <w:top w:val="none" w:sz="0" w:space="0" w:color="auto"/>
        <w:left w:val="none" w:sz="0" w:space="0" w:color="auto"/>
        <w:bottom w:val="none" w:sz="0" w:space="0" w:color="auto"/>
        <w:right w:val="none" w:sz="0" w:space="0" w:color="auto"/>
      </w:divBdr>
    </w:div>
    <w:div w:id="1922713958">
      <w:bodyDiv w:val="1"/>
      <w:marLeft w:val="0"/>
      <w:marRight w:val="0"/>
      <w:marTop w:val="0"/>
      <w:marBottom w:val="0"/>
      <w:divBdr>
        <w:top w:val="none" w:sz="0" w:space="0" w:color="auto"/>
        <w:left w:val="none" w:sz="0" w:space="0" w:color="auto"/>
        <w:bottom w:val="none" w:sz="0" w:space="0" w:color="auto"/>
        <w:right w:val="none" w:sz="0" w:space="0" w:color="auto"/>
      </w:divBdr>
    </w:div>
    <w:div w:id="19615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nxfile/default/c4fb8a09-f22f-49cd-a22d-71930039f08c/ncf:generated_pdf/Compass%20-%20Viewing%20Accumulations%20-%20050010%20June%20Updates.docx.html?changeToken=933-0&amp;inline=true" TargetMode="External"/><Relationship Id="rId17" Type="http://schemas.openxmlformats.org/officeDocument/2006/relationships/hyperlink" Target="https://www.caremark.com/portal/asset/preventive_dl.pdf"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hesource.cvshealth.com/nuxeo/thesour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IRXME-06093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6" ma:contentTypeDescription="Create a new document." ma:contentTypeScope="" ma:versionID="af5ba7d2ce506513fcc0017ccedab22d">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64203a67db843b7f1d76fe9dff7cdfbc"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3b1ca30-2eb1-4a7b-bdb7-8ec24a269858">
      <UserInfo>
        <DisplayName>Davis, David P.</DisplayName>
        <AccountId>145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6C980-A29A-47A3-BE55-386AF28ED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302FB-9FBF-4E9E-B3AA-FDAA24778B32}">
  <ds:schemaRefs>
    <ds:schemaRef ds:uri="http://schemas.microsoft.com/sharepoint/v3/contenttype/forms"/>
  </ds:schemaRefs>
</ds:datastoreItem>
</file>

<file path=customXml/itemProps3.xml><?xml version="1.0" encoding="utf-8"?>
<ds:datastoreItem xmlns:ds="http://schemas.openxmlformats.org/officeDocument/2006/customXml" ds:itemID="{258122CD-A0ED-4460-BF2F-10DF2BC61434}">
  <ds:schemaRefs>
    <ds:schemaRef ds:uri="http://schemas.microsoft.com/office/2006/metadata/properties"/>
    <ds:schemaRef ds:uri="http://schemas.microsoft.com/office/infopath/2007/PartnerControls"/>
    <ds:schemaRef ds:uri="c3b1ca30-2eb1-4a7b-bdb7-8ec24a269858"/>
  </ds:schemaRefs>
</ds:datastoreItem>
</file>

<file path=customXml/itemProps4.xml><?xml version="1.0" encoding="utf-8"?>
<ds:datastoreItem xmlns:ds="http://schemas.openxmlformats.org/officeDocument/2006/customXml" ds:itemID="{84DD2485-A2EB-48F8-96A3-33CC1947E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Name of Document</vt:lpstr>
    </vt:vector>
  </TitlesOfParts>
  <Company>CVS|Caremark</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Document</dc:title>
  <dc:subject/>
  <dc:creator>qcpu124</dc:creator>
  <cp:keywords/>
  <cp:lastModifiedBy>Davis, David P.</cp:lastModifiedBy>
  <cp:revision>10</cp:revision>
  <cp:lastPrinted>2014-12-01T17:24:00Z</cp:lastPrinted>
  <dcterms:created xsi:type="dcterms:W3CDTF">2024-05-22T17:00:00Z</dcterms:created>
  <dcterms:modified xsi:type="dcterms:W3CDTF">2024-05-22T17:14:00Z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0x010100ACB49505AAF66544B3991E59A726D05A</vt:lpwstr>
  </property>
  <property fmtid="{D5CDD505-2E9C-101B-9397-08002B2CF9AE}" pid="3" name="MSIP_Label_67599526-06ca-49cc-9fa9-5307800a949a_ActionId">
    <vt:lpwstr>3a794749-a4f8-426a-9fad-c633f67e483d</vt:lpwstr>
  </property>
  <property fmtid="{D5CDD505-2E9C-101B-9397-08002B2CF9AE}" pid="4" name="MSIP_Label_67599526-06ca-49cc-9fa9-5307800a949a_ContentBits">
    <vt:lpwstr>0</vt:lpwstr>
  </property>
  <property fmtid="{D5CDD505-2E9C-101B-9397-08002B2CF9AE}" pid="5" name="MSIP_Label_67599526-06ca-49cc-9fa9-5307800a949a_Enabled">
    <vt:lpwstr>true</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etDate">
    <vt:lpwstr>2021-10-04T15:24:17Z</vt:lpwstr>
  </property>
  <property fmtid="{D5CDD505-2E9C-101B-9397-08002B2CF9AE}" pid="9" name="MSIP_Label_67599526-06ca-49cc-9fa9-5307800a949a_SiteId">
    <vt:lpwstr>fabb61b8-3afe-4e75-b934-a47f782b8cd7</vt:lpwstr>
  </property>
  <property fmtid="{D5CDD505-2E9C-101B-9397-08002B2CF9AE}" pid="10" name="MediaServiceImageTags">
    <vt:lpwstr/>
  </property>
</Properties>
</file>