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D4F92" w14:textId="25801284" w:rsidR="00255C6B" w:rsidRPr="00812777" w:rsidRDefault="00334A9C" w:rsidP="00255C6B">
      <w:pPr>
        <w:pStyle w:val="Heading1"/>
        <w:rPr>
          <w:rFonts w:ascii="Verdana" w:hAnsi="Verdana"/>
          <w:color w:val="000000"/>
          <w:sz w:val="36"/>
          <w:szCs w:val="36"/>
        </w:rPr>
      </w:pPr>
      <w:bookmarkStart w:id="0" w:name="_top"/>
      <w:bookmarkEnd w:id="0"/>
      <w:r w:rsidRPr="0445F050">
        <w:rPr>
          <w:rFonts w:ascii="Verdana" w:hAnsi="Verdana"/>
          <w:color w:val="000000" w:themeColor="text1"/>
          <w:sz w:val="36"/>
          <w:szCs w:val="36"/>
        </w:rPr>
        <w:t xml:space="preserve">Compass - </w:t>
      </w:r>
      <w:r w:rsidR="00C93E58" w:rsidRPr="0445F050">
        <w:rPr>
          <w:rFonts w:ascii="Verdana" w:hAnsi="Verdana"/>
          <w:color w:val="000000" w:themeColor="text1"/>
          <w:sz w:val="36"/>
          <w:szCs w:val="36"/>
        </w:rPr>
        <w:t xml:space="preserve">Health Insurance </w:t>
      </w:r>
      <w:r w:rsidR="006A6EC3" w:rsidRPr="0445F050">
        <w:rPr>
          <w:rFonts w:ascii="Verdana" w:hAnsi="Verdana"/>
          <w:color w:val="000000" w:themeColor="text1"/>
          <w:sz w:val="36"/>
          <w:szCs w:val="36"/>
        </w:rPr>
        <w:t xml:space="preserve">Exchange </w:t>
      </w:r>
      <w:r w:rsidR="005A6C57" w:rsidRPr="0445F050">
        <w:rPr>
          <w:rFonts w:ascii="Verdana" w:hAnsi="Verdana"/>
          <w:color w:val="000000" w:themeColor="text1"/>
          <w:sz w:val="36"/>
          <w:szCs w:val="36"/>
        </w:rPr>
        <w:t>Marketplaces</w:t>
      </w:r>
    </w:p>
    <w:p w14:paraId="2DCAF244" w14:textId="28ECDF3A" w:rsidR="002A17E8" w:rsidRDefault="00245940">
      <w:pPr>
        <w:pStyle w:val="TOC2"/>
        <w:rPr>
          <w:rFonts w:asciiTheme="minorHAnsi" w:eastAsiaTheme="minorEastAsia" w:hAnsiTheme="minorHAnsi" w:cstheme="minorBidi"/>
          <w:noProof/>
          <w:kern w:val="2"/>
          <w14:ligatures w14:val="standardContextual"/>
        </w:rPr>
      </w:pPr>
      <w:r>
        <w:fldChar w:fldCharType="begin"/>
      </w:r>
      <w:r>
        <w:instrText xml:space="preserve"> TOC \o "2-2" \n \p " " \h \z \u </w:instrText>
      </w:r>
      <w:r>
        <w:fldChar w:fldCharType="separate"/>
      </w:r>
      <w:hyperlink w:anchor="_Toc181254525" w:history="1">
        <w:r w:rsidR="002A17E8" w:rsidRPr="002C530C">
          <w:rPr>
            <w:rStyle w:val="Hyperlink"/>
            <w:rFonts w:ascii="Verdana" w:hAnsi="Verdana"/>
            <w:noProof/>
          </w:rPr>
          <w:t>Other Information</w:t>
        </w:r>
      </w:hyperlink>
    </w:p>
    <w:p w14:paraId="5DBCE27C" w14:textId="03DE6635" w:rsidR="002A17E8" w:rsidRDefault="002A17E8">
      <w:pPr>
        <w:pStyle w:val="TOC2"/>
        <w:rPr>
          <w:rFonts w:asciiTheme="minorHAnsi" w:eastAsiaTheme="minorEastAsia" w:hAnsiTheme="minorHAnsi" w:cstheme="minorBidi"/>
          <w:noProof/>
          <w:kern w:val="2"/>
          <w14:ligatures w14:val="standardContextual"/>
        </w:rPr>
      </w:pPr>
      <w:hyperlink w:anchor="_Toc181254526" w:history="1">
        <w:r w:rsidRPr="002C530C">
          <w:rPr>
            <w:rStyle w:val="Hyperlink"/>
            <w:rFonts w:ascii="Verdana" w:hAnsi="Verdana"/>
            <w:noProof/>
          </w:rPr>
          <w:t>Health Care Reform and the Affordable Care Act (ACA)</w:t>
        </w:r>
      </w:hyperlink>
    </w:p>
    <w:p w14:paraId="32498956" w14:textId="54969C81" w:rsidR="002A17E8" w:rsidRDefault="002A17E8">
      <w:pPr>
        <w:pStyle w:val="TOC2"/>
        <w:rPr>
          <w:rFonts w:asciiTheme="minorHAnsi" w:eastAsiaTheme="minorEastAsia" w:hAnsiTheme="minorHAnsi" w:cstheme="minorBidi"/>
          <w:noProof/>
          <w:kern w:val="2"/>
          <w14:ligatures w14:val="standardContextual"/>
        </w:rPr>
      </w:pPr>
      <w:hyperlink w:anchor="_Toc181254527" w:history="1">
        <w:r w:rsidRPr="002C530C">
          <w:rPr>
            <w:rStyle w:val="Hyperlink"/>
            <w:rFonts w:ascii="Verdana" w:hAnsi="Verdana"/>
            <w:noProof/>
          </w:rPr>
          <w:t>Health Insurance Exchange Marketplace Need to Know</w:t>
        </w:r>
      </w:hyperlink>
    </w:p>
    <w:p w14:paraId="4A267D5C" w14:textId="3E01A714" w:rsidR="002A17E8" w:rsidRDefault="002A17E8">
      <w:pPr>
        <w:pStyle w:val="TOC2"/>
        <w:rPr>
          <w:rFonts w:asciiTheme="minorHAnsi" w:eastAsiaTheme="minorEastAsia" w:hAnsiTheme="minorHAnsi" w:cstheme="minorBidi"/>
          <w:noProof/>
          <w:kern w:val="2"/>
          <w14:ligatures w14:val="standardContextual"/>
        </w:rPr>
      </w:pPr>
      <w:hyperlink w:anchor="_Toc181254528" w:history="1">
        <w:r w:rsidRPr="002C530C">
          <w:rPr>
            <w:rStyle w:val="Hyperlink"/>
            <w:rFonts w:ascii="Verdana" w:hAnsi="Verdana"/>
            <w:noProof/>
          </w:rPr>
          <w:t>Health Insurance Exchange Marketplace and the American Indian (AI) and Alaska Native (AN) Communities</w:t>
        </w:r>
      </w:hyperlink>
    </w:p>
    <w:p w14:paraId="41A41973" w14:textId="490D6396" w:rsidR="002A17E8" w:rsidRDefault="002A17E8">
      <w:pPr>
        <w:pStyle w:val="TOC2"/>
        <w:rPr>
          <w:rFonts w:asciiTheme="minorHAnsi" w:eastAsiaTheme="minorEastAsia" w:hAnsiTheme="minorHAnsi" w:cstheme="minorBidi"/>
          <w:noProof/>
          <w:kern w:val="2"/>
          <w14:ligatures w14:val="standardContextual"/>
        </w:rPr>
      </w:pPr>
      <w:hyperlink w:anchor="_Toc181254529" w:history="1">
        <w:r w:rsidRPr="002C530C">
          <w:rPr>
            <w:rStyle w:val="Hyperlink"/>
            <w:rFonts w:ascii="Verdana" w:hAnsi="Verdana"/>
            <w:noProof/>
          </w:rPr>
          <w:t>Key Plan Design Features and Offerings</w:t>
        </w:r>
      </w:hyperlink>
    </w:p>
    <w:p w14:paraId="4F712140" w14:textId="50290BBD" w:rsidR="002A17E8" w:rsidRDefault="002A17E8">
      <w:pPr>
        <w:pStyle w:val="TOC2"/>
        <w:rPr>
          <w:rFonts w:asciiTheme="minorHAnsi" w:eastAsiaTheme="minorEastAsia" w:hAnsiTheme="minorHAnsi" w:cstheme="minorBidi"/>
          <w:noProof/>
          <w:kern w:val="2"/>
          <w14:ligatures w14:val="standardContextual"/>
        </w:rPr>
      </w:pPr>
      <w:hyperlink w:anchor="_Toc181254530" w:history="1">
        <w:r w:rsidRPr="002C530C">
          <w:rPr>
            <w:rStyle w:val="Hyperlink"/>
            <w:rFonts w:ascii="Verdana" w:hAnsi="Verdana"/>
            <w:noProof/>
          </w:rPr>
          <w:t>Grace Period</w:t>
        </w:r>
      </w:hyperlink>
    </w:p>
    <w:p w14:paraId="4215713C" w14:textId="0ABE7F1A" w:rsidR="002A17E8" w:rsidRDefault="002A17E8">
      <w:pPr>
        <w:pStyle w:val="TOC2"/>
        <w:rPr>
          <w:rFonts w:asciiTheme="minorHAnsi" w:eastAsiaTheme="minorEastAsia" w:hAnsiTheme="minorHAnsi" w:cstheme="minorBidi"/>
          <w:noProof/>
          <w:kern w:val="2"/>
          <w14:ligatures w14:val="standardContextual"/>
        </w:rPr>
      </w:pPr>
      <w:hyperlink w:anchor="_Toc181254531" w:history="1">
        <w:r w:rsidRPr="002C530C">
          <w:rPr>
            <w:rStyle w:val="Hyperlink"/>
            <w:rFonts w:ascii="Verdana" w:hAnsi="Verdana"/>
            <w:noProof/>
          </w:rPr>
          <w:t>Frequently Asked Questions - Integrated Deductible/Maximum Out of Pocket</w:t>
        </w:r>
      </w:hyperlink>
    </w:p>
    <w:p w14:paraId="4BA5F498" w14:textId="3D1BC763" w:rsidR="002A17E8" w:rsidRDefault="002A17E8">
      <w:pPr>
        <w:pStyle w:val="TOC2"/>
        <w:rPr>
          <w:rFonts w:asciiTheme="minorHAnsi" w:eastAsiaTheme="minorEastAsia" w:hAnsiTheme="minorHAnsi" w:cstheme="minorBidi"/>
          <w:noProof/>
          <w:kern w:val="2"/>
          <w14:ligatures w14:val="standardContextual"/>
        </w:rPr>
      </w:pPr>
      <w:hyperlink w:anchor="_Toc181254532" w:history="1">
        <w:r w:rsidRPr="002C530C">
          <w:rPr>
            <w:rStyle w:val="Hyperlink"/>
            <w:rFonts w:ascii="Verdana" w:hAnsi="Verdana"/>
            <w:noProof/>
          </w:rPr>
          <w:t>Frequently Asked Questions - Healthcare Reform</w:t>
        </w:r>
      </w:hyperlink>
    </w:p>
    <w:p w14:paraId="38A55757" w14:textId="052B0B4E" w:rsidR="002A17E8" w:rsidRDefault="002A17E8">
      <w:pPr>
        <w:pStyle w:val="TOC2"/>
        <w:rPr>
          <w:rFonts w:asciiTheme="minorHAnsi" w:eastAsiaTheme="minorEastAsia" w:hAnsiTheme="minorHAnsi" w:cstheme="minorBidi"/>
          <w:noProof/>
          <w:kern w:val="2"/>
          <w14:ligatures w14:val="standardContextual"/>
        </w:rPr>
      </w:pPr>
      <w:hyperlink w:anchor="_Toc181254533" w:history="1">
        <w:r w:rsidRPr="002C530C">
          <w:rPr>
            <w:rStyle w:val="Hyperlink"/>
            <w:rFonts w:ascii="Verdana" w:hAnsi="Verdana"/>
            <w:noProof/>
          </w:rPr>
          <w:t>Frequently Asked Questions - General</w:t>
        </w:r>
      </w:hyperlink>
    </w:p>
    <w:p w14:paraId="3A148291" w14:textId="1E598394" w:rsidR="002A17E8" w:rsidRDefault="002A17E8">
      <w:pPr>
        <w:pStyle w:val="TOC2"/>
        <w:rPr>
          <w:rFonts w:asciiTheme="minorHAnsi" w:eastAsiaTheme="minorEastAsia" w:hAnsiTheme="minorHAnsi" w:cstheme="minorBidi"/>
          <w:noProof/>
          <w:kern w:val="2"/>
          <w14:ligatures w14:val="standardContextual"/>
        </w:rPr>
      </w:pPr>
      <w:hyperlink w:anchor="_Toc181254534" w:history="1">
        <w:r w:rsidRPr="002C530C">
          <w:rPr>
            <w:rStyle w:val="Hyperlink"/>
            <w:rFonts w:ascii="Verdana" w:hAnsi="Verdana"/>
            <w:noProof/>
          </w:rPr>
          <w:t>Related Documents</w:t>
        </w:r>
      </w:hyperlink>
    </w:p>
    <w:p w14:paraId="302BEC3C" w14:textId="3FE1C5F9" w:rsidR="00245940" w:rsidRPr="00245940" w:rsidRDefault="00245940" w:rsidP="00245940">
      <w:pPr>
        <w:rPr>
          <w:rFonts w:ascii="Verdana" w:hAnsi="Verdana"/>
        </w:rPr>
      </w:pPr>
      <w:r>
        <w:fldChar w:fldCharType="end"/>
      </w:r>
      <w:r w:rsidR="00D55B49">
        <w:rPr>
          <w:rFonts w:ascii="Verdana" w:hAnsi="Verdana"/>
          <w:b/>
        </w:rPr>
        <w:t xml:space="preserve"> </w:t>
      </w:r>
    </w:p>
    <w:p w14:paraId="447A2BCB" w14:textId="12576D55" w:rsidR="00F05295" w:rsidRDefault="00E703CB" w:rsidP="00EA278E">
      <w:pPr>
        <w:rPr>
          <w:rFonts w:ascii="Verdana" w:hAnsi="Verdana"/>
        </w:rPr>
      </w:pPr>
      <w:bookmarkStart w:id="1" w:name="_Overview"/>
      <w:bookmarkEnd w:id="1"/>
      <w:r w:rsidRPr="00560E01">
        <w:rPr>
          <w:rFonts w:ascii="Verdana" w:hAnsi="Verdana"/>
          <w:b/>
          <w:bCs/>
        </w:rPr>
        <w:t>Description:</w:t>
      </w:r>
      <w:r>
        <w:rPr>
          <w:rFonts w:ascii="Verdana" w:hAnsi="Verdana"/>
        </w:rPr>
        <w:t xml:space="preserve">  </w:t>
      </w:r>
      <w:r w:rsidR="00EA278E" w:rsidRPr="002A17E8">
        <w:rPr>
          <w:rFonts w:ascii="Verdana" w:hAnsi="Verdana"/>
        </w:rPr>
        <w:t>Provides details on Health Insurance Exchanges where consumers and businesses can compare and purchase health insurance plans, along with information on key features, enrollment periods, and related frequently asked questions. Highlights the impact of the Affordable Care Act on health care delivery and the availability of federal subsidies for eligible individuals.</w:t>
      </w:r>
    </w:p>
    <w:p w14:paraId="6E711E83" w14:textId="77777777" w:rsidR="00832A6C" w:rsidRPr="002A17E8" w:rsidRDefault="00832A6C" w:rsidP="00EA278E">
      <w:pPr>
        <w:rPr>
          <w:rFonts w:ascii="Verdana" w:hAnsi="Verdana"/>
        </w:rPr>
      </w:pPr>
    </w:p>
    <w:p w14:paraId="0CDB12E0" w14:textId="2924ABEB" w:rsidR="00031E70" w:rsidRDefault="00031E70" w:rsidP="00031E70">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31E70" w:rsidRPr="00BF74E9" w14:paraId="1D05DFDC" w14:textId="77777777" w:rsidTr="00761B6B">
        <w:tc>
          <w:tcPr>
            <w:tcW w:w="5000" w:type="pct"/>
            <w:shd w:val="clear" w:color="auto" w:fill="C0C0C0"/>
          </w:tcPr>
          <w:p w14:paraId="4B6FD9DD" w14:textId="5E5B3C35" w:rsidR="00031E70" w:rsidRPr="00D32D37" w:rsidRDefault="00031E70" w:rsidP="005160BE">
            <w:pPr>
              <w:pStyle w:val="Heading2"/>
              <w:tabs>
                <w:tab w:val="left" w:pos="11985"/>
              </w:tabs>
              <w:spacing w:before="120" w:after="120"/>
              <w:rPr>
                <w:rFonts w:ascii="Verdana" w:hAnsi="Verdana"/>
                <w:i w:val="0"/>
                <w:iCs w:val="0"/>
              </w:rPr>
            </w:pPr>
            <w:bookmarkStart w:id="2" w:name="_Toc181254525"/>
            <w:r>
              <w:rPr>
                <w:rFonts w:ascii="Verdana" w:hAnsi="Verdana"/>
                <w:i w:val="0"/>
                <w:iCs w:val="0"/>
              </w:rPr>
              <w:t>Other Information</w:t>
            </w:r>
            <w:bookmarkEnd w:id="2"/>
          </w:p>
        </w:tc>
      </w:tr>
    </w:tbl>
    <w:p w14:paraId="79F89B07" w14:textId="562F31BF" w:rsidR="00773CB4" w:rsidRDefault="00CC19CF" w:rsidP="005160BE">
      <w:pPr>
        <w:spacing w:before="120" w:after="120"/>
        <w:rPr>
          <w:noProof/>
        </w:rPr>
      </w:pPr>
      <w:r>
        <w:rPr>
          <w:rFonts w:ascii="Verdana" w:hAnsi="Verdana"/>
        </w:rPr>
        <w:t xml:space="preserve">Open enrollment generally begins November 1st of each year. </w:t>
      </w:r>
      <w:r w:rsidR="00031E70">
        <w:rPr>
          <w:rFonts w:ascii="Verdana" w:hAnsi="Verdana"/>
        </w:rPr>
        <w:t xml:space="preserve"> </w:t>
      </w:r>
      <w:r>
        <w:rPr>
          <w:rFonts w:ascii="Verdana" w:hAnsi="Verdana"/>
        </w:rPr>
        <w:t>January 1</w:t>
      </w:r>
      <w:r w:rsidRPr="003C135F">
        <w:rPr>
          <w:rFonts w:ascii="Verdana" w:hAnsi="Verdana"/>
          <w:vertAlign w:val="superscript"/>
        </w:rPr>
        <w:t>st</w:t>
      </w:r>
      <w:r>
        <w:rPr>
          <w:rFonts w:ascii="Verdana" w:hAnsi="Verdana"/>
        </w:rPr>
        <w:t xml:space="preserve"> is the first date coverage can begin </w:t>
      </w:r>
      <w:r w:rsidR="00F24CA6">
        <w:rPr>
          <w:rFonts w:ascii="Verdana" w:hAnsi="Verdana"/>
        </w:rPr>
        <w:t>unless they qualify</w:t>
      </w:r>
      <w:r>
        <w:rPr>
          <w:rFonts w:ascii="Verdana" w:hAnsi="Verdana"/>
        </w:rPr>
        <w:t xml:space="preserve"> for coverage through a Special Enrollment Period or they qualify for </w:t>
      </w:r>
      <w:r w:rsidRPr="00013A75">
        <w:rPr>
          <w:rFonts w:ascii="Verdana" w:hAnsi="Verdana"/>
        </w:rPr>
        <w:t>CHIP</w:t>
      </w:r>
      <w:r>
        <w:rPr>
          <w:rFonts w:ascii="Verdana" w:hAnsi="Verdana"/>
        </w:rPr>
        <w:t xml:space="preserve">. The last day of open enrollment may vary year </w:t>
      </w:r>
      <w:r w:rsidR="00F24CA6">
        <w:rPr>
          <w:rFonts w:ascii="Verdana" w:hAnsi="Verdana"/>
        </w:rPr>
        <w:t>by</w:t>
      </w:r>
      <w:r>
        <w:rPr>
          <w:rFonts w:ascii="Verdana" w:hAnsi="Verdana"/>
        </w:rPr>
        <w:t xml:space="preserve"> year. </w:t>
      </w:r>
      <w:r w:rsidR="00D55B49">
        <w:rPr>
          <w:noProof/>
        </w:rPr>
        <w:t xml:space="preserve"> </w:t>
      </w:r>
    </w:p>
    <w:p w14:paraId="0569B5F8" w14:textId="3F0A1DE3" w:rsidR="00031E70" w:rsidRDefault="00C93E58" w:rsidP="01158BA9">
      <w:pPr>
        <w:spacing w:before="120" w:after="120" w:line="259" w:lineRule="auto"/>
        <w:rPr>
          <w:rFonts w:ascii="Verdana" w:hAnsi="Verdana"/>
        </w:rPr>
      </w:pPr>
      <w:r w:rsidRPr="01158BA9">
        <w:rPr>
          <w:rFonts w:ascii="Verdana" w:hAnsi="Verdana"/>
        </w:rPr>
        <w:t xml:space="preserve">Many of </w:t>
      </w:r>
      <w:r w:rsidR="00D55B49" w:rsidRPr="01158BA9">
        <w:rPr>
          <w:rFonts w:ascii="Verdana" w:hAnsi="Verdana"/>
        </w:rPr>
        <w:t>our</w:t>
      </w:r>
      <w:r w:rsidRPr="01158BA9">
        <w:rPr>
          <w:rFonts w:ascii="Verdana" w:hAnsi="Verdana"/>
        </w:rPr>
        <w:t xml:space="preserve"> health plan clients will offer plans through the health insurance exchanges.  </w:t>
      </w:r>
      <w:r w:rsidR="00D55B49" w:rsidRPr="01158BA9">
        <w:rPr>
          <w:rFonts w:ascii="Verdana" w:hAnsi="Verdana"/>
        </w:rPr>
        <w:t>We</w:t>
      </w:r>
      <w:r w:rsidRPr="01158BA9">
        <w:rPr>
          <w:rFonts w:ascii="Verdana" w:hAnsi="Verdana"/>
        </w:rPr>
        <w:t xml:space="preserve"> provide PBM services for these plans, in much the same way as we do today for our other plans.</w:t>
      </w:r>
      <w:r w:rsidR="007C25E7" w:rsidRPr="01158BA9">
        <w:rPr>
          <w:rFonts w:ascii="Verdana" w:hAnsi="Verdana"/>
        </w:rPr>
        <w:t xml:space="preserve"> Internally, the plan names </w:t>
      </w:r>
      <w:r w:rsidR="005A6C57" w:rsidRPr="01158BA9">
        <w:rPr>
          <w:rFonts w:ascii="Verdana" w:hAnsi="Verdana"/>
        </w:rPr>
        <w:t xml:space="preserve">provided in </w:t>
      </w:r>
      <w:r w:rsidR="6BBDA7BD" w:rsidRPr="01158BA9">
        <w:rPr>
          <w:rFonts w:ascii="Verdana" w:hAnsi="Verdana"/>
        </w:rPr>
        <w:t>Compass</w:t>
      </w:r>
      <w:r w:rsidR="005A6C57" w:rsidRPr="01158BA9">
        <w:rPr>
          <w:rFonts w:ascii="Verdana" w:hAnsi="Verdana"/>
        </w:rPr>
        <w:t xml:space="preserve"> and </w:t>
      </w:r>
      <w:r w:rsidR="00D55B49" w:rsidRPr="01158BA9">
        <w:rPr>
          <w:rFonts w:ascii="Verdana" w:hAnsi="Verdana"/>
        </w:rPr>
        <w:t>the</w:t>
      </w:r>
      <w:r w:rsidR="005A6C57" w:rsidRPr="01158BA9">
        <w:rPr>
          <w:rFonts w:ascii="Verdana" w:hAnsi="Verdana"/>
        </w:rPr>
        <w:t xml:space="preserve">Source CIFs </w:t>
      </w:r>
      <w:r w:rsidR="007C25E7" w:rsidRPr="01158BA9">
        <w:rPr>
          <w:rFonts w:ascii="Verdana" w:hAnsi="Verdana"/>
        </w:rPr>
        <w:t>may be referred to as Marketplaces, Exchanges or HIX</w:t>
      </w:r>
      <w:r w:rsidR="00AB4746" w:rsidRPr="01158BA9">
        <w:rPr>
          <w:rFonts w:ascii="Verdana" w:hAnsi="Verdana"/>
        </w:rPr>
        <w:t xml:space="preserve"> (</w:t>
      </w:r>
      <w:r w:rsidR="00031E70" w:rsidRPr="01158BA9">
        <w:rPr>
          <w:rFonts w:ascii="Verdana" w:hAnsi="Verdana"/>
        </w:rPr>
        <w:t>H</w:t>
      </w:r>
      <w:r w:rsidR="00AB4746" w:rsidRPr="01158BA9">
        <w:rPr>
          <w:rFonts w:ascii="Verdana" w:hAnsi="Verdana"/>
        </w:rPr>
        <w:t xml:space="preserve">ealth </w:t>
      </w:r>
      <w:r w:rsidR="00031E70" w:rsidRPr="01158BA9">
        <w:rPr>
          <w:rFonts w:ascii="Verdana" w:hAnsi="Verdana"/>
        </w:rPr>
        <w:t>I</w:t>
      </w:r>
      <w:r w:rsidR="00AB4746" w:rsidRPr="01158BA9">
        <w:rPr>
          <w:rFonts w:ascii="Verdana" w:hAnsi="Verdana"/>
        </w:rPr>
        <w:t xml:space="preserve">nsurance </w:t>
      </w:r>
      <w:r w:rsidR="00031E70" w:rsidRPr="01158BA9">
        <w:rPr>
          <w:rFonts w:ascii="Verdana" w:hAnsi="Verdana"/>
        </w:rPr>
        <w:t>E</w:t>
      </w:r>
      <w:r w:rsidR="00AB4746" w:rsidRPr="01158BA9">
        <w:rPr>
          <w:rFonts w:ascii="Verdana" w:hAnsi="Verdana"/>
        </w:rPr>
        <w:t>xchange)</w:t>
      </w:r>
      <w:r w:rsidR="007C25E7" w:rsidRPr="01158BA9">
        <w:rPr>
          <w:rFonts w:ascii="Verdana" w:hAnsi="Verdana"/>
        </w:rPr>
        <w:t>.</w:t>
      </w:r>
      <w:bookmarkStart w:id="3" w:name="_Abbreviations_/_Definitions"/>
      <w:bookmarkEnd w:id="3"/>
    </w:p>
    <w:p w14:paraId="4376A3AA" w14:textId="77777777" w:rsidR="00641F08" w:rsidRDefault="00245940" w:rsidP="00F81783">
      <w:pPr>
        <w:jc w:val="right"/>
        <w:rPr>
          <w:rFonts w:ascii="Verdana" w:hAnsi="Verdana"/>
        </w:rPr>
      </w:pPr>
      <w:hyperlink w:anchor="_top" w:history="1">
        <w:r w:rsidRPr="0024594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C25E7" w:rsidRPr="00BF74E9" w14:paraId="54AAF812" w14:textId="77777777" w:rsidTr="008B43A6">
        <w:tc>
          <w:tcPr>
            <w:tcW w:w="5000" w:type="pct"/>
            <w:shd w:val="clear" w:color="auto" w:fill="C0C0C0"/>
          </w:tcPr>
          <w:p w14:paraId="39718FEB" w14:textId="77777777" w:rsidR="007C25E7" w:rsidRPr="00D32D37" w:rsidRDefault="007C25E7" w:rsidP="0072113E">
            <w:pPr>
              <w:pStyle w:val="Heading2"/>
              <w:tabs>
                <w:tab w:val="left" w:pos="11985"/>
              </w:tabs>
              <w:spacing w:before="120" w:after="120"/>
              <w:rPr>
                <w:rFonts w:ascii="Verdana" w:hAnsi="Verdana"/>
                <w:i w:val="0"/>
                <w:iCs w:val="0"/>
              </w:rPr>
            </w:pPr>
            <w:bookmarkStart w:id="4" w:name="_Background_on_Health"/>
            <w:bookmarkStart w:id="5" w:name="_Toc181254526"/>
            <w:bookmarkEnd w:id="4"/>
            <w:r>
              <w:rPr>
                <w:rFonts w:ascii="Verdana" w:hAnsi="Verdana"/>
                <w:i w:val="0"/>
                <w:iCs w:val="0"/>
              </w:rPr>
              <w:t>Health Care Reform and the Affordable Care Act</w:t>
            </w:r>
            <w:r w:rsidR="00031E70">
              <w:rPr>
                <w:rFonts w:ascii="Verdana" w:hAnsi="Verdana"/>
                <w:i w:val="0"/>
                <w:iCs w:val="0"/>
              </w:rPr>
              <w:t xml:space="preserve"> (ACA)</w:t>
            </w:r>
            <w:bookmarkEnd w:id="5"/>
          </w:p>
        </w:tc>
      </w:tr>
    </w:tbl>
    <w:p w14:paraId="3DFBB23E" w14:textId="13A7D814" w:rsidR="005A6C57" w:rsidRPr="005A6C57" w:rsidRDefault="005A6C57" w:rsidP="0072113E">
      <w:pPr>
        <w:spacing w:before="120" w:after="120"/>
        <w:rPr>
          <w:rFonts w:ascii="Verdana" w:hAnsi="Verdana"/>
        </w:rPr>
      </w:pPr>
      <w:r w:rsidRPr="005A6C57">
        <w:rPr>
          <w:rFonts w:ascii="Verdana" w:hAnsi="Verdana"/>
        </w:rPr>
        <w:t xml:space="preserve">There have been significant changes to the way health care </w:t>
      </w:r>
      <w:r w:rsidR="0037394E">
        <w:rPr>
          <w:rFonts w:ascii="Verdana" w:hAnsi="Verdana"/>
        </w:rPr>
        <w:t>is</w:t>
      </w:r>
      <w:r w:rsidRPr="005A6C57">
        <w:rPr>
          <w:rFonts w:ascii="Verdana" w:hAnsi="Verdana"/>
        </w:rPr>
        <w:t xml:space="preserve"> delivered in the U.S. due to Health Care Reform also known as ACA.</w:t>
      </w:r>
      <w:r w:rsidR="00E703CB">
        <w:rPr>
          <w:rFonts w:ascii="Verdana" w:hAnsi="Verdana"/>
        </w:rPr>
        <w:t xml:space="preserve"> </w:t>
      </w:r>
      <w:r w:rsidR="00AB0E63">
        <w:rPr>
          <w:rFonts w:ascii="Verdana" w:hAnsi="Verdana"/>
        </w:rPr>
        <w:t xml:space="preserve"> </w:t>
      </w:r>
      <w:r w:rsidRPr="005A6C57">
        <w:rPr>
          <w:rFonts w:ascii="Verdana" w:hAnsi="Verdana"/>
        </w:rPr>
        <w:t xml:space="preserve">As mentioned in the Introduction to Health Insurance Exchanges training, government-regulated Marketplaces </w:t>
      </w:r>
      <w:r w:rsidR="0083693E">
        <w:rPr>
          <w:rFonts w:ascii="Verdana" w:hAnsi="Verdana"/>
        </w:rPr>
        <w:t>are</w:t>
      </w:r>
      <w:r w:rsidRPr="005A6C57">
        <w:rPr>
          <w:rFonts w:ascii="Verdana" w:hAnsi="Verdana"/>
        </w:rPr>
        <w:t xml:space="preserve"> available</w:t>
      </w:r>
      <w:r w:rsidR="0083693E">
        <w:rPr>
          <w:rFonts w:ascii="Verdana" w:hAnsi="Verdana"/>
        </w:rPr>
        <w:t xml:space="preserve"> and</w:t>
      </w:r>
      <w:r w:rsidR="00245940">
        <w:rPr>
          <w:rFonts w:ascii="Verdana" w:hAnsi="Verdana"/>
        </w:rPr>
        <w:t xml:space="preserve"> </w:t>
      </w:r>
      <w:r w:rsidRPr="005A6C57">
        <w:rPr>
          <w:rFonts w:ascii="Verdana" w:hAnsi="Verdana"/>
        </w:rPr>
        <w:t>offer standardized health care plans that anyone can access to purchase health insurance.</w:t>
      </w:r>
      <w:r w:rsidR="00286B94">
        <w:rPr>
          <w:rFonts w:ascii="Verdana" w:hAnsi="Verdana"/>
        </w:rPr>
        <w:t xml:space="preserve">  </w:t>
      </w:r>
    </w:p>
    <w:p w14:paraId="7BF1B6FB" w14:textId="77777777" w:rsidR="005A6C57" w:rsidRPr="005A6C57" w:rsidRDefault="005A6C57" w:rsidP="0072113E">
      <w:pPr>
        <w:spacing w:before="120" w:after="120"/>
        <w:rPr>
          <w:rFonts w:ascii="Verdana" w:hAnsi="Verdana"/>
        </w:rPr>
      </w:pPr>
    </w:p>
    <w:p w14:paraId="7864A370" w14:textId="77777777" w:rsidR="00773CB4" w:rsidRDefault="005A6C57" w:rsidP="0072113E">
      <w:pPr>
        <w:spacing w:before="120" w:after="120"/>
        <w:rPr>
          <w:rFonts w:ascii="Verdana" w:hAnsi="Verdana"/>
        </w:rPr>
      </w:pPr>
      <w:r w:rsidRPr="005A6C57">
        <w:rPr>
          <w:rFonts w:ascii="Verdana" w:hAnsi="Verdana"/>
        </w:rPr>
        <w:t xml:space="preserve">Some people, based on household income, may also be eligible for a federal subsidy to help pay for this coverage. The introduction of Health Insurance </w:t>
      </w:r>
      <w:r w:rsidR="006A6EC3">
        <w:rPr>
          <w:rFonts w:ascii="Verdana" w:hAnsi="Verdana"/>
        </w:rPr>
        <w:t xml:space="preserve">Exchange </w:t>
      </w:r>
      <w:r w:rsidRPr="005A6C57">
        <w:rPr>
          <w:rFonts w:ascii="Verdana" w:hAnsi="Verdana"/>
        </w:rPr>
        <w:t xml:space="preserve">Marketplace plans will make shopping for health insurance </w:t>
      </w:r>
      <w:r w:rsidR="00184DFB" w:rsidRPr="005A6C57">
        <w:rPr>
          <w:rFonts w:ascii="Verdana" w:hAnsi="Verdana"/>
        </w:rPr>
        <w:t>like</w:t>
      </w:r>
      <w:r w:rsidRPr="005A6C57">
        <w:rPr>
          <w:rFonts w:ascii="Verdana" w:hAnsi="Verdana"/>
        </w:rPr>
        <w:t xml:space="preserve"> the way we shop for car insurance today.</w:t>
      </w:r>
      <w:r w:rsidR="00AB0E63">
        <w:rPr>
          <w:rFonts w:ascii="Verdana" w:hAnsi="Verdana"/>
        </w:rPr>
        <w:t xml:space="preserve"> </w:t>
      </w:r>
    </w:p>
    <w:p w14:paraId="51423D31" w14:textId="77777777" w:rsidR="00773CB4" w:rsidRDefault="00773CB4" w:rsidP="0072113E">
      <w:pPr>
        <w:spacing w:before="120" w:after="120"/>
        <w:rPr>
          <w:rFonts w:ascii="Verdana" w:hAnsi="Verdana"/>
        </w:rPr>
      </w:pPr>
    </w:p>
    <w:p w14:paraId="0305BFD0" w14:textId="403158B4" w:rsidR="00FC6551" w:rsidRDefault="003E53CB" w:rsidP="0072113E">
      <w:pPr>
        <w:spacing w:before="120" w:after="120"/>
        <w:rPr>
          <w:rFonts w:ascii="Verdana" w:hAnsi="Verdana"/>
        </w:rPr>
      </w:pPr>
      <w:r>
        <w:rPr>
          <w:rFonts w:ascii="Verdana" w:hAnsi="Verdana"/>
        </w:rPr>
        <w:t>M</w:t>
      </w:r>
      <w:r w:rsidR="00FC6551" w:rsidRPr="005A6C57">
        <w:rPr>
          <w:rFonts w:ascii="Verdana" w:hAnsi="Verdana"/>
        </w:rPr>
        <w:t xml:space="preserve">any of the features provided by these plans will become requirements for all health insurance plans in the future, not just the </w:t>
      </w:r>
      <w:r w:rsidR="005A6C57">
        <w:rPr>
          <w:rFonts w:ascii="Verdana" w:hAnsi="Verdana"/>
        </w:rPr>
        <w:t>marketplaces.</w:t>
      </w:r>
    </w:p>
    <w:p w14:paraId="0E9C2F29" w14:textId="77777777" w:rsidR="008B43A6" w:rsidRPr="005A6C57" w:rsidRDefault="008B43A6" w:rsidP="007C25E7">
      <w:pPr>
        <w:rPr>
          <w:rFonts w:ascii="Verdana" w:hAnsi="Verdana"/>
        </w:rPr>
      </w:pPr>
    </w:p>
    <w:p w14:paraId="18C9EBE6" w14:textId="77777777" w:rsidR="00245940" w:rsidRDefault="00245940" w:rsidP="00245940">
      <w:pPr>
        <w:jc w:val="right"/>
        <w:rPr>
          <w:rFonts w:ascii="Verdana" w:hAnsi="Verdana"/>
        </w:rPr>
      </w:pPr>
      <w:hyperlink w:anchor="_top" w:history="1">
        <w:r w:rsidRPr="0024594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86108" w:rsidRPr="00BF74E9" w14:paraId="5D63DAFE" w14:textId="77777777" w:rsidTr="008B43A6">
        <w:tc>
          <w:tcPr>
            <w:tcW w:w="5000" w:type="pct"/>
            <w:shd w:val="clear" w:color="auto" w:fill="C0C0C0"/>
          </w:tcPr>
          <w:p w14:paraId="156BA349" w14:textId="77777777" w:rsidR="00486108" w:rsidRPr="00D32D37" w:rsidRDefault="00641F08" w:rsidP="0072113E">
            <w:pPr>
              <w:pStyle w:val="Heading2"/>
              <w:tabs>
                <w:tab w:val="left" w:pos="11985"/>
              </w:tabs>
              <w:spacing w:before="120" w:after="120"/>
              <w:rPr>
                <w:rFonts w:ascii="Verdana" w:hAnsi="Verdana"/>
                <w:i w:val="0"/>
                <w:iCs w:val="0"/>
              </w:rPr>
            </w:pPr>
            <w:bookmarkStart w:id="6" w:name="_Health_Insurance_Exchange/Marketpla"/>
            <w:bookmarkStart w:id="7" w:name="_Toc181254527"/>
            <w:bookmarkEnd w:id="6"/>
            <w:r>
              <w:rPr>
                <w:rFonts w:ascii="Verdana" w:hAnsi="Verdana"/>
                <w:i w:val="0"/>
                <w:iCs w:val="0"/>
              </w:rPr>
              <w:t xml:space="preserve">Health Insurance </w:t>
            </w:r>
            <w:r w:rsidR="006A6EC3">
              <w:rPr>
                <w:rFonts w:ascii="Verdana" w:hAnsi="Verdana"/>
                <w:i w:val="0"/>
                <w:iCs w:val="0"/>
              </w:rPr>
              <w:t xml:space="preserve">Exchange </w:t>
            </w:r>
            <w:r>
              <w:rPr>
                <w:rFonts w:ascii="Verdana" w:hAnsi="Verdana"/>
                <w:i w:val="0"/>
                <w:iCs w:val="0"/>
              </w:rPr>
              <w:t>Marketplace</w:t>
            </w:r>
            <w:r w:rsidR="00DB4E7F">
              <w:rPr>
                <w:rFonts w:ascii="Verdana" w:hAnsi="Verdana"/>
                <w:i w:val="0"/>
                <w:iCs w:val="0"/>
              </w:rPr>
              <w:t xml:space="preserve"> Need to Know</w:t>
            </w:r>
            <w:bookmarkEnd w:id="7"/>
          </w:p>
        </w:tc>
      </w:tr>
    </w:tbl>
    <w:p w14:paraId="5AD53A4F" w14:textId="77777777" w:rsidR="00683555" w:rsidRDefault="00683555" w:rsidP="0072113E">
      <w:pPr>
        <w:spacing w:before="120" w:after="120"/>
        <w:rPr>
          <w:rFonts w:ascii="Verdana" w:hAnsi="Verdana"/>
        </w:rPr>
      </w:pPr>
    </w:p>
    <w:p w14:paraId="412AC217" w14:textId="77777777" w:rsidR="00D64500" w:rsidRPr="0037394E" w:rsidRDefault="0035620C" w:rsidP="0072113E">
      <w:pPr>
        <w:spacing w:before="120" w:after="120"/>
        <w:rPr>
          <w:rFonts w:ascii="Verdana" w:hAnsi="Verdana"/>
        </w:rPr>
      </w:pPr>
      <w:r>
        <w:rPr>
          <w:rFonts w:ascii="Verdana" w:hAnsi="Verdana"/>
        </w:rPr>
        <w:t>M</w:t>
      </w:r>
      <w:r w:rsidRPr="00683555">
        <w:rPr>
          <w:rFonts w:ascii="Verdana" w:hAnsi="Verdana"/>
        </w:rPr>
        <w:t xml:space="preserve">any </w:t>
      </w:r>
      <w:r>
        <w:rPr>
          <w:rFonts w:ascii="Verdana" w:hAnsi="Verdana"/>
        </w:rPr>
        <w:t xml:space="preserve">Health Insurance </w:t>
      </w:r>
      <w:r w:rsidR="006A6EC3">
        <w:rPr>
          <w:rFonts w:ascii="Verdana" w:hAnsi="Verdana"/>
        </w:rPr>
        <w:t xml:space="preserve">Exchange </w:t>
      </w:r>
      <w:r>
        <w:rPr>
          <w:rFonts w:ascii="Verdana" w:hAnsi="Verdana"/>
        </w:rPr>
        <w:t>Marketplace</w:t>
      </w:r>
      <w:r w:rsidRPr="00683555">
        <w:rPr>
          <w:rFonts w:ascii="Verdana" w:hAnsi="Verdana"/>
        </w:rPr>
        <w:t xml:space="preserve"> members may be obtaining insurance for the first time and need guidance about basic use of their benefit plan</w:t>
      </w:r>
      <w:r>
        <w:rPr>
          <w:rFonts w:ascii="Verdana" w:hAnsi="Verdana"/>
        </w:rPr>
        <w:t>. Members may need education regarding basic use of formulary</w:t>
      </w:r>
      <w:r w:rsidRPr="00B37541">
        <w:rPr>
          <w:rFonts w:ascii="Verdana" w:hAnsi="Verdana"/>
        </w:rPr>
        <w:t xml:space="preserve"> alternatives, in-network pharmacies, M</w:t>
      </w:r>
      <w:r>
        <w:rPr>
          <w:rFonts w:ascii="Verdana" w:hAnsi="Verdana"/>
        </w:rPr>
        <w:t xml:space="preserve">aintenance </w:t>
      </w:r>
      <w:r w:rsidRPr="00B37541">
        <w:rPr>
          <w:rFonts w:ascii="Verdana" w:hAnsi="Verdana"/>
        </w:rPr>
        <w:t xml:space="preserve">Choice, Minute Clinic, </w:t>
      </w:r>
      <w:r>
        <w:rPr>
          <w:rFonts w:ascii="Verdana" w:hAnsi="Verdana"/>
        </w:rPr>
        <w:t xml:space="preserve">the </w:t>
      </w:r>
      <w:r w:rsidRPr="00B37541">
        <w:rPr>
          <w:rFonts w:ascii="Verdana" w:hAnsi="Verdana"/>
        </w:rPr>
        <w:t xml:space="preserve">ExtraCare </w:t>
      </w:r>
      <w:r w:rsidR="0037394E">
        <w:rPr>
          <w:rFonts w:ascii="Verdana" w:hAnsi="Verdana"/>
        </w:rPr>
        <w:t>H</w:t>
      </w:r>
      <w:r w:rsidRPr="00B37541">
        <w:rPr>
          <w:rFonts w:ascii="Verdana" w:hAnsi="Verdana"/>
        </w:rPr>
        <w:t xml:space="preserve">ealth </w:t>
      </w:r>
      <w:r w:rsidR="00D55B49">
        <w:rPr>
          <w:rFonts w:ascii="Verdana" w:hAnsi="Verdana"/>
        </w:rPr>
        <w:t>benefit</w:t>
      </w:r>
      <w:r>
        <w:rPr>
          <w:rFonts w:ascii="Verdana" w:hAnsi="Verdana"/>
        </w:rPr>
        <w:t xml:space="preserve"> and </w:t>
      </w:r>
      <w:r w:rsidR="00F43AC7">
        <w:rPr>
          <w:rFonts w:ascii="Verdana" w:hAnsi="Verdana"/>
        </w:rPr>
        <w:t>Home Delivery service</w:t>
      </w:r>
      <w:r>
        <w:rPr>
          <w:rFonts w:ascii="Verdana" w:hAnsi="Verdana"/>
        </w:rPr>
        <w:t>.</w:t>
      </w:r>
      <w:r w:rsidR="00AB0E63">
        <w:rPr>
          <w:rFonts w:ascii="Verdana" w:hAnsi="Verdana"/>
        </w:rPr>
        <w:t xml:space="preserve">  </w:t>
      </w:r>
      <w:r w:rsidRPr="0037394E">
        <w:rPr>
          <w:rFonts w:ascii="Verdana" w:hAnsi="Verdana"/>
        </w:rPr>
        <w:t>For open enrollment calls, use Universal IDs provided in the clients’ CIFs to process Test Claims to address drug coverage and pricing inquiries.</w:t>
      </w:r>
      <w:r w:rsidR="0037394E">
        <w:rPr>
          <w:rFonts w:ascii="Verdana" w:hAnsi="Verdana"/>
        </w:rPr>
        <w:t xml:space="preserve">  </w:t>
      </w:r>
      <w:r w:rsidRPr="0037394E">
        <w:rPr>
          <w:rFonts w:ascii="Verdana" w:hAnsi="Verdana"/>
        </w:rPr>
        <w:t xml:space="preserve">Be mindful of deductible and out-of-pocket levels, and how the test claim may impact </w:t>
      </w:r>
      <w:r w:rsidR="0083693E" w:rsidRPr="0037394E">
        <w:rPr>
          <w:rFonts w:ascii="Verdana" w:hAnsi="Verdana"/>
        </w:rPr>
        <w:t>them</w:t>
      </w:r>
      <w:r w:rsidRPr="0037394E">
        <w:rPr>
          <w:rFonts w:ascii="Verdana" w:hAnsi="Verdana"/>
        </w:rPr>
        <w:t xml:space="preserve">. </w:t>
      </w:r>
    </w:p>
    <w:p w14:paraId="2064BA95" w14:textId="77777777" w:rsidR="00D64500" w:rsidRDefault="00D64500" w:rsidP="0072113E">
      <w:pPr>
        <w:spacing w:before="120" w:after="120"/>
        <w:ind w:left="1440"/>
        <w:rPr>
          <w:rFonts w:ascii="Verdana" w:hAnsi="Verdana"/>
        </w:rPr>
      </w:pPr>
    </w:p>
    <w:p w14:paraId="5356B1E1" w14:textId="724A820F" w:rsidR="00D64500" w:rsidRDefault="00D64500" w:rsidP="0072113E">
      <w:pPr>
        <w:spacing w:before="120" w:after="120"/>
        <w:rPr>
          <w:rFonts w:ascii="Verdana" w:hAnsi="Verdana"/>
        </w:rPr>
      </w:pPr>
      <w:r w:rsidRPr="00D64500">
        <w:rPr>
          <w:rFonts w:ascii="Verdana" w:hAnsi="Verdana"/>
        </w:rPr>
        <w:t xml:space="preserve">Marketplace plans will include an integrated medical and prescription maximum out-of-pocket (MOOP).  In addition, any out of pocket </w:t>
      </w:r>
      <w:r w:rsidR="0083693E">
        <w:rPr>
          <w:rFonts w:ascii="Verdana" w:hAnsi="Verdana"/>
        </w:rPr>
        <w:t xml:space="preserve">(OOP) </w:t>
      </w:r>
      <w:r w:rsidRPr="00D64500">
        <w:rPr>
          <w:rFonts w:ascii="Verdana" w:hAnsi="Verdana"/>
        </w:rPr>
        <w:t xml:space="preserve">costs the member pays for Essential Health Benefits will apply to </w:t>
      </w:r>
      <w:r w:rsidR="00646A50" w:rsidRPr="00D64500">
        <w:rPr>
          <w:rFonts w:ascii="Verdana" w:hAnsi="Verdana"/>
        </w:rPr>
        <w:t>MOOP</w:t>
      </w:r>
      <w:r w:rsidRPr="00D64500">
        <w:rPr>
          <w:rFonts w:ascii="Verdana" w:hAnsi="Verdana"/>
        </w:rPr>
        <w:t xml:space="preserve"> accumulation.</w:t>
      </w:r>
    </w:p>
    <w:p w14:paraId="3FF2F714" w14:textId="77777777" w:rsidR="00D64500" w:rsidRDefault="00D64500" w:rsidP="0072113E">
      <w:pPr>
        <w:spacing w:before="120" w:after="120"/>
        <w:ind w:left="360"/>
        <w:rPr>
          <w:rFonts w:ascii="Verdana" w:hAnsi="Verdana"/>
        </w:rPr>
      </w:pPr>
    </w:p>
    <w:p w14:paraId="66FD9B25" w14:textId="77777777" w:rsidR="00641F08" w:rsidRDefault="00D64500" w:rsidP="0072113E">
      <w:pPr>
        <w:spacing w:before="120" w:after="120"/>
        <w:rPr>
          <w:rFonts w:ascii="Verdana" w:hAnsi="Verdana"/>
        </w:rPr>
      </w:pPr>
      <w:r>
        <w:rPr>
          <w:rFonts w:ascii="Verdana" w:hAnsi="Verdana"/>
        </w:rPr>
        <w:t xml:space="preserve">Refer to the CIF for instructions if the member has questions about premium billing and subsidies.  </w:t>
      </w:r>
    </w:p>
    <w:p w14:paraId="2A35D553" w14:textId="77777777" w:rsidR="00D64500" w:rsidRDefault="00D64500" w:rsidP="0072113E">
      <w:pPr>
        <w:spacing w:before="120" w:after="120"/>
        <w:ind w:left="360"/>
        <w:rPr>
          <w:rFonts w:ascii="Verdana" w:hAnsi="Verdana"/>
        </w:rPr>
      </w:pPr>
    </w:p>
    <w:p w14:paraId="6E45A6CB" w14:textId="18E1FDC3" w:rsidR="00831386" w:rsidRDefault="00D64500" w:rsidP="0072113E">
      <w:pPr>
        <w:pStyle w:val="ListParagraph"/>
        <w:numPr>
          <w:ilvl w:val="0"/>
          <w:numId w:val="30"/>
        </w:numPr>
        <w:spacing w:before="120" w:after="120"/>
        <w:ind w:left="360"/>
        <w:rPr>
          <w:rFonts w:ascii="Verdana" w:hAnsi="Verdana"/>
          <w:sz w:val="24"/>
          <w:szCs w:val="24"/>
        </w:rPr>
      </w:pPr>
      <w:r w:rsidRPr="0445F050">
        <w:rPr>
          <w:rFonts w:ascii="Verdana" w:hAnsi="Verdana"/>
          <w:sz w:val="24"/>
          <w:szCs w:val="24"/>
        </w:rPr>
        <w:t xml:space="preserve">If a member falls behind on premium payments, there will be a grace period of 30 days during which the member will continue to have coverage. After that point, between </w:t>
      </w:r>
      <w:r w:rsidR="00646A50" w:rsidRPr="0445F050">
        <w:rPr>
          <w:rFonts w:ascii="Verdana" w:hAnsi="Verdana"/>
          <w:sz w:val="24"/>
          <w:szCs w:val="24"/>
        </w:rPr>
        <w:t>the days</w:t>
      </w:r>
      <w:r w:rsidRPr="0445F050">
        <w:rPr>
          <w:rFonts w:ascii="Verdana" w:hAnsi="Verdana"/>
          <w:sz w:val="24"/>
          <w:szCs w:val="24"/>
        </w:rPr>
        <w:t xml:space="preserve"> 31-90, the plan determine</w:t>
      </w:r>
      <w:r w:rsidR="00773CB4" w:rsidRPr="0445F050">
        <w:rPr>
          <w:rFonts w:ascii="Verdana" w:hAnsi="Verdana"/>
          <w:sz w:val="24"/>
          <w:szCs w:val="24"/>
        </w:rPr>
        <w:t>s</w:t>
      </w:r>
      <w:r w:rsidRPr="0445F050">
        <w:rPr>
          <w:rFonts w:ascii="Verdana" w:hAnsi="Verdana"/>
          <w:sz w:val="24"/>
          <w:szCs w:val="24"/>
        </w:rPr>
        <w:t xml:space="preserve"> </w:t>
      </w:r>
      <w:r w:rsidR="0037394E" w:rsidRPr="0445F050">
        <w:rPr>
          <w:rFonts w:ascii="Verdana" w:hAnsi="Verdana"/>
          <w:sz w:val="24"/>
          <w:szCs w:val="24"/>
        </w:rPr>
        <w:t>if</w:t>
      </w:r>
      <w:r w:rsidRPr="0445F050">
        <w:rPr>
          <w:rFonts w:ascii="Verdana" w:hAnsi="Verdana"/>
          <w:sz w:val="24"/>
          <w:szCs w:val="24"/>
        </w:rPr>
        <w:t xml:space="preserve"> the member continue</w:t>
      </w:r>
      <w:r w:rsidR="00773CB4" w:rsidRPr="0445F050">
        <w:rPr>
          <w:rFonts w:ascii="Verdana" w:hAnsi="Verdana"/>
          <w:sz w:val="24"/>
          <w:szCs w:val="24"/>
        </w:rPr>
        <w:t>s</w:t>
      </w:r>
      <w:r w:rsidRPr="0445F050">
        <w:rPr>
          <w:rFonts w:ascii="Verdana" w:hAnsi="Verdana"/>
          <w:sz w:val="24"/>
          <w:szCs w:val="24"/>
        </w:rPr>
        <w:t xml:space="preserve"> with the same benefits or </w:t>
      </w:r>
      <w:r w:rsidR="77973970" w:rsidRPr="0445F050">
        <w:rPr>
          <w:rFonts w:ascii="Verdana" w:hAnsi="Verdana"/>
          <w:sz w:val="24"/>
          <w:szCs w:val="24"/>
        </w:rPr>
        <w:t>ceases</w:t>
      </w:r>
      <w:r w:rsidRPr="0445F050">
        <w:rPr>
          <w:rFonts w:ascii="Verdana" w:hAnsi="Verdana"/>
          <w:sz w:val="24"/>
          <w:szCs w:val="24"/>
        </w:rPr>
        <w:t xml:space="preserve"> to have coverage and must pay the full price for services (including prescriptions, at the contracted rate).</w:t>
      </w:r>
    </w:p>
    <w:p w14:paraId="6D5A3EE2" w14:textId="77777777" w:rsidR="00773CB4" w:rsidRPr="00AB0E63" w:rsidRDefault="00773CB4" w:rsidP="00773CB4">
      <w:pPr>
        <w:pStyle w:val="ListParagraph"/>
        <w:spacing w:before="120" w:after="120"/>
        <w:ind w:left="360"/>
        <w:rPr>
          <w:rFonts w:ascii="Verdana" w:hAnsi="Verdana"/>
          <w:sz w:val="24"/>
          <w:szCs w:val="24"/>
        </w:rPr>
      </w:pPr>
    </w:p>
    <w:p w14:paraId="011CAB31" w14:textId="77777777" w:rsidR="00245940" w:rsidRDefault="00245940" w:rsidP="00245940">
      <w:pPr>
        <w:jc w:val="right"/>
        <w:rPr>
          <w:rFonts w:ascii="Verdana" w:hAnsi="Verdana"/>
        </w:rPr>
      </w:pPr>
      <w:hyperlink w:anchor="_top" w:history="1">
        <w:r w:rsidRPr="0024594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B4E7F" w:rsidRPr="00BF74E9" w14:paraId="09CE36F4" w14:textId="77777777" w:rsidTr="008B43A6">
        <w:tc>
          <w:tcPr>
            <w:tcW w:w="5000" w:type="pct"/>
            <w:shd w:val="clear" w:color="auto" w:fill="C0C0C0"/>
          </w:tcPr>
          <w:p w14:paraId="43E02A94" w14:textId="77777777" w:rsidR="00DB4E7F" w:rsidRPr="001F52C5" w:rsidRDefault="001F52C5" w:rsidP="0037394E">
            <w:pPr>
              <w:pStyle w:val="Heading2"/>
              <w:tabs>
                <w:tab w:val="left" w:pos="11985"/>
              </w:tabs>
              <w:spacing w:before="120" w:after="120"/>
              <w:rPr>
                <w:rFonts w:ascii="Verdana" w:hAnsi="Verdana"/>
                <w:i w:val="0"/>
                <w:iCs w:val="0"/>
              </w:rPr>
            </w:pPr>
            <w:bookmarkStart w:id="8" w:name="_Tribal_Exchange_Plans"/>
            <w:bookmarkStart w:id="9" w:name="_Health_Insurance_Marketplace"/>
            <w:bookmarkStart w:id="10" w:name="_Toc181254528"/>
            <w:bookmarkEnd w:id="8"/>
            <w:bookmarkEnd w:id="9"/>
            <w:r w:rsidRPr="001F52C5">
              <w:rPr>
                <w:rFonts w:ascii="Verdana" w:hAnsi="Verdana"/>
                <w:i w:val="0"/>
              </w:rPr>
              <w:t xml:space="preserve">Health Insurance </w:t>
            </w:r>
            <w:r w:rsidR="006A6EC3">
              <w:rPr>
                <w:rFonts w:ascii="Verdana" w:hAnsi="Verdana"/>
                <w:i w:val="0"/>
              </w:rPr>
              <w:t xml:space="preserve">Exchange </w:t>
            </w:r>
            <w:r w:rsidRPr="001F52C5">
              <w:rPr>
                <w:rFonts w:ascii="Verdana" w:hAnsi="Verdana"/>
                <w:i w:val="0"/>
              </w:rPr>
              <w:t>Marketplace and the American Indian</w:t>
            </w:r>
            <w:r w:rsidR="0037394E">
              <w:rPr>
                <w:rFonts w:ascii="Verdana" w:hAnsi="Verdana"/>
                <w:i w:val="0"/>
              </w:rPr>
              <w:t xml:space="preserve"> (AI) </w:t>
            </w:r>
            <w:r w:rsidRPr="001F52C5">
              <w:rPr>
                <w:rFonts w:ascii="Verdana" w:hAnsi="Verdana"/>
                <w:i w:val="0"/>
              </w:rPr>
              <w:t>and Alaska Native</w:t>
            </w:r>
            <w:r w:rsidR="0037394E">
              <w:rPr>
                <w:rFonts w:ascii="Verdana" w:hAnsi="Verdana"/>
                <w:i w:val="0"/>
              </w:rPr>
              <w:t xml:space="preserve"> (AN)</w:t>
            </w:r>
            <w:r w:rsidRPr="001F52C5">
              <w:rPr>
                <w:rFonts w:ascii="Verdana" w:hAnsi="Verdana"/>
                <w:i w:val="0"/>
              </w:rPr>
              <w:t xml:space="preserve"> Communities</w:t>
            </w:r>
            <w:bookmarkEnd w:id="10"/>
            <w:r w:rsidRPr="001F52C5" w:rsidDel="001F52C5">
              <w:rPr>
                <w:rFonts w:ascii="Verdana" w:hAnsi="Verdana"/>
                <w:i w:val="0"/>
                <w:iCs w:val="0"/>
              </w:rPr>
              <w:t xml:space="preserve"> </w:t>
            </w:r>
          </w:p>
        </w:tc>
      </w:tr>
    </w:tbl>
    <w:p w14:paraId="471EDCA6" w14:textId="77777777" w:rsidR="00D64500" w:rsidRDefault="00D64500" w:rsidP="0037394E">
      <w:pPr>
        <w:spacing w:before="120" w:after="120"/>
        <w:rPr>
          <w:rFonts w:ascii="Verdana" w:hAnsi="Verdana"/>
        </w:rPr>
      </w:pPr>
      <w:r w:rsidRPr="00D64500">
        <w:rPr>
          <w:rFonts w:ascii="Verdana" w:hAnsi="Verdana"/>
        </w:rPr>
        <w:t xml:space="preserve">The implementation of Health Insurance </w:t>
      </w:r>
      <w:r w:rsidR="006A6EC3">
        <w:rPr>
          <w:rFonts w:ascii="Verdana" w:hAnsi="Verdana"/>
        </w:rPr>
        <w:t xml:space="preserve">Exchange </w:t>
      </w:r>
      <w:r w:rsidRPr="00D64500">
        <w:rPr>
          <w:rFonts w:ascii="Verdana" w:hAnsi="Verdana"/>
        </w:rPr>
        <w:t xml:space="preserve">Marketplace plans does </w:t>
      </w:r>
      <w:r w:rsidR="0037394E" w:rsidRPr="0037394E">
        <w:rPr>
          <w:rFonts w:ascii="Verdana" w:hAnsi="Verdana"/>
          <w:b/>
          <w:bCs/>
        </w:rPr>
        <w:t xml:space="preserve">not </w:t>
      </w:r>
      <w:r w:rsidRPr="00D64500">
        <w:rPr>
          <w:rFonts w:ascii="Verdana" w:hAnsi="Verdana"/>
        </w:rPr>
        <w:t xml:space="preserve">impact </w:t>
      </w:r>
      <w:r w:rsidR="0037394E">
        <w:rPr>
          <w:rFonts w:ascii="Verdana" w:hAnsi="Verdana"/>
        </w:rPr>
        <w:t>AI</w:t>
      </w:r>
      <w:r w:rsidRPr="00D64500">
        <w:rPr>
          <w:rFonts w:ascii="Verdana" w:hAnsi="Verdana"/>
        </w:rPr>
        <w:t xml:space="preserve"> and AN Indian Health Service (IHS) eligibility. AI/AN</w:t>
      </w:r>
      <w:r w:rsidR="0037394E">
        <w:rPr>
          <w:rFonts w:ascii="Verdana" w:hAnsi="Verdana"/>
        </w:rPr>
        <w:t>’</w:t>
      </w:r>
      <w:r w:rsidRPr="00D64500">
        <w:rPr>
          <w:rFonts w:ascii="Verdana" w:hAnsi="Verdana"/>
        </w:rPr>
        <w:t xml:space="preserve">s who purchase coverage </w:t>
      </w:r>
      <w:r w:rsidR="00C51E6D">
        <w:rPr>
          <w:rFonts w:ascii="Verdana" w:hAnsi="Verdana"/>
        </w:rPr>
        <w:t>through the</w:t>
      </w:r>
      <w:r w:rsidR="009867A6">
        <w:rPr>
          <w:rFonts w:ascii="Verdana" w:hAnsi="Verdana"/>
        </w:rPr>
        <w:t xml:space="preserve"> </w:t>
      </w:r>
      <w:r w:rsidR="00170A99">
        <w:rPr>
          <w:rFonts w:ascii="Verdana" w:hAnsi="Verdana"/>
        </w:rPr>
        <w:t xml:space="preserve">Exchanges </w:t>
      </w:r>
      <w:r w:rsidRPr="00D64500">
        <w:rPr>
          <w:rFonts w:ascii="Verdana" w:hAnsi="Verdana"/>
        </w:rPr>
        <w:t>can continue to receive IHS services.</w:t>
      </w:r>
      <w:r w:rsidR="0037394E">
        <w:rPr>
          <w:rFonts w:ascii="Verdana" w:hAnsi="Verdana"/>
        </w:rPr>
        <w:t xml:space="preserve">  </w:t>
      </w:r>
      <w:r w:rsidRPr="00D64500">
        <w:rPr>
          <w:rFonts w:ascii="Verdana" w:hAnsi="Verdana"/>
        </w:rPr>
        <w:t>The IHS, an agency within the Department of Health and Human Services, provides a comprehensive health service delivery system for approximately 1.9 million American Indians and Alaska Natives.  IHS is the principal federal health care provider and health advocate for Indian people.</w:t>
      </w:r>
    </w:p>
    <w:p w14:paraId="06039404" w14:textId="77777777" w:rsidR="00D64500" w:rsidRDefault="00D64500" w:rsidP="0037394E">
      <w:pPr>
        <w:spacing w:before="120" w:after="120"/>
        <w:rPr>
          <w:rFonts w:ascii="Verdana" w:hAnsi="Verdana"/>
        </w:rPr>
      </w:pPr>
    </w:p>
    <w:p w14:paraId="52520A69" w14:textId="77777777" w:rsidR="00D64500" w:rsidRPr="00D64500" w:rsidRDefault="00D64500" w:rsidP="0037394E">
      <w:pPr>
        <w:spacing w:before="120" w:after="120"/>
        <w:rPr>
          <w:rFonts w:ascii="Verdana" w:hAnsi="Verdana"/>
        </w:rPr>
      </w:pPr>
      <w:r w:rsidRPr="00D64500">
        <w:rPr>
          <w:rFonts w:ascii="Verdana" w:hAnsi="Verdana"/>
        </w:rPr>
        <w:t xml:space="preserve">The </w:t>
      </w:r>
      <w:r w:rsidR="00F329F1" w:rsidRPr="005A6C57">
        <w:rPr>
          <w:rFonts w:ascii="Verdana" w:hAnsi="Verdana"/>
        </w:rPr>
        <w:t>Affordable Care Act</w:t>
      </w:r>
      <w:r w:rsidR="00F329F1" w:rsidRPr="00D64500">
        <w:rPr>
          <w:rFonts w:ascii="Verdana" w:hAnsi="Verdana"/>
        </w:rPr>
        <w:t xml:space="preserve"> </w:t>
      </w:r>
      <w:r w:rsidR="00F329F1">
        <w:rPr>
          <w:rFonts w:ascii="Verdana" w:hAnsi="Verdana"/>
        </w:rPr>
        <w:t>(</w:t>
      </w:r>
      <w:r w:rsidRPr="00D64500">
        <w:rPr>
          <w:rFonts w:ascii="Verdana" w:hAnsi="Verdana"/>
        </w:rPr>
        <w:t>ACA</w:t>
      </w:r>
      <w:r w:rsidR="00F329F1">
        <w:rPr>
          <w:rFonts w:ascii="Verdana" w:hAnsi="Verdana"/>
        </w:rPr>
        <w:t>)</w:t>
      </w:r>
      <w:r w:rsidRPr="00D64500">
        <w:rPr>
          <w:rFonts w:ascii="Verdana" w:hAnsi="Verdana"/>
        </w:rPr>
        <w:t xml:space="preserve"> includes several special provisions for AI/AN purchasing Marketplace coverage:</w:t>
      </w:r>
    </w:p>
    <w:p w14:paraId="30663763" w14:textId="31C745A8" w:rsidR="00D64500" w:rsidRPr="00D64500" w:rsidRDefault="00D64500" w:rsidP="0037394E">
      <w:pPr>
        <w:numPr>
          <w:ilvl w:val="0"/>
          <w:numId w:val="6"/>
        </w:numPr>
        <w:spacing w:before="120" w:after="120"/>
        <w:ind w:left="360"/>
        <w:rPr>
          <w:rFonts w:ascii="Verdana" w:hAnsi="Verdana"/>
        </w:rPr>
      </w:pPr>
      <w:r w:rsidRPr="00D64500">
        <w:rPr>
          <w:rFonts w:ascii="Verdana" w:hAnsi="Verdana"/>
        </w:rPr>
        <w:t xml:space="preserve">AI/ANs with household incomes below 300% of the federal poverty level who are enrolled in a Marketplace plan </w:t>
      </w:r>
      <w:r w:rsidR="0083693E">
        <w:rPr>
          <w:rFonts w:ascii="Verdana" w:hAnsi="Verdana"/>
        </w:rPr>
        <w:t>do</w:t>
      </w:r>
      <w:r w:rsidR="0083693E" w:rsidRPr="00D64500">
        <w:rPr>
          <w:rFonts w:ascii="Verdana" w:hAnsi="Verdana"/>
        </w:rPr>
        <w:t xml:space="preserve"> </w:t>
      </w:r>
      <w:r w:rsidRPr="00D64500">
        <w:rPr>
          <w:rFonts w:ascii="Verdana" w:hAnsi="Verdana"/>
        </w:rPr>
        <w:t>not have to pay any cost-sharing (</w:t>
      </w:r>
      <w:r w:rsidR="00E703CB">
        <w:rPr>
          <w:rFonts w:ascii="Verdana" w:hAnsi="Verdana"/>
          <w:b/>
          <w:bCs/>
        </w:rPr>
        <w:t xml:space="preserve">Examples:  </w:t>
      </w:r>
      <w:r w:rsidR="00E703CB">
        <w:rPr>
          <w:rFonts w:ascii="Verdana" w:hAnsi="Verdana"/>
        </w:rPr>
        <w:t>C</w:t>
      </w:r>
      <w:r w:rsidRPr="00D64500">
        <w:rPr>
          <w:rFonts w:ascii="Verdana" w:hAnsi="Verdana"/>
        </w:rPr>
        <w:t>opayment/coinsurance).</w:t>
      </w:r>
    </w:p>
    <w:p w14:paraId="5C679140" w14:textId="77777777" w:rsidR="00D64500" w:rsidRPr="00D64500" w:rsidRDefault="00D64500" w:rsidP="0037394E">
      <w:pPr>
        <w:numPr>
          <w:ilvl w:val="0"/>
          <w:numId w:val="6"/>
        </w:numPr>
        <w:spacing w:before="120" w:after="120"/>
        <w:ind w:left="360"/>
        <w:rPr>
          <w:rFonts w:ascii="Verdana" w:hAnsi="Verdana"/>
        </w:rPr>
      </w:pPr>
      <w:r w:rsidRPr="00D64500">
        <w:rPr>
          <w:rFonts w:ascii="Verdana" w:hAnsi="Verdana"/>
        </w:rPr>
        <w:t>When an AI/AN is enrolled in a Marketplace plan receives services directly from Indian Health Services (IHS), Indian tribe, tribal organization, urban Indian organization or through the Contract Health Service program, the individual will not have to pay any cost sharing for those services.</w:t>
      </w:r>
    </w:p>
    <w:p w14:paraId="0C3C3E9D" w14:textId="44C7FE3F" w:rsidR="00D64500" w:rsidRPr="00D64500" w:rsidRDefault="00D64500" w:rsidP="0037394E">
      <w:pPr>
        <w:numPr>
          <w:ilvl w:val="0"/>
          <w:numId w:val="6"/>
        </w:numPr>
        <w:spacing w:before="120" w:after="120"/>
        <w:ind w:left="360"/>
        <w:rPr>
          <w:rFonts w:ascii="Verdana" w:hAnsi="Verdana"/>
        </w:rPr>
      </w:pPr>
      <w:r w:rsidRPr="00D64500">
        <w:rPr>
          <w:rFonts w:ascii="Verdana" w:hAnsi="Verdana"/>
        </w:rPr>
        <w:t>Marketplace plans are to provide special monthly enrollment periods for AI/ANs (</w:t>
      </w:r>
      <w:bookmarkStart w:id="11" w:name="OLE_LINK1"/>
      <w:r w:rsidR="00E703CB" w:rsidRPr="00560E01">
        <w:rPr>
          <w:rFonts w:ascii="Verdana" w:hAnsi="Verdana"/>
          <w:b/>
          <w:bCs/>
        </w:rPr>
        <w:t>Examples:</w:t>
      </w:r>
      <w:bookmarkEnd w:id="11"/>
      <w:r w:rsidR="00E703CB">
        <w:rPr>
          <w:rFonts w:ascii="Verdana" w:hAnsi="Verdana"/>
        </w:rPr>
        <w:t xml:space="preserve">  </w:t>
      </w:r>
      <w:r w:rsidRPr="00D64500">
        <w:rPr>
          <w:rFonts w:ascii="Verdana" w:hAnsi="Verdana"/>
        </w:rPr>
        <w:t xml:space="preserve"> AI/ANs are not restricted to the standard Health Insurance </w:t>
      </w:r>
      <w:r w:rsidR="006A6EC3">
        <w:rPr>
          <w:rFonts w:ascii="Verdana" w:hAnsi="Verdana"/>
        </w:rPr>
        <w:t xml:space="preserve">Exchange </w:t>
      </w:r>
      <w:r w:rsidRPr="00D64500">
        <w:rPr>
          <w:rFonts w:ascii="Verdana" w:hAnsi="Verdana"/>
        </w:rPr>
        <w:t>Marketplace enrollment period)</w:t>
      </w:r>
    </w:p>
    <w:p w14:paraId="7E3AB1E5" w14:textId="77777777" w:rsidR="00BC74A9" w:rsidRPr="0037394E" w:rsidRDefault="00D64500" w:rsidP="00761B6B">
      <w:pPr>
        <w:numPr>
          <w:ilvl w:val="0"/>
          <w:numId w:val="6"/>
        </w:numPr>
        <w:spacing w:before="120" w:after="120"/>
        <w:ind w:left="360"/>
        <w:rPr>
          <w:rFonts w:ascii="Verdana" w:hAnsi="Verdana"/>
        </w:rPr>
      </w:pPr>
      <w:r w:rsidRPr="0037394E">
        <w:rPr>
          <w:rFonts w:ascii="Verdana" w:hAnsi="Verdana"/>
        </w:rPr>
        <w:t>Members of Indian tribes are exempt from the individual shared responsibility penalty for not complying with the requirement to maintain minimum essential health coverage</w:t>
      </w:r>
      <w:r w:rsidR="0037394E" w:rsidRPr="0037394E">
        <w:rPr>
          <w:rFonts w:ascii="Verdana" w:hAnsi="Verdana"/>
        </w:rPr>
        <w:t>.</w:t>
      </w:r>
    </w:p>
    <w:p w14:paraId="60876F31" w14:textId="77777777" w:rsidR="00D61EAF" w:rsidRDefault="00D61EAF" w:rsidP="00245940">
      <w:pPr>
        <w:jc w:val="right"/>
      </w:pPr>
    </w:p>
    <w:p w14:paraId="2CC7AC7B" w14:textId="4B6443BC" w:rsidR="00245940" w:rsidRDefault="00245940" w:rsidP="00245940">
      <w:pPr>
        <w:jc w:val="right"/>
        <w:rPr>
          <w:rFonts w:ascii="Verdana" w:hAnsi="Verdana"/>
        </w:rPr>
      </w:pPr>
      <w:hyperlink w:anchor="_top" w:history="1">
        <w:r w:rsidRPr="0024594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B4E7F" w:rsidRPr="00BF74E9" w14:paraId="00941E7F" w14:textId="77777777" w:rsidTr="008B43A6">
        <w:tc>
          <w:tcPr>
            <w:tcW w:w="5000" w:type="pct"/>
            <w:shd w:val="clear" w:color="auto" w:fill="C0C0C0"/>
          </w:tcPr>
          <w:p w14:paraId="0330C221" w14:textId="77777777" w:rsidR="00DB4E7F" w:rsidRPr="00D32D37" w:rsidRDefault="00262536" w:rsidP="0037394E">
            <w:pPr>
              <w:pStyle w:val="Heading2"/>
              <w:tabs>
                <w:tab w:val="left" w:pos="11985"/>
              </w:tabs>
              <w:spacing w:before="120" w:after="120"/>
              <w:rPr>
                <w:rFonts w:ascii="Verdana" w:hAnsi="Verdana"/>
                <w:i w:val="0"/>
                <w:iCs w:val="0"/>
              </w:rPr>
            </w:pPr>
            <w:bookmarkStart w:id="12" w:name="_Key_Plan_Design"/>
            <w:bookmarkStart w:id="13" w:name="_Toc181254529"/>
            <w:bookmarkEnd w:id="12"/>
            <w:r>
              <w:rPr>
                <w:rFonts w:ascii="Verdana" w:hAnsi="Verdana"/>
                <w:i w:val="0"/>
                <w:iCs w:val="0"/>
              </w:rPr>
              <w:t>Key Plan Design Features and Offerings</w:t>
            </w:r>
            <w:bookmarkEnd w:id="13"/>
          </w:p>
        </w:tc>
      </w:tr>
    </w:tbl>
    <w:p w14:paraId="4D628B96" w14:textId="14D5FB5D" w:rsidR="00DB4E7F" w:rsidRDefault="007A34C6" w:rsidP="0037394E">
      <w:pPr>
        <w:spacing w:before="120" w:after="120"/>
        <w:rPr>
          <w:rFonts w:ascii="Verdana" w:hAnsi="Verdana"/>
        </w:rPr>
      </w:pPr>
      <w:r>
        <w:rPr>
          <w:rFonts w:ascii="Verdana" w:hAnsi="Verdana"/>
          <w:color w:val="333333"/>
        </w:rPr>
        <w:t xml:space="preserve">Below are some of the key features and offerings that may be present in </w:t>
      </w:r>
      <w:r w:rsidR="00D0005D">
        <w:rPr>
          <w:rFonts w:ascii="Verdana" w:hAnsi="Verdana"/>
          <w:color w:val="333333"/>
        </w:rPr>
        <w:t>the Health</w:t>
      </w:r>
      <w:r w:rsidR="0035620C">
        <w:rPr>
          <w:rFonts w:ascii="Verdana" w:hAnsi="Verdana"/>
          <w:color w:val="333333"/>
        </w:rPr>
        <w:t xml:space="preserve"> Insurance </w:t>
      </w:r>
      <w:r w:rsidR="006A6EC3">
        <w:rPr>
          <w:rFonts w:ascii="Verdana" w:hAnsi="Verdana"/>
          <w:color w:val="333333"/>
        </w:rPr>
        <w:t xml:space="preserve">Exchange </w:t>
      </w:r>
      <w:r w:rsidR="0035620C">
        <w:rPr>
          <w:rFonts w:ascii="Verdana" w:hAnsi="Verdana"/>
          <w:color w:val="333333"/>
        </w:rPr>
        <w:t xml:space="preserve">Marketplace plans.  </w:t>
      </w:r>
      <w:r w:rsidR="00AB0E63">
        <w:rPr>
          <w:rFonts w:ascii="Verdana" w:hAnsi="Verdana"/>
          <w:color w:val="333333"/>
        </w:rPr>
        <w:t>Review</w:t>
      </w:r>
      <w:r w:rsidR="0035620C">
        <w:rPr>
          <w:rFonts w:ascii="Verdana" w:hAnsi="Verdana"/>
          <w:color w:val="333333"/>
        </w:rPr>
        <w:t xml:space="preserve"> the CIF and run </w:t>
      </w:r>
      <w:r w:rsidR="00AB0E63">
        <w:rPr>
          <w:rFonts w:ascii="Verdana" w:hAnsi="Verdana"/>
          <w:color w:val="333333"/>
        </w:rPr>
        <w:t>T</w:t>
      </w:r>
      <w:r w:rsidR="0035620C">
        <w:rPr>
          <w:rFonts w:ascii="Verdana" w:hAnsi="Verdana"/>
          <w:color w:val="333333"/>
        </w:rPr>
        <w:t xml:space="preserve">est </w:t>
      </w:r>
      <w:r w:rsidR="00AB0E63">
        <w:rPr>
          <w:rFonts w:ascii="Verdana" w:hAnsi="Verdana"/>
          <w:color w:val="333333"/>
        </w:rPr>
        <w:t>C</w:t>
      </w:r>
      <w:r w:rsidR="0035620C">
        <w:rPr>
          <w:rFonts w:ascii="Verdana" w:hAnsi="Verdana"/>
          <w:color w:val="333333"/>
        </w:rPr>
        <w:t>laims to confirm drug coverage and costs.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1"/>
        <w:gridCol w:w="6454"/>
        <w:gridCol w:w="4315"/>
      </w:tblGrid>
      <w:tr w:rsidR="00C17569" w:rsidRPr="00B37541" w14:paraId="29D600A7" w14:textId="77777777" w:rsidTr="00925000">
        <w:tc>
          <w:tcPr>
            <w:tcW w:w="842" w:type="pct"/>
            <w:shd w:val="clear" w:color="auto" w:fill="E6E6E6"/>
          </w:tcPr>
          <w:p w14:paraId="5891D2BA" w14:textId="77777777" w:rsidR="00262536" w:rsidRPr="00B37541" w:rsidRDefault="00262536" w:rsidP="0037394E">
            <w:pPr>
              <w:spacing w:before="120" w:after="120"/>
              <w:jc w:val="center"/>
              <w:rPr>
                <w:rFonts w:ascii="Verdana" w:hAnsi="Verdana"/>
                <w:b/>
              </w:rPr>
            </w:pPr>
            <w:r w:rsidRPr="00B37541">
              <w:rPr>
                <w:rFonts w:ascii="Verdana" w:hAnsi="Verdana"/>
                <w:b/>
              </w:rPr>
              <w:t>Plan Design Feature or Offering</w:t>
            </w:r>
          </w:p>
        </w:tc>
        <w:tc>
          <w:tcPr>
            <w:tcW w:w="2492" w:type="pct"/>
            <w:shd w:val="clear" w:color="auto" w:fill="E6E6E6"/>
          </w:tcPr>
          <w:p w14:paraId="6D4DFD1D" w14:textId="77777777" w:rsidR="00262536" w:rsidRPr="00B37541" w:rsidRDefault="00262536" w:rsidP="0037394E">
            <w:pPr>
              <w:spacing w:before="120" w:after="120"/>
              <w:jc w:val="center"/>
              <w:rPr>
                <w:rFonts w:ascii="Verdana" w:hAnsi="Verdana"/>
                <w:b/>
              </w:rPr>
            </w:pPr>
            <w:r w:rsidRPr="00B37541">
              <w:rPr>
                <w:rFonts w:ascii="Verdana" w:hAnsi="Verdana"/>
                <w:b/>
              </w:rPr>
              <w:t>How it applies to Health Insurance Exchanges</w:t>
            </w:r>
          </w:p>
        </w:tc>
        <w:tc>
          <w:tcPr>
            <w:tcW w:w="1666" w:type="pct"/>
            <w:shd w:val="clear" w:color="auto" w:fill="E6E6E6"/>
          </w:tcPr>
          <w:p w14:paraId="63F42FAE" w14:textId="77777777" w:rsidR="00262536" w:rsidRPr="00B37541" w:rsidRDefault="00262536" w:rsidP="0037394E">
            <w:pPr>
              <w:spacing w:before="120" w:after="120"/>
              <w:jc w:val="center"/>
              <w:rPr>
                <w:rFonts w:ascii="Verdana" w:hAnsi="Verdana"/>
                <w:b/>
              </w:rPr>
            </w:pPr>
            <w:r w:rsidRPr="00B37541">
              <w:rPr>
                <w:rFonts w:ascii="Verdana" w:hAnsi="Verdana"/>
                <w:b/>
              </w:rPr>
              <w:t>Reference Document</w:t>
            </w:r>
            <w:r w:rsidR="008B43A6">
              <w:rPr>
                <w:rFonts w:ascii="Verdana" w:hAnsi="Verdana"/>
                <w:b/>
              </w:rPr>
              <w:t>s</w:t>
            </w:r>
          </w:p>
        </w:tc>
      </w:tr>
      <w:tr w:rsidR="00C17569" w:rsidRPr="00B37541" w14:paraId="00DF8D86" w14:textId="77777777" w:rsidTr="00925000">
        <w:tc>
          <w:tcPr>
            <w:tcW w:w="842" w:type="pct"/>
          </w:tcPr>
          <w:p w14:paraId="11E3C35D" w14:textId="77777777" w:rsidR="00262536" w:rsidRPr="00B37541" w:rsidRDefault="007C25E7" w:rsidP="0037394E">
            <w:pPr>
              <w:spacing w:before="120" w:after="120"/>
              <w:rPr>
                <w:rFonts w:ascii="Verdana" w:hAnsi="Verdana"/>
              </w:rPr>
            </w:pPr>
            <w:r w:rsidRPr="00B37541">
              <w:rPr>
                <w:rFonts w:ascii="Verdana" w:hAnsi="Verdana"/>
              </w:rPr>
              <w:t>Integrated Out-of-Pocket Maximum (MOOP)</w:t>
            </w:r>
          </w:p>
        </w:tc>
        <w:tc>
          <w:tcPr>
            <w:tcW w:w="2492" w:type="pct"/>
          </w:tcPr>
          <w:p w14:paraId="69CA7F34" w14:textId="6A5D59F0" w:rsidR="00FC6551" w:rsidRPr="00B37541" w:rsidRDefault="007C25E7" w:rsidP="0037394E">
            <w:pPr>
              <w:spacing w:before="120" w:after="120"/>
              <w:rPr>
                <w:rFonts w:ascii="Verdana" w:hAnsi="Verdana"/>
              </w:rPr>
            </w:pPr>
            <w:r w:rsidRPr="451D624A">
              <w:rPr>
                <w:rFonts w:ascii="Verdana" w:hAnsi="Verdana"/>
              </w:rPr>
              <w:t xml:space="preserve">All </w:t>
            </w:r>
            <w:r w:rsidR="00BB3A13" w:rsidRPr="451D624A">
              <w:rPr>
                <w:rFonts w:ascii="Verdana" w:hAnsi="Verdana"/>
              </w:rPr>
              <w:t>exchange</w:t>
            </w:r>
            <w:r w:rsidR="00286B94" w:rsidRPr="451D624A">
              <w:rPr>
                <w:rFonts w:ascii="Verdana" w:hAnsi="Verdana"/>
              </w:rPr>
              <w:t xml:space="preserve"> plans</w:t>
            </w:r>
            <w:r w:rsidRPr="451D624A">
              <w:rPr>
                <w:rFonts w:ascii="Verdana" w:hAnsi="Verdana"/>
              </w:rPr>
              <w:t xml:space="preserve"> will include an integrated medical and prescription out-of-pocket maximum</w:t>
            </w:r>
            <w:r w:rsidR="00FC6551" w:rsidRPr="451D624A">
              <w:rPr>
                <w:rFonts w:ascii="Verdana" w:hAnsi="Verdana"/>
              </w:rPr>
              <w:t xml:space="preserve">. In </w:t>
            </w:r>
            <w:r w:rsidR="3BCFCB19" w:rsidRPr="451D624A">
              <w:rPr>
                <w:rFonts w:ascii="Verdana" w:hAnsi="Verdana"/>
              </w:rPr>
              <w:t>Compass,</w:t>
            </w:r>
            <w:r w:rsidR="00FC6551" w:rsidRPr="451D624A">
              <w:rPr>
                <w:rFonts w:ascii="Verdana" w:hAnsi="Verdana"/>
              </w:rPr>
              <w:t xml:space="preserve"> these will look the same as the HDHP plans</w:t>
            </w:r>
            <w:r w:rsidR="005A6C57" w:rsidRPr="451D624A">
              <w:rPr>
                <w:rFonts w:ascii="Verdana" w:hAnsi="Verdana"/>
              </w:rPr>
              <w:t>,</w:t>
            </w:r>
            <w:r w:rsidR="00FC6551" w:rsidRPr="451D624A">
              <w:rPr>
                <w:rFonts w:ascii="Verdana" w:hAnsi="Verdana"/>
              </w:rPr>
              <w:t xml:space="preserve"> although </w:t>
            </w:r>
            <w:r w:rsidR="005A6C57" w:rsidRPr="451D624A">
              <w:rPr>
                <w:rFonts w:ascii="Verdana" w:hAnsi="Verdana"/>
              </w:rPr>
              <w:t xml:space="preserve">integrated </w:t>
            </w:r>
            <w:r w:rsidR="00FC6551" w:rsidRPr="451D624A">
              <w:rPr>
                <w:rFonts w:ascii="Verdana" w:hAnsi="Verdana"/>
              </w:rPr>
              <w:t xml:space="preserve">deductibles are </w:t>
            </w:r>
            <w:r w:rsidR="005A6C57" w:rsidRPr="451D624A">
              <w:rPr>
                <w:rFonts w:ascii="Verdana" w:hAnsi="Verdana"/>
              </w:rPr>
              <w:t xml:space="preserve">not </w:t>
            </w:r>
            <w:r w:rsidR="00FC6551" w:rsidRPr="451D624A">
              <w:rPr>
                <w:rFonts w:ascii="Verdana" w:hAnsi="Verdana"/>
              </w:rPr>
              <w:t xml:space="preserve">required. </w:t>
            </w:r>
          </w:p>
          <w:p w14:paraId="187EE57B" w14:textId="77777777" w:rsidR="00FC6551" w:rsidRDefault="00FC6551" w:rsidP="0037394E">
            <w:pPr>
              <w:spacing w:before="120" w:after="120"/>
              <w:rPr>
                <w:rFonts w:ascii="Verdana" w:hAnsi="Verdana"/>
              </w:rPr>
            </w:pPr>
          </w:p>
          <w:p w14:paraId="57364F43" w14:textId="77777777" w:rsidR="0035620C" w:rsidRPr="00EE7D52" w:rsidRDefault="0035620C" w:rsidP="0037394E">
            <w:pPr>
              <w:spacing w:before="120" w:after="120"/>
              <w:rPr>
                <w:rFonts w:ascii="Verdana" w:hAnsi="Verdana"/>
              </w:rPr>
            </w:pPr>
            <w:r>
              <w:rPr>
                <w:rFonts w:ascii="Verdana" w:hAnsi="Verdana"/>
              </w:rPr>
              <w:t xml:space="preserve">In addition, any out of pocket costs the member pays for </w:t>
            </w:r>
            <w:r w:rsidRPr="0035620C">
              <w:rPr>
                <w:rFonts w:ascii="Verdana" w:hAnsi="Verdana"/>
                <w:b/>
              </w:rPr>
              <w:t>Essential Health Benefits</w:t>
            </w:r>
            <w:r>
              <w:rPr>
                <w:rFonts w:ascii="Verdana" w:hAnsi="Verdana"/>
              </w:rPr>
              <w:t xml:space="preserve"> will apply to the MOOP </w:t>
            </w:r>
            <w:r w:rsidRPr="00EE7D52">
              <w:rPr>
                <w:rFonts w:ascii="Verdana" w:hAnsi="Verdana"/>
              </w:rPr>
              <w:t>accumulation.</w:t>
            </w:r>
          </w:p>
          <w:p w14:paraId="598BA44A" w14:textId="77777777" w:rsidR="009865F4" w:rsidRPr="00EE7D52" w:rsidRDefault="009865F4" w:rsidP="0037394E">
            <w:pPr>
              <w:spacing w:before="120" w:after="120"/>
              <w:rPr>
                <w:rFonts w:ascii="Verdana" w:hAnsi="Verdana"/>
              </w:rPr>
            </w:pPr>
          </w:p>
          <w:p w14:paraId="5D2A9AC0" w14:textId="77777777" w:rsidR="009865F4" w:rsidRPr="00EE7D52" w:rsidRDefault="009865F4" w:rsidP="0037394E">
            <w:pPr>
              <w:spacing w:before="120" w:after="120"/>
              <w:rPr>
                <w:rFonts w:ascii="Verdana" w:hAnsi="Verdana"/>
                <w:b/>
              </w:rPr>
            </w:pPr>
            <w:r w:rsidRPr="00EE7D52">
              <w:rPr>
                <w:rFonts w:ascii="Verdana" w:hAnsi="Verdana"/>
                <w:b/>
              </w:rPr>
              <w:t>What does NOT apply to the MOOP:</w:t>
            </w:r>
          </w:p>
          <w:p w14:paraId="467F98DB" w14:textId="77777777" w:rsidR="009865F4" w:rsidRPr="00EE7D52" w:rsidRDefault="009865F4" w:rsidP="0037394E">
            <w:pPr>
              <w:numPr>
                <w:ilvl w:val="0"/>
                <w:numId w:val="13"/>
              </w:numPr>
              <w:spacing w:before="120" w:after="120"/>
              <w:ind w:left="336"/>
              <w:rPr>
                <w:rFonts w:ascii="Verdana" w:hAnsi="Verdana"/>
              </w:rPr>
            </w:pPr>
            <w:r w:rsidRPr="00EE7D52">
              <w:rPr>
                <w:rFonts w:ascii="Verdana" w:hAnsi="Verdana"/>
              </w:rPr>
              <w:t>Insurance premiums paid to the plan for coverage</w:t>
            </w:r>
          </w:p>
          <w:p w14:paraId="2817F2FC" w14:textId="0D16EE64" w:rsidR="009865F4" w:rsidRPr="00EE7D52" w:rsidRDefault="002860A7" w:rsidP="0037394E">
            <w:pPr>
              <w:numPr>
                <w:ilvl w:val="0"/>
                <w:numId w:val="13"/>
              </w:numPr>
              <w:spacing w:before="120" w:after="120"/>
              <w:ind w:left="336"/>
              <w:rPr>
                <w:rFonts w:ascii="Verdana" w:hAnsi="Verdana"/>
              </w:rPr>
            </w:pPr>
            <w:r>
              <w:rPr>
                <w:rFonts w:ascii="Verdana" w:hAnsi="Verdana"/>
              </w:rPr>
              <w:t>Cost differ</w:t>
            </w:r>
            <w:r w:rsidR="00B8558B">
              <w:rPr>
                <w:rFonts w:ascii="Verdana" w:hAnsi="Verdana"/>
              </w:rPr>
              <w:t>e</w:t>
            </w:r>
            <w:r>
              <w:rPr>
                <w:rFonts w:ascii="Verdana" w:hAnsi="Verdana"/>
              </w:rPr>
              <w:t>nces</w:t>
            </w:r>
            <w:r w:rsidR="009865F4" w:rsidRPr="00EE7D52">
              <w:rPr>
                <w:rFonts w:ascii="Verdana" w:hAnsi="Verdana"/>
              </w:rPr>
              <w:t>, such as DAW, Pre-certification or Out of Network for drugs related to EHB*</w:t>
            </w:r>
          </w:p>
          <w:p w14:paraId="39D176D4" w14:textId="77777777" w:rsidR="009865F4" w:rsidRPr="00EE7D52" w:rsidRDefault="009865F4" w:rsidP="0037394E">
            <w:pPr>
              <w:numPr>
                <w:ilvl w:val="0"/>
                <w:numId w:val="13"/>
              </w:numPr>
              <w:spacing w:before="120" w:after="120"/>
              <w:ind w:left="336"/>
              <w:rPr>
                <w:rFonts w:ascii="Verdana" w:hAnsi="Verdana"/>
              </w:rPr>
            </w:pPr>
            <w:r w:rsidRPr="00EE7D52">
              <w:rPr>
                <w:rFonts w:ascii="Verdana" w:hAnsi="Verdana"/>
              </w:rPr>
              <w:t>Out of Network (OON) purchases for drugs related to EHB</w:t>
            </w:r>
          </w:p>
          <w:p w14:paraId="33C86F38" w14:textId="77777777" w:rsidR="00FC6551" w:rsidRPr="00B37541" w:rsidRDefault="009865F4" w:rsidP="0037394E">
            <w:pPr>
              <w:spacing w:before="120" w:after="120"/>
              <w:rPr>
                <w:rFonts w:ascii="Verdana" w:hAnsi="Verdana"/>
              </w:rPr>
            </w:pPr>
            <w:r w:rsidRPr="00EE7D52">
              <w:rPr>
                <w:rFonts w:ascii="Verdana" w:hAnsi="Verdana"/>
              </w:rPr>
              <w:t>*</w:t>
            </w:r>
            <w:r w:rsidR="00184DFB" w:rsidRPr="00EE7D52">
              <w:rPr>
                <w:rFonts w:ascii="Verdana" w:hAnsi="Verdana"/>
              </w:rPr>
              <w:t>Except for</w:t>
            </w:r>
            <w:r w:rsidRPr="00EE7D52">
              <w:rPr>
                <w:rFonts w:ascii="Verdana" w:hAnsi="Verdana"/>
              </w:rPr>
              <w:t xml:space="preserve"> emergency services</w:t>
            </w:r>
          </w:p>
        </w:tc>
        <w:tc>
          <w:tcPr>
            <w:tcW w:w="1666" w:type="pct"/>
          </w:tcPr>
          <w:p w14:paraId="2B5F86C5" w14:textId="1A502918" w:rsidR="00262536" w:rsidRDefault="00262536" w:rsidP="451D624A">
            <w:pPr>
              <w:spacing w:before="120" w:after="120"/>
              <w:rPr>
                <w:rStyle w:val="Hyperlink"/>
                <w:rFonts w:ascii="Verdana" w:hAnsi="Verdana"/>
              </w:rPr>
            </w:pPr>
          </w:p>
          <w:p w14:paraId="77EAC0D5" w14:textId="5AB0920C" w:rsidR="767B0B5C" w:rsidRPr="008337C5" w:rsidRDefault="008337C5" w:rsidP="451D624A">
            <w:pPr>
              <w:ind w:left="254"/>
              <w:rPr>
                <w:rFonts w:ascii="Verdana" w:eastAsia="Helvetica" w:hAnsi="Verdana" w:cs="Helvetica"/>
                <w:color w:val="000000" w:themeColor="text1"/>
              </w:rPr>
            </w:pPr>
            <w:hyperlink r:id="rId11" w:anchor="!/view?docid=c3e0f2ac-c20f-4b0e-ac81-bc879c2b27cd" w:history="1">
              <w:r w:rsidR="767B0B5C" w:rsidRPr="008337C5">
                <w:rPr>
                  <w:rStyle w:val="Hyperlink"/>
                  <w:rFonts w:ascii="Verdana" w:eastAsia="Helvetica" w:hAnsi="Verdana" w:cs="Helvetica"/>
                </w:rPr>
                <w:t>Compass - High Deductible Health Plans (HDHP)</w:t>
              </w:r>
              <w:r w:rsidR="00010903" w:rsidRPr="008337C5">
                <w:rPr>
                  <w:rStyle w:val="Hyperlink"/>
                  <w:rFonts w:ascii="Verdana" w:eastAsia="Helvetica" w:hAnsi="Verdana" w:cs="Helvetica"/>
                </w:rPr>
                <w:t xml:space="preserve"> (066774</w:t>
              </w:r>
              <w:r w:rsidR="767B0B5C" w:rsidRPr="008337C5">
                <w:rPr>
                  <w:rStyle w:val="Hyperlink"/>
                  <w:rFonts w:ascii="Verdana" w:eastAsia="Helvetica" w:hAnsi="Verdana" w:cs="Helvetica"/>
                </w:rPr>
                <w:t>)</w:t>
              </w:r>
            </w:hyperlink>
          </w:p>
          <w:p w14:paraId="0AC1FBBA" w14:textId="77777777" w:rsidR="008B43A6" w:rsidRPr="008337C5" w:rsidRDefault="008B43A6" w:rsidP="0037394E">
            <w:pPr>
              <w:spacing w:before="120" w:after="120"/>
              <w:rPr>
                <w:rFonts w:ascii="Verdana" w:hAnsi="Verdana"/>
                <w:color w:val="333333"/>
              </w:rPr>
            </w:pPr>
          </w:p>
          <w:p w14:paraId="4EE2BEF9" w14:textId="77777777" w:rsidR="008B43A6" w:rsidRPr="008B43A6" w:rsidRDefault="008B43A6" w:rsidP="0037394E">
            <w:pPr>
              <w:spacing w:before="120" w:after="120"/>
              <w:rPr>
                <w:rFonts w:ascii="Verdana" w:hAnsi="Verdana"/>
                <w:b/>
                <w:color w:val="333333"/>
              </w:rPr>
            </w:pPr>
            <w:r w:rsidRPr="008B43A6">
              <w:rPr>
                <w:rFonts w:ascii="Verdana" w:hAnsi="Verdana"/>
                <w:b/>
                <w:color w:val="333333"/>
              </w:rPr>
              <w:t>Accumulators</w:t>
            </w:r>
          </w:p>
          <w:p w14:paraId="62842AE3" w14:textId="3688DCC3" w:rsidR="008B43A6" w:rsidRPr="00553685" w:rsidRDefault="00553685" w:rsidP="451D624A">
            <w:pPr>
              <w:ind w:left="254"/>
              <w:rPr>
                <w:rFonts w:ascii="Verdana" w:eastAsia="Helvetica" w:hAnsi="Verdana" w:cs="Helvetica"/>
                <w:color w:val="000000" w:themeColor="text1"/>
              </w:rPr>
            </w:pPr>
            <w:hyperlink r:id="rId12" w:anchor="!/view?docid=c4fb8a09-f22f-49cd-a22d-71930039f08c" w:history="1">
              <w:r w:rsidR="4487550D" w:rsidRPr="00553685">
                <w:rPr>
                  <w:rStyle w:val="Hyperlink"/>
                  <w:rFonts w:ascii="Verdana" w:eastAsia="Helvetica" w:hAnsi="Verdana" w:cs="Helvetica"/>
                </w:rPr>
                <w:t>Compass - Viewing Accumulations</w:t>
              </w:r>
              <w:r w:rsidRPr="00553685">
                <w:rPr>
                  <w:rStyle w:val="Hyperlink"/>
                  <w:rFonts w:ascii="Verdana" w:eastAsia="Helvetica" w:hAnsi="Verdana" w:cs="Helvetica"/>
                </w:rPr>
                <w:t xml:space="preserve"> (050010</w:t>
              </w:r>
              <w:r w:rsidR="4487550D" w:rsidRPr="00553685">
                <w:rPr>
                  <w:rStyle w:val="Hyperlink"/>
                  <w:rFonts w:ascii="Verdana" w:eastAsia="Helvetica" w:hAnsi="Verdana" w:cs="Helvetica"/>
                </w:rPr>
                <w:t>)</w:t>
              </w:r>
            </w:hyperlink>
          </w:p>
          <w:p w14:paraId="08CECEC8" w14:textId="7BCFE04F" w:rsidR="008B43A6" w:rsidRPr="00C17569" w:rsidRDefault="008B43A6" w:rsidP="451D624A">
            <w:pPr>
              <w:spacing w:before="120" w:after="120"/>
              <w:rPr>
                <w:rFonts w:ascii="Helvetica" w:eastAsia="Helvetica" w:hAnsi="Helvetica" w:cs="Helvetica"/>
                <w:b/>
                <w:bCs/>
                <w:color w:val="000000" w:themeColor="text1"/>
              </w:rPr>
            </w:pPr>
          </w:p>
        </w:tc>
      </w:tr>
      <w:tr w:rsidR="00C17569" w:rsidRPr="00B37541" w14:paraId="3187FF8C" w14:textId="77777777" w:rsidTr="00925000">
        <w:tc>
          <w:tcPr>
            <w:tcW w:w="842" w:type="pct"/>
          </w:tcPr>
          <w:p w14:paraId="1B45105E" w14:textId="77777777" w:rsidR="00262536" w:rsidRPr="00B37541" w:rsidRDefault="00C17569" w:rsidP="0037394E">
            <w:pPr>
              <w:spacing w:before="120" w:after="120"/>
              <w:rPr>
                <w:rFonts w:ascii="Verdana" w:hAnsi="Verdana"/>
              </w:rPr>
            </w:pPr>
            <w:r w:rsidRPr="00B37541">
              <w:rPr>
                <w:rFonts w:ascii="Verdana" w:hAnsi="Verdana"/>
              </w:rPr>
              <w:t>Step Therapy</w:t>
            </w:r>
          </w:p>
        </w:tc>
        <w:tc>
          <w:tcPr>
            <w:tcW w:w="2492" w:type="pct"/>
          </w:tcPr>
          <w:p w14:paraId="4391B2F4" w14:textId="77777777" w:rsidR="005A6C57" w:rsidRDefault="005A6C57" w:rsidP="0037394E">
            <w:pPr>
              <w:spacing w:before="120" w:after="120"/>
              <w:rPr>
                <w:rFonts w:ascii="Verdana" w:hAnsi="Verdana"/>
              </w:rPr>
            </w:pPr>
            <w:r>
              <w:rPr>
                <w:rFonts w:ascii="Verdana" w:hAnsi="Verdana"/>
              </w:rPr>
              <w:t>Marketplace</w:t>
            </w:r>
            <w:r w:rsidR="00286B94">
              <w:rPr>
                <w:rFonts w:ascii="Verdana" w:hAnsi="Verdana"/>
              </w:rPr>
              <w:t xml:space="preserve"> plans </w:t>
            </w:r>
            <w:r>
              <w:rPr>
                <w:rFonts w:ascii="Verdana" w:hAnsi="Verdana"/>
              </w:rPr>
              <w:t>will promote the use of generic drug usage through plan design features such as step therapy.</w:t>
            </w:r>
            <w:r w:rsidR="0037394E">
              <w:rPr>
                <w:rFonts w:ascii="Verdana" w:hAnsi="Verdana"/>
              </w:rPr>
              <w:t xml:space="preserve">  </w:t>
            </w:r>
            <w:r w:rsidRPr="005A6C57">
              <w:rPr>
                <w:rFonts w:ascii="Verdana" w:hAnsi="Verdana"/>
              </w:rPr>
              <w:t>Generic drugs are not only cost effective for the client but also provide a huge cost savings to the member.</w:t>
            </w:r>
          </w:p>
          <w:p w14:paraId="478B0096" w14:textId="77777777" w:rsidR="008B43A6" w:rsidRPr="00B37541" w:rsidRDefault="008B43A6" w:rsidP="0037394E">
            <w:pPr>
              <w:spacing w:before="120" w:after="120"/>
              <w:rPr>
                <w:rFonts w:ascii="Verdana" w:hAnsi="Verdana"/>
              </w:rPr>
            </w:pPr>
          </w:p>
        </w:tc>
        <w:tc>
          <w:tcPr>
            <w:tcW w:w="1666" w:type="pct"/>
          </w:tcPr>
          <w:p w14:paraId="3AA256A8" w14:textId="77777777" w:rsidR="008B43A6" w:rsidRPr="008B43A6" w:rsidRDefault="008B43A6" w:rsidP="0037394E">
            <w:pPr>
              <w:spacing w:before="120" w:after="120"/>
              <w:rPr>
                <w:rFonts w:ascii="Verdana" w:hAnsi="Verdana"/>
                <w:b/>
              </w:rPr>
            </w:pPr>
            <w:r w:rsidRPr="008B43A6">
              <w:rPr>
                <w:rFonts w:ascii="Verdana" w:hAnsi="Verdana"/>
                <w:b/>
              </w:rPr>
              <w:t>Step Therapy</w:t>
            </w:r>
          </w:p>
          <w:p w14:paraId="00E32E8C" w14:textId="2BA88899" w:rsidR="00C17569" w:rsidRDefault="00761B6B" w:rsidP="00D61EAF">
            <w:pPr>
              <w:spacing w:before="120" w:after="120"/>
            </w:pPr>
            <w:hyperlink r:id="rId13" w:anchor="!/view?docid=ad06cd65-d45c-478c-b05e-01c531a8b19a" w:history="1">
              <w:r w:rsidR="00553685">
                <w:rPr>
                  <w:rStyle w:val="Hyperlink"/>
                  <w:rFonts w:ascii="Verdana" w:hAnsi="Verdana"/>
                  <w:bCs/>
                </w:rPr>
                <w:t>Generic Step Therapy Plans (GSTP) (025481)</w:t>
              </w:r>
            </w:hyperlink>
          </w:p>
          <w:p w14:paraId="267D5739" w14:textId="607205FF" w:rsidR="00262536" w:rsidRPr="00C17569" w:rsidRDefault="00262536" w:rsidP="00F17B7F">
            <w:pPr>
              <w:spacing w:before="120" w:after="120"/>
              <w:rPr>
                <w:rFonts w:ascii="Verdana" w:hAnsi="Verdana"/>
              </w:rPr>
            </w:pPr>
          </w:p>
        </w:tc>
      </w:tr>
      <w:tr w:rsidR="00C17569" w:rsidRPr="00B37541" w14:paraId="05AAB1B4" w14:textId="77777777" w:rsidTr="00925000">
        <w:tc>
          <w:tcPr>
            <w:tcW w:w="842" w:type="pct"/>
          </w:tcPr>
          <w:p w14:paraId="49637B08" w14:textId="77777777" w:rsidR="00262536" w:rsidRPr="00C17569" w:rsidRDefault="00C17569" w:rsidP="0037394E">
            <w:pPr>
              <w:spacing w:before="120" w:after="120"/>
              <w:rPr>
                <w:rFonts w:ascii="Verdana" w:hAnsi="Verdana"/>
                <w:color w:val="000000"/>
              </w:rPr>
            </w:pPr>
            <w:r w:rsidRPr="00C17569">
              <w:rPr>
                <w:rFonts w:ascii="Verdana" w:hAnsi="Verdana"/>
                <w:color w:val="000000"/>
              </w:rPr>
              <w:t>3, 4 or 5</w:t>
            </w:r>
            <w:r w:rsidR="005A6C57">
              <w:rPr>
                <w:rFonts w:ascii="Verdana" w:hAnsi="Verdana"/>
                <w:color w:val="000000"/>
              </w:rPr>
              <w:t>+</w:t>
            </w:r>
            <w:r w:rsidRPr="00C17569">
              <w:rPr>
                <w:rFonts w:ascii="Verdana" w:hAnsi="Verdana"/>
                <w:color w:val="000000"/>
              </w:rPr>
              <w:t xml:space="preserve"> Tier copay structures</w:t>
            </w:r>
          </w:p>
        </w:tc>
        <w:tc>
          <w:tcPr>
            <w:tcW w:w="2492" w:type="pct"/>
          </w:tcPr>
          <w:p w14:paraId="0873C9F3" w14:textId="77777777" w:rsidR="00D55B49" w:rsidRPr="00B37541" w:rsidRDefault="005A6C57" w:rsidP="00AB0E63">
            <w:pPr>
              <w:spacing w:before="120" w:after="120"/>
              <w:rPr>
                <w:rFonts w:ascii="Verdana" w:hAnsi="Verdana"/>
              </w:rPr>
            </w:pPr>
            <w:r w:rsidRPr="005A6C57">
              <w:rPr>
                <w:rFonts w:ascii="Verdana" w:hAnsi="Verdana"/>
              </w:rPr>
              <w:t>One of many potential differences is that Marketplace plans may have a larger number of cost-sharing tiers.  You normally may see three or four tiers. Marketplace plans may have five or more tiers.</w:t>
            </w:r>
          </w:p>
        </w:tc>
        <w:tc>
          <w:tcPr>
            <w:tcW w:w="1666" w:type="pct"/>
          </w:tcPr>
          <w:p w14:paraId="1C5645DB" w14:textId="799F0811" w:rsidR="6B38D17C" w:rsidRPr="009F71AD" w:rsidRDefault="009F71AD" w:rsidP="00553685">
            <w:pPr>
              <w:rPr>
                <w:rFonts w:ascii="Verdana" w:eastAsia="Helvetica" w:hAnsi="Verdana" w:cs="Helvetica"/>
                <w:color w:val="000000" w:themeColor="text1"/>
              </w:rPr>
            </w:pPr>
            <w:hyperlink r:id="rId14" w:anchor="!/view?docid=ee04522b-cf4f-4507-ba80-f17d09422936" w:history="1">
              <w:r w:rsidR="6B38D17C" w:rsidRPr="009F71AD">
                <w:rPr>
                  <w:rStyle w:val="Hyperlink"/>
                  <w:rFonts w:ascii="Verdana" w:eastAsia="Helvetica" w:hAnsi="Verdana" w:cs="Helvetica"/>
                </w:rPr>
                <w:t>Compass - Introduction to the Benefits Tab</w:t>
              </w:r>
              <w:r w:rsidR="00553685" w:rsidRPr="009F71AD">
                <w:rPr>
                  <w:rStyle w:val="Hyperlink"/>
                  <w:rFonts w:ascii="Verdana" w:eastAsia="Helvetica" w:hAnsi="Verdana" w:cs="Helvetica"/>
                </w:rPr>
                <w:t xml:space="preserve"> (050035</w:t>
              </w:r>
              <w:r w:rsidR="6B38D17C" w:rsidRPr="009F71AD">
                <w:rPr>
                  <w:rStyle w:val="Hyperlink"/>
                  <w:rFonts w:ascii="Verdana" w:eastAsia="Helvetica" w:hAnsi="Verdana" w:cs="Helvetica"/>
                </w:rPr>
                <w:t>)</w:t>
              </w:r>
            </w:hyperlink>
          </w:p>
          <w:p w14:paraId="59F0CB0E" w14:textId="77777777" w:rsidR="00C17569" w:rsidRPr="00916663" w:rsidRDefault="00C17569" w:rsidP="0037394E">
            <w:pPr>
              <w:spacing w:before="120" w:after="120"/>
              <w:rPr>
                <w:rFonts w:ascii="Verdana" w:hAnsi="Verdana"/>
              </w:rPr>
            </w:pPr>
          </w:p>
        </w:tc>
      </w:tr>
      <w:tr w:rsidR="00C17569" w:rsidRPr="00B37541" w14:paraId="2D070133" w14:textId="77777777" w:rsidTr="00925000">
        <w:tc>
          <w:tcPr>
            <w:tcW w:w="842" w:type="pct"/>
          </w:tcPr>
          <w:p w14:paraId="00700329" w14:textId="77777777" w:rsidR="00C17569" w:rsidRDefault="004B3EC8" w:rsidP="0037394E">
            <w:pPr>
              <w:spacing w:before="120" w:after="120"/>
              <w:rPr>
                <w:rFonts w:ascii="Verdana" w:hAnsi="Verdana"/>
                <w:color w:val="000000"/>
              </w:rPr>
            </w:pPr>
            <w:r>
              <w:rPr>
                <w:rFonts w:ascii="Verdana" w:hAnsi="Verdana"/>
                <w:color w:val="000000"/>
              </w:rPr>
              <w:t>Formularies</w:t>
            </w:r>
            <w:r w:rsidR="00C17569" w:rsidRPr="00C17569">
              <w:rPr>
                <w:rFonts w:ascii="Verdana" w:hAnsi="Verdana"/>
                <w:color w:val="000000"/>
              </w:rPr>
              <w:t xml:space="preserve"> </w:t>
            </w:r>
          </w:p>
          <w:p w14:paraId="6435FB48" w14:textId="77777777" w:rsidR="00C17569" w:rsidRPr="00C17569" w:rsidRDefault="00C17569" w:rsidP="0037394E">
            <w:pPr>
              <w:spacing w:before="120" w:after="120"/>
              <w:rPr>
                <w:rFonts w:ascii="Verdana" w:hAnsi="Verdana"/>
                <w:color w:val="000000"/>
                <w:highlight w:val="yellow"/>
              </w:rPr>
            </w:pPr>
          </w:p>
        </w:tc>
        <w:tc>
          <w:tcPr>
            <w:tcW w:w="2492" w:type="pct"/>
          </w:tcPr>
          <w:p w14:paraId="05F5ECA0" w14:textId="77777777" w:rsidR="005A6C57" w:rsidRDefault="00AB0E63" w:rsidP="0037394E">
            <w:pPr>
              <w:spacing w:before="120" w:after="120"/>
              <w:rPr>
                <w:rFonts w:ascii="Verdana" w:hAnsi="Verdana"/>
              </w:rPr>
            </w:pPr>
            <w:r>
              <w:rPr>
                <w:rFonts w:ascii="Verdana" w:hAnsi="Verdana"/>
              </w:rPr>
              <w:t>T</w:t>
            </w:r>
            <w:r w:rsidR="005A6C57" w:rsidRPr="005A6C57">
              <w:rPr>
                <w:rFonts w:ascii="Verdana" w:hAnsi="Verdana"/>
              </w:rPr>
              <w:t xml:space="preserve">hese plans may include custom formularies instead of </w:t>
            </w:r>
            <w:r w:rsidR="00D55B49">
              <w:rPr>
                <w:rFonts w:ascii="Verdana" w:hAnsi="Verdana"/>
              </w:rPr>
              <w:t>our</w:t>
            </w:r>
            <w:r w:rsidR="005A6C57" w:rsidRPr="005A6C57">
              <w:rPr>
                <w:rFonts w:ascii="Verdana" w:hAnsi="Verdana"/>
              </w:rPr>
              <w:t xml:space="preserve"> formularies.  Each state has a set of requirements for</w:t>
            </w:r>
            <w:r w:rsidR="004D639B">
              <w:rPr>
                <w:rFonts w:ascii="Verdana" w:hAnsi="Verdana"/>
              </w:rPr>
              <w:t xml:space="preserve"> </w:t>
            </w:r>
            <w:r w:rsidR="005A6C57" w:rsidRPr="005A6C57">
              <w:rPr>
                <w:rFonts w:ascii="Verdana" w:hAnsi="Verdana"/>
              </w:rPr>
              <w:t>Marketplace plans. In turn, the Marketplace plan will be required to follow the state guidelines when developing a formulary drug list</w:t>
            </w:r>
            <w:r w:rsidR="009B2608">
              <w:rPr>
                <w:rFonts w:ascii="Verdana" w:hAnsi="Verdana"/>
              </w:rPr>
              <w:t xml:space="preserve"> to be sold within each state</w:t>
            </w:r>
            <w:r w:rsidR="005A6C57" w:rsidRPr="005A6C57">
              <w:rPr>
                <w:rFonts w:ascii="Verdana" w:hAnsi="Verdana"/>
              </w:rPr>
              <w:t xml:space="preserve">.  </w:t>
            </w:r>
          </w:p>
          <w:p w14:paraId="4683718B" w14:textId="77777777" w:rsidR="00D55B49" w:rsidRPr="00B37541" w:rsidRDefault="005A6C57" w:rsidP="00AB0E63">
            <w:pPr>
              <w:spacing w:before="120" w:after="120"/>
              <w:rPr>
                <w:rFonts w:ascii="Verdana" w:hAnsi="Verdana"/>
              </w:rPr>
            </w:pPr>
            <w:r>
              <w:rPr>
                <w:rFonts w:ascii="Verdana" w:hAnsi="Verdana"/>
              </w:rPr>
              <w:t>Rely</w:t>
            </w:r>
            <w:r w:rsidRPr="005A6C57">
              <w:rPr>
                <w:rFonts w:ascii="Verdana" w:hAnsi="Verdana"/>
              </w:rPr>
              <w:t xml:space="preserve"> on Test Claim</w:t>
            </w:r>
            <w:r>
              <w:rPr>
                <w:rFonts w:ascii="Verdana" w:hAnsi="Verdana"/>
              </w:rPr>
              <w:t>s</w:t>
            </w:r>
            <w:r w:rsidRPr="005A6C57">
              <w:rPr>
                <w:rFonts w:ascii="Verdana" w:hAnsi="Verdana"/>
              </w:rPr>
              <w:t xml:space="preserve"> to determine whether a drug is considered formulary or non-formulary. In addition, the formulary drug list is generally accessible via the CIF.</w:t>
            </w:r>
          </w:p>
        </w:tc>
        <w:tc>
          <w:tcPr>
            <w:tcW w:w="1666" w:type="pct"/>
          </w:tcPr>
          <w:p w14:paraId="3BA7BCE9" w14:textId="77777777" w:rsidR="00C17569" w:rsidRPr="005A6C57" w:rsidRDefault="00E9291D" w:rsidP="0037394E">
            <w:pPr>
              <w:spacing w:before="120" w:after="120"/>
              <w:rPr>
                <w:rFonts w:ascii="Verdana" w:hAnsi="Verdana"/>
                <w:color w:val="333333"/>
              </w:rPr>
            </w:pPr>
            <w:r>
              <w:rPr>
                <w:rFonts w:ascii="Verdana" w:hAnsi="Verdana"/>
                <w:color w:val="333333"/>
              </w:rPr>
              <w:t>N/A</w:t>
            </w:r>
          </w:p>
        </w:tc>
      </w:tr>
      <w:tr w:rsidR="00D64500" w:rsidRPr="00B37541" w14:paraId="7D70BA7F" w14:textId="77777777" w:rsidTr="00925000">
        <w:tc>
          <w:tcPr>
            <w:tcW w:w="842" w:type="pct"/>
          </w:tcPr>
          <w:p w14:paraId="00C5D11B" w14:textId="77777777" w:rsidR="00D64500" w:rsidRDefault="00D64500" w:rsidP="0037394E">
            <w:pPr>
              <w:spacing w:before="120" w:after="120"/>
              <w:rPr>
                <w:rFonts w:ascii="Verdana" w:hAnsi="Verdana"/>
              </w:rPr>
            </w:pPr>
            <w:r>
              <w:rPr>
                <w:rFonts w:ascii="Verdana" w:hAnsi="Verdana"/>
              </w:rPr>
              <w:t>Preventative Drug Lists</w:t>
            </w:r>
          </w:p>
        </w:tc>
        <w:tc>
          <w:tcPr>
            <w:tcW w:w="2492" w:type="pct"/>
          </w:tcPr>
          <w:p w14:paraId="3FF3A88A" w14:textId="77777777" w:rsidR="00D64500" w:rsidRPr="00D64500" w:rsidRDefault="00D64500" w:rsidP="0037394E">
            <w:pPr>
              <w:spacing w:before="120" w:after="120"/>
              <w:rPr>
                <w:rFonts w:ascii="Verdana" w:hAnsi="Verdana"/>
              </w:rPr>
            </w:pPr>
            <w:r w:rsidRPr="00D64500">
              <w:rPr>
                <w:rFonts w:ascii="Verdana" w:hAnsi="Verdana"/>
              </w:rPr>
              <w:t>The following guidelines apply to claims processed for drugs on the Preventive Drug List:</w:t>
            </w:r>
          </w:p>
          <w:p w14:paraId="019584AA" w14:textId="77777777" w:rsidR="00D64500" w:rsidRPr="00D64500" w:rsidRDefault="00D64500" w:rsidP="0037394E">
            <w:pPr>
              <w:numPr>
                <w:ilvl w:val="0"/>
                <w:numId w:val="5"/>
              </w:numPr>
              <w:spacing w:before="120" w:after="120"/>
              <w:rPr>
                <w:rFonts w:ascii="Verdana" w:hAnsi="Verdana"/>
              </w:rPr>
            </w:pPr>
            <w:r w:rsidRPr="00D64500">
              <w:rPr>
                <w:rFonts w:ascii="Verdana" w:hAnsi="Verdana"/>
              </w:rPr>
              <w:t>Automatically bypass the deductible</w:t>
            </w:r>
          </w:p>
          <w:p w14:paraId="600F141F" w14:textId="77777777" w:rsidR="00D64500" w:rsidRPr="00D64500" w:rsidRDefault="00D64500" w:rsidP="0037394E">
            <w:pPr>
              <w:numPr>
                <w:ilvl w:val="0"/>
                <w:numId w:val="5"/>
              </w:numPr>
              <w:spacing w:before="120" w:after="120"/>
              <w:rPr>
                <w:rFonts w:ascii="Verdana" w:hAnsi="Verdana"/>
              </w:rPr>
            </w:pPr>
            <w:r w:rsidRPr="00D64500">
              <w:rPr>
                <w:rFonts w:ascii="Verdana" w:hAnsi="Verdana"/>
              </w:rPr>
              <w:t>Process with the applicable copay or coinsurance</w:t>
            </w:r>
          </w:p>
          <w:p w14:paraId="3D83C31A" w14:textId="77777777" w:rsidR="00D55B49" w:rsidRDefault="00D64500" w:rsidP="00AB0E63">
            <w:pPr>
              <w:numPr>
                <w:ilvl w:val="0"/>
                <w:numId w:val="5"/>
              </w:numPr>
              <w:spacing w:before="120" w:after="120"/>
              <w:rPr>
                <w:rFonts w:ascii="Verdana" w:hAnsi="Verdana"/>
              </w:rPr>
            </w:pPr>
            <w:r w:rsidRPr="00D64500">
              <w:rPr>
                <w:rFonts w:ascii="Verdana" w:hAnsi="Verdana"/>
              </w:rPr>
              <w:t>Copays/Coinsurance accumulates toward the Maximum-Out-of-Pocket (MOOP) limit</w:t>
            </w:r>
          </w:p>
        </w:tc>
        <w:tc>
          <w:tcPr>
            <w:tcW w:w="1666" w:type="pct"/>
          </w:tcPr>
          <w:p w14:paraId="02E09996" w14:textId="77777777" w:rsidR="00D64500" w:rsidRPr="00C17569" w:rsidRDefault="00E9291D" w:rsidP="0037394E">
            <w:pPr>
              <w:spacing w:before="120" w:after="120"/>
              <w:rPr>
                <w:rFonts w:ascii="Verdana" w:hAnsi="Verdana"/>
                <w:color w:val="333333"/>
              </w:rPr>
            </w:pPr>
            <w:r>
              <w:rPr>
                <w:rFonts w:ascii="Verdana" w:hAnsi="Verdana"/>
                <w:color w:val="333333"/>
              </w:rPr>
              <w:t>N/A</w:t>
            </w:r>
          </w:p>
        </w:tc>
      </w:tr>
      <w:tr w:rsidR="00C17569" w:rsidRPr="00B37541" w14:paraId="48B6F453" w14:textId="77777777" w:rsidTr="00925000">
        <w:tc>
          <w:tcPr>
            <w:tcW w:w="842" w:type="pct"/>
          </w:tcPr>
          <w:p w14:paraId="68AFA461" w14:textId="77777777" w:rsidR="00C17569" w:rsidRPr="00B37541" w:rsidRDefault="00C17569" w:rsidP="0037394E">
            <w:pPr>
              <w:spacing w:before="120" w:after="120"/>
              <w:rPr>
                <w:rFonts w:ascii="Verdana" w:hAnsi="Verdana"/>
              </w:rPr>
            </w:pPr>
            <w:r>
              <w:rPr>
                <w:rFonts w:ascii="Verdana" w:hAnsi="Verdana"/>
              </w:rPr>
              <w:t>Prior Authorizations and Appeals</w:t>
            </w:r>
          </w:p>
        </w:tc>
        <w:tc>
          <w:tcPr>
            <w:tcW w:w="2492" w:type="pct"/>
          </w:tcPr>
          <w:p w14:paraId="354212F4" w14:textId="77777777" w:rsidR="00C17569" w:rsidRPr="00417BB0" w:rsidRDefault="005A6C57" w:rsidP="0037394E">
            <w:pPr>
              <w:spacing w:before="120" w:after="120"/>
              <w:rPr>
                <w:rFonts w:ascii="Verdana" w:hAnsi="Verdana"/>
                <w:color w:val="000000"/>
              </w:rPr>
            </w:pPr>
            <w:r>
              <w:rPr>
                <w:rFonts w:ascii="Verdana" w:hAnsi="Verdana"/>
              </w:rPr>
              <w:t xml:space="preserve">Marketplace plans may require prior authorization for some medications.  As always, check the CIF to determine if </w:t>
            </w:r>
            <w:r w:rsidR="00D55B49">
              <w:rPr>
                <w:rFonts w:ascii="Verdana" w:hAnsi="Verdana"/>
              </w:rPr>
              <w:t>we</w:t>
            </w:r>
            <w:r w:rsidRPr="00EE7D52">
              <w:rPr>
                <w:rFonts w:ascii="Verdana" w:hAnsi="Verdana"/>
              </w:rPr>
              <w:t xml:space="preserve"> handle the prior </w:t>
            </w:r>
            <w:r w:rsidRPr="00417BB0">
              <w:rPr>
                <w:rFonts w:ascii="Verdana" w:hAnsi="Verdana"/>
                <w:color w:val="000000"/>
              </w:rPr>
              <w:t>authorization and/or appeal process.</w:t>
            </w:r>
          </w:p>
          <w:p w14:paraId="42DDDBD4" w14:textId="3274F99B" w:rsidR="00DE68E4" w:rsidRPr="00AB0E63" w:rsidRDefault="00DE68E4" w:rsidP="00AB0E63">
            <w:pPr>
              <w:pStyle w:val="ListParagraph"/>
              <w:numPr>
                <w:ilvl w:val="0"/>
                <w:numId w:val="32"/>
              </w:numPr>
              <w:spacing w:before="120" w:after="120"/>
              <w:ind w:left="336"/>
              <w:rPr>
                <w:rFonts w:ascii="Verdana" w:hAnsi="Verdana"/>
                <w:color w:val="FF0000"/>
                <w:sz w:val="24"/>
                <w:szCs w:val="24"/>
              </w:rPr>
            </w:pPr>
            <w:r w:rsidRPr="00AB0E63">
              <w:rPr>
                <w:rFonts w:ascii="Verdana" w:hAnsi="Verdana"/>
                <w:color w:val="000000"/>
                <w:sz w:val="24"/>
                <w:szCs w:val="24"/>
              </w:rPr>
              <w:t xml:space="preserve">If a prescription is denied for no coverage, </w:t>
            </w:r>
            <w:r w:rsidR="00AB0E63" w:rsidRPr="00AB0E63">
              <w:rPr>
                <w:rFonts w:ascii="Verdana" w:hAnsi="Verdana"/>
                <w:color w:val="000000"/>
                <w:sz w:val="24"/>
                <w:szCs w:val="24"/>
              </w:rPr>
              <w:t>review</w:t>
            </w:r>
            <w:r w:rsidRPr="00AB0E63">
              <w:rPr>
                <w:rFonts w:ascii="Verdana" w:hAnsi="Verdana"/>
                <w:sz w:val="24"/>
                <w:szCs w:val="24"/>
              </w:rPr>
              <w:t xml:space="preserve"> the Appeals Process section in the CIF. Some plans may offer a </w:t>
            </w:r>
            <w:r w:rsidR="00D0005D" w:rsidRPr="00AB0E63">
              <w:rPr>
                <w:rFonts w:ascii="Verdana" w:hAnsi="Verdana"/>
                <w:sz w:val="24"/>
                <w:szCs w:val="24"/>
              </w:rPr>
              <w:t>one</w:t>
            </w:r>
            <w:r w:rsidR="00D0005D">
              <w:rPr>
                <w:rFonts w:ascii="Verdana" w:hAnsi="Verdana"/>
                <w:sz w:val="24"/>
                <w:szCs w:val="24"/>
              </w:rPr>
              <w:t>-</w:t>
            </w:r>
            <w:r w:rsidR="00D0005D" w:rsidRPr="00AB0E63">
              <w:rPr>
                <w:rFonts w:ascii="Verdana" w:hAnsi="Verdana"/>
                <w:sz w:val="24"/>
                <w:szCs w:val="24"/>
              </w:rPr>
              <w:t>time</w:t>
            </w:r>
            <w:r w:rsidRPr="00AB0E63">
              <w:rPr>
                <w:rFonts w:ascii="Verdana" w:hAnsi="Verdana"/>
                <w:sz w:val="24"/>
                <w:szCs w:val="24"/>
              </w:rPr>
              <w:t xml:space="preserve"> override to allow the member time to follow the outlined appeals process. The direction in the Appeals section of the CIF will provide details if it applies </w:t>
            </w:r>
            <w:r w:rsidR="00506E8B" w:rsidRPr="00AB0E63">
              <w:rPr>
                <w:rFonts w:ascii="Verdana" w:hAnsi="Verdana"/>
                <w:sz w:val="24"/>
                <w:szCs w:val="24"/>
              </w:rPr>
              <w:t>to</w:t>
            </w:r>
            <w:r w:rsidRPr="00AB0E63">
              <w:rPr>
                <w:rFonts w:ascii="Verdana" w:hAnsi="Verdana"/>
                <w:sz w:val="24"/>
                <w:szCs w:val="24"/>
              </w:rPr>
              <w:t xml:space="preserve"> the </w:t>
            </w:r>
            <w:r w:rsidR="00D0005D" w:rsidRPr="00AB0E63">
              <w:rPr>
                <w:rFonts w:ascii="Verdana" w:hAnsi="Verdana"/>
                <w:sz w:val="24"/>
                <w:szCs w:val="24"/>
              </w:rPr>
              <w:t>members’</w:t>
            </w:r>
            <w:r w:rsidRPr="00AB0E63">
              <w:rPr>
                <w:rFonts w:ascii="Verdana" w:hAnsi="Verdana"/>
                <w:sz w:val="24"/>
                <w:szCs w:val="24"/>
              </w:rPr>
              <w:t xml:space="preserve"> plan.</w:t>
            </w:r>
          </w:p>
        </w:tc>
        <w:tc>
          <w:tcPr>
            <w:tcW w:w="1666" w:type="pct"/>
          </w:tcPr>
          <w:p w14:paraId="6A1A5704" w14:textId="09390FE7" w:rsidR="00925000" w:rsidRDefault="00925000" w:rsidP="451D624A">
            <w:pPr>
              <w:ind w:left="254"/>
              <w:rPr>
                <w:rFonts w:ascii="Helvetica" w:eastAsia="Helvetica" w:hAnsi="Helvetica" w:cs="Helvetica"/>
                <w:b/>
                <w:bCs/>
                <w:color w:val="000000" w:themeColor="text1"/>
              </w:rPr>
            </w:pPr>
            <w:r>
              <w:rPr>
                <w:rFonts w:ascii="Verdana" w:hAnsi="Verdana"/>
                <w:b/>
                <w:bCs/>
              </w:rPr>
              <w:t xml:space="preserve"> </w:t>
            </w:r>
          </w:p>
          <w:p w14:paraId="51554F17" w14:textId="52E09A0E" w:rsidR="008B43A6" w:rsidRPr="000E10CF" w:rsidRDefault="00FD6CFA" w:rsidP="000E10CF">
            <w:pPr>
              <w:rPr>
                <w:rFonts w:ascii="Verdana" w:eastAsia="Helvetica" w:hAnsi="Verdana" w:cs="Helvetica"/>
                <w:color w:val="000000" w:themeColor="text1"/>
              </w:rPr>
            </w:pPr>
            <w:hyperlink r:id="rId15" w:anchor="!/view?docid=657ddfe3-27d1-4a21-8f51-8cbd3961001c" w:history="1">
              <w:r w:rsidR="2FCA74DC" w:rsidRPr="000E10CF">
                <w:rPr>
                  <w:rStyle w:val="Hyperlink"/>
                  <w:rFonts w:ascii="Verdana" w:eastAsia="Helvetica" w:hAnsi="Verdana" w:cs="Helvetica"/>
                </w:rPr>
                <w:t xml:space="preserve">Compass and PeopleSafe - Prior Authorization, Exceptions, Appeals Guide </w:t>
              </w:r>
              <w:r w:rsidR="00925000" w:rsidRPr="000E10CF">
                <w:rPr>
                  <w:rStyle w:val="Hyperlink"/>
                  <w:rFonts w:ascii="Verdana" w:eastAsia="Helvetica" w:hAnsi="Verdana" w:cs="Helvetica"/>
                </w:rPr>
                <w:t xml:space="preserve"> (063978)</w:t>
              </w:r>
            </w:hyperlink>
            <w:r w:rsidRPr="000E10CF">
              <w:rPr>
                <w:rFonts w:ascii="Verdana" w:eastAsia="Helvetica" w:hAnsi="Verdana" w:cs="Helvetica"/>
                <w:color w:val="000000" w:themeColor="text1"/>
              </w:rPr>
              <w:t xml:space="preserve"> then refer to </w:t>
            </w:r>
            <w:r w:rsidR="2FCA74DC" w:rsidRPr="000E10CF">
              <w:rPr>
                <w:rFonts w:ascii="Verdana" w:eastAsia="Helvetica" w:hAnsi="Verdana" w:cs="Helvetica"/>
                <w:color w:val="000000" w:themeColor="text1"/>
              </w:rPr>
              <w:t>Compass - Initiating an ePA Request</w:t>
            </w:r>
            <w:r w:rsidR="00925000" w:rsidRPr="000E10CF">
              <w:rPr>
                <w:rFonts w:ascii="Verdana" w:eastAsia="Helvetica" w:hAnsi="Verdana" w:cs="Helvetica"/>
                <w:color w:val="000000" w:themeColor="text1"/>
              </w:rPr>
              <w:t xml:space="preserve"> (055814)</w:t>
            </w:r>
          </w:p>
          <w:p w14:paraId="43CAD871" w14:textId="430A1D75" w:rsidR="008B43A6" w:rsidRPr="00925000" w:rsidRDefault="008B43A6" w:rsidP="00925000">
            <w:pPr>
              <w:rPr>
                <w:rFonts w:ascii="Verdana" w:eastAsia="Helvetica" w:hAnsi="Verdana" w:cs="Helvetica"/>
                <w:color w:val="000000" w:themeColor="text1"/>
              </w:rPr>
            </w:pPr>
          </w:p>
          <w:p w14:paraId="13D1074C" w14:textId="0943B1AA" w:rsidR="008B43A6" w:rsidRPr="00C17569" w:rsidRDefault="008B43A6" w:rsidP="00A957FE">
            <w:pPr>
              <w:spacing w:before="120" w:after="120"/>
              <w:rPr>
                <w:rFonts w:ascii="Verdana" w:hAnsi="Verdana"/>
                <w:color w:val="333333"/>
              </w:rPr>
            </w:pPr>
          </w:p>
          <w:p w14:paraId="5648FA4B" w14:textId="5A8741CE" w:rsidR="008B43A6" w:rsidRPr="00B37541" w:rsidRDefault="008B43A6" w:rsidP="007B581D">
            <w:pPr>
              <w:spacing w:before="120" w:after="120"/>
              <w:rPr>
                <w:rFonts w:ascii="Verdana" w:hAnsi="Verdana"/>
              </w:rPr>
            </w:pPr>
          </w:p>
        </w:tc>
      </w:tr>
    </w:tbl>
    <w:p w14:paraId="2DC7EF44" w14:textId="77777777" w:rsidR="00262536" w:rsidRDefault="00262536" w:rsidP="00262536">
      <w:pPr>
        <w:rPr>
          <w:rFonts w:ascii="Verdana" w:hAnsi="Verdana"/>
        </w:rPr>
      </w:pPr>
    </w:p>
    <w:p w14:paraId="6A32D8BF" w14:textId="77777777" w:rsidR="00245940" w:rsidRDefault="00245940" w:rsidP="00245940">
      <w:pPr>
        <w:jc w:val="right"/>
        <w:rPr>
          <w:rFonts w:ascii="Verdana" w:hAnsi="Verdana"/>
        </w:rPr>
      </w:pPr>
      <w:hyperlink w:anchor="_top" w:history="1">
        <w:r w:rsidRPr="0024594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00B82" w:rsidRPr="00BF74E9" w14:paraId="356EA502" w14:textId="77777777" w:rsidTr="008B43A6">
        <w:tc>
          <w:tcPr>
            <w:tcW w:w="5000" w:type="pct"/>
            <w:shd w:val="clear" w:color="auto" w:fill="C0C0C0"/>
          </w:tcPr>
          <w:p w14:paraId="3BB1F772" w14:textId="77777777" w:rsidR="00700B82" w:rsidRPr="00D32D37" w:rsidRDefault="00700B82" w:rsidP="0037394E">
            <w:pPr>
              <w:pStyle w:val="Heading2"/>
              <w:tabs>
                <w:tab w:val="left" w:pos="11985"/>
              </w:tabs>
              <w:spacing w:before="120" w:after="120"/>
              <w:rPr>
                <w:rFonts w:ascii="Verdana" w:hAnsi="Verdana"/>
                <w:i w:val="0"/>
                <w:iCs w:val="0"/>
              </w:rPr>
            </w:pPr>
            <w:bookmarkStart w:id="14" w:name="_Grace_Period"/>
            <w:bookmarkStart w:id="15" w:name="_Toc181254530"/>
            <w:bookmarkEnd w:id="14"/>
            <w:r>
              <w:rPr>
                <w:rFonts w:ascii="Verdana" w:hAnsi="Verdana"/>
                <w:i w:val="0"/>
                <w:iCs w:val="0"/>
              </w:rPr>
              <w:t>Grace Period</w:t>
            </w:r>
            <w:bookmarkEnd w:id="15"/>
          </w:p>
        </w:tc>
      </w:tr>
    </w:tbl>
    <w:p w14:paraId="70BD1A56" w14:textId="77777777" w:rsidR="00700B82" w:rsidRPr="00EE7D52" w:rsidRDefault="009865F4" w:rsidP="0037394E">
      <w:pPr>
        <w:spacing w:before="120" w:after="120"/>
        <w:rPr>
          <w:rFonts w:ascii="Verdana" w:hAnsi="Verdana"/>
        </w:rPr>
      </w:pPr>
      <w:r w:rsidRPr="00EE7D52">
        <w:rPr>
          <w:rFonts w:ascii="Verdana" w:hAnsi="Verdana"/>
        </w:rPr>
        <w:t xml:space="preserve">When Marketplace </w:t>
      </w:r>
      <w:r w:rsidR="00286B94">
        <w:rPr>
          <w:rFonts w:ascii="Verdana" w:hAnsi="Verdana"/>
        </w:rPr>
        <w:t xml:space="preserve">plan </w:t>
      </w:r>
      <w:r w:rsidRPr="00EE7D52">
        <w:rPr>
          <w:rFonts w:ascii="Verdana" w:hAnsi="Verdana"/>
        </w:rPr>
        <w:t>members receiving premium subsidies fall short on paying their monthly premiums, a Qualified Health Plan is required to provide a 90</w:t>
      </w:r>
      <w:r w:rsidR="00AB0E63">
        <w:rPr>
          <w:rFonts w:ascii="Verdana" w:hAnsi="Verdana"/>
        </w:rPr>
        <w:t>-</w:t>
      </w:r>
      <w:r w:rsidRPr="00EE7D52">
        <w:rPr>
          <w:rFonts w:ascii="Verdana" w:hAnsi="Verdana"/>
        </w:rPr>
        <w:t>day grace period.</w:t>
      </w:r>
      <w:r w:rsidR="00AB0E63">
        <w:rPr>
          <w:rFonts w:ascii="Verdana" w:hAnsi="Verdana"/>
        </w:rPr>
        <w:t xml:space="preserve"> </w:t>
      </w:r>
    </w:p>
    <w:p w14:paraId="6BE2B8C3" w14:textId="77777777" w:rsidR="00506E8B" w:rsidRDefault="00506E8B" w:rsidP="0037394E">
      <w:pPr>
        <w:spacing w:before="120" w:after="120"/>
        <w:rPr>
          <w:rFonts w:ascii="Verdana" w:hAnsi="Verdana"/>
        </w:rPr>
      </w:pPr>
    </w:p>
    <w:p w14:paraId="21A84291" w14:textId="42967DC4" w:rsidR="009865F4" w:rsidRPr="00EE7D52" w:rsidRDefault="009865F4" w:rsidP="0037394E">
      <w:pPr>
        <w:spacing w:before="120" w:after="120"/>
        <w:rPr>
          <w:rFonts w:ascii="Verdana" w:hAnsi="Verdana"/>
        </w:rPr>
      </w:pPr>
      <w:r w:rsidRPr="00EE7D52">
        <w:rPr>
          <w:rFonts w:ascii="Verdana" w:hAnsi="Verdana"/>
        </w:rPr>
        <w:t>There are two Grace P</w:t>
      </w:r>
      <w:r w:rsidR="00DE68E4" w:rsidRPr="00EE7D52">
        <w:rPr>
          <w:rFonts w:ascii="Verdana" w:hAnsi="Verdana"/>
        </w:rPr>
        <w:t>eriod options the</w:t>
      </w:r>
      <w:r w:rsidRPr="00EE7D52">
        <w:rPr>
          <w:rFonts w:ascii="Verdana" w:hAnsi="Verdana"/>
        </w:rPr>
        <w:t xml:space="preserve"> plan may </w:t>
      </w:r>
      <w:r w:rsidR="00506E8B" w:rsidRPr="00EE7D52">
        <w:rPr>
          <w:rFonts w:ascii="Verdana" w:hAnsi="Verdana"/>
        </w:rPr>
        <w:t>choose from</w:t>
      </w:r>
      <w:r w:rsidRPr="00EE7D52">
        <w:rPr>
          <w:rFonts w:ascii="Verdana" w:hAnsi="Verdana"/>
        </w:rPr>
        <w:t>:</w:t>
      </w:r>
    </w:p>
    <w:p w14:paraId="4F0E68C0" w14:textId="77777777" w:rsidR="009865F4" w:rsidRPr="00EE7D52" w:rsidRDefault="009865F4" w:rsidP="0037394E">
      <w:pPr>
        <w:spacing w:before="120" w:after="120"/>
        <w:rPr>
          <w:rFonts w:ascii="Verdana" w:hAnsi="Verdana"/>
        </w:rPr>
      </w:pPr>
    </w:p>
    <w:p w14:paraId="76D570CD" w14:textId="77777777" w:rsidR="009865F4" w:rsidRPr="00EE7D52" w:rsidRDefault="009865F4" w:rsidP="0037394E">
      <w:pPr>
        <w:spacing w:before="120" w:after="120"/>
        <w:rPr>
          <w:rFonts w:ascii="Verdana" w:hAnsi="Verdana"/>
          <w:b/>
        </w:rPr>
      </w:pPr>
      <w:r w:rsidRPr="00EE7D52">
        <w:rPr>
          <w:rFonts w:ascii="Verdana" w:hAnsi="Verdana"/>
          <w:b/>
        </w:rPr>
        <w:t>Grace Period Claim Payment Option 1</w:t>
      </w:r>
    </w:p>
    <w:p w14:paraId="5BF1E94D" w14:textId="77777777" w:rsidR="000E10CF" w:rsidRDefault="009865F4" w:rsidP="00AB0E63">
      <w:pPr>
        <w:numPr>
          <w:ilvl w:val="0"/>
          <w:numId w:val="14"/>
        </w:numPr>
        <w:spacing w:before="120" w:after="120"/>
        <w:ind w:left="360"/>
        <w:rPr>
          <w:rFonts w:ascii="Verdana" w:hAnsi="Verdana"/>
        </w:rPr>
      </w:pPr>
      <w:r w:rsidRPr="00EE7D52">
        <w:rPr>
          <w:rFonts w:ascii="Verdana" w:hAnsi="Verdana"/>
        </w:rPr>
        <w:t xml:space="preserve">Month One: Claims will be paid according to normal plan setup, with members responsible for their normal prescription cost share </w:t>
      </w:r>
    </w:p>
    <w:p w14:paraId="75556D9E" w14:textId="45759303" w:rsidR="009865F4" w:rsidRPr="00EE7D52" w:rsidRDefault="00045DD7" w:rsidP="000E10CF">
      <w:pPr>
        <w:spacing w:before="120" w:after="120"/>
        <w:ind w:left="360"/>
        <w:rPr>
          <w:rFonts w:ascii="Verdana" w:hAnsi="Verdana"/>
        </w:rPr>
      </w:pPr>
      <w:bookmarkStart w:id="16" w:name="OLE_LINK48"/>
      <w:r w:rsidRPr="00045DD7">
        <w:rPr>
          <w:rFonts w:ascii="Verdana" w:hAnsi="Verdana"/>
          <w:b/>
          <w:bCs/>
        </w:rPr>
        <w:t>Example:</w:t>
      </w:r>
      <w:r>
        <w:rPr>
          <w:rFonts w:ascii="Verdana" w:hAnsi="Verdana"/>
        </w:rPr>
        <w:t xml:space="preserve">  </w:t>
      </w:r>
      <w:bookmarkEnd w:id="16"/>
      <w:r>
        <w:rPr>
          <w:rFonts w:ascii="Verdana" w:hAnsi="Verdana"/>
        </w:rPr>
        <w:t>C</w:t>
      </w:r>
      <w:r w:rsidR="009865F4" w:rsidRPr="00EE7D52">
        <w:rPr>
          <w:rFonts w:ascii="Verdana" w:hAnsi="Verdana"/>
        </w:rPr>
        <w:t>opayment</w:t>
      </w:r>
    </w:p>
    <w:p w14:paraId="695B3E0F" w14:textId="3A6F75E3" w:rsidR="009865F4" w:rsidRPr="00EE7D52" w:rsidRDefault="009865F4" w:rsidP="00AB0E63">
      <w:pPr>
        <w:numPr>
          <w:ilvl w:val="0"/>
          <w:numId w:val="14"/>
        </w:numPr>
        <w:spacing w:before="120" w:after="120"/>
        <w:ind w:left="360"/>
        <w:rPr>
          <w:rFonts w:ascii="Verdana" w:hAnsi="Verdana"/>
        </w:rPr>
      </w:pPr>
      <w:r w:rsidRPr="00EE7D52">
        <w:rPr>
          <w:rFonts w:ascii="Verdana" w:hAnsi="Verdana"/>
        </w:rPr>
        <w:t>Months Two-Three: Claims continue</w:t>
      </w:r>
      <w:r w:rsidR="00D61EAF">
        <w:rPr>
          <w:rFonts w:ascii="Verdana" w:hAnsi="Verdana"/>
        </w:rPr>
        <w:t>s</w:t>
      </w:r>
      <w:r w:rsidRPr="00EE7D52">
        <w:rPr>
          <w:rFonts w:ascii="Verdana" w:hAnsi="Verdana"/>
        </w:rPr>
        <w:t xml:space="preserve"> to be paid according to normal plan setup</w:t>
      </w:r>
    </w:p>
    <w:p w14:paraId="6C68A26F" w14:textId="77777777" w:rsidR="009865F4" w:rsidRPr="00EE7D52" w:rsidRDefault="009865F4" w:rsidP="00AB0E63">
      <w:pPr>
        <w:numPr>
          <w:ilvl w:val="0"/>
          <w:numId w:val="14"/>
        </w:numPr>
        <w:spacing w:before="120" w:after="120"/>
        <w:ind w:left="360"/>
        <w:rPr>
          <w:rFonts w:ascii="Verdana" w:hAnsi="Verdana"/>
        </w:rPr>
      </w:pPr>
      <w:r w:rsidRPr="00EE7D52">
        <w:rPr>
          <w:rFonts w:ascii="Verdana" w:hAnsi="Verdana"/>
        </w:rPr>
        <w:t>After Three Months: Plan may terminate coverage and collect on paid claims from member</w:t>
      </w:r>
    </w:p>
    <w:p w14:paraId="052C6620" w14:textId="77777777" w:rsidR="009865F4" w:rsidRPr="00EE7D52" w:rsidRDefault="009865F4" w:rsidP="0037394E">
      <w:pPr>
        <w:spacing w:before="120" w:after="120"/>
        <w:rPr>
          <w:rFonts w:ascii="Verdana" w:hAnsi="Verdana"/>
        </w:rPr>
      </w:pPr>
    </w:p>
    <w:p w14:paraId="13569F63" w14:textId="77777777" w:rsidR="009865F4" w:rsidRPr="00EE7D52" w:rsidRDefault="009865F4" w:rsidP="0037394E">
      <w:pPr>
        <w:spacing w:before="120" w:after="120"/>
        <w:rPr>
          <w:rFonts w:ascii="Verdana" w:hAnsi="Verdana"/>
          <w:b/>
        </w:rPr>
      </w:pPr>
      <w:r w:rsidRPr="00EE7D52">
        <w:rPr>
          <w:rFonts w:ascii="Verdana" w:hAnsi="Verdana"/>
          <w:b/>
        </w:rPr>
        <w:t>Grace Period Claim Payment Option 2</w:t>
      </w:r>
    </w:p>
    <w:p w14:paraId="6C807EFE" w14:textId="77777777" w:rsidR="000E10CF" w:rsidRDefault="009865F4" w:rsidP="00AB0E63">
      <w:pPr>
        <w:numPr>
          <w:ilvl w:val="0"/>
          <w:numId w:val="15"/>
        </w:numPr>
        <w:spacing w:before="120" w:after="120"/>
        <w:ind w:left="360"/>
        <w:rPr>
          <w:rFonts w:ascii="Verdana" w:hAnsi="Verdana"/>
        </w:rPr>
      </w:pPr>
      <w:r w:rsidRPr="00EE7D52">
        <w:rPr>
          <w:rFonts w:ascii="Verdana" w:hAnsi="Verdana"/>
        </w:rPr>
        <w:t xml:space="preserve">Month One: Claims will be paid according to normal plan setup, with members responsible for their normal prescription cost share </w:t>
      </w:r>
    </w:p>
    <w:p w14:paraId="7D2D508F" w14:textId="1E5FB5D0" w:rsidR="009865F4" w:rsidRPr="00EE7D52" w:rsidRDefault="00045DD7" w:rsidP="000E10CF">
      <w:pPr>
        <w:spacing w:before="120" w:after="120"/>
        <w:ind w:left="360"/>
        <w:rPr>
          <w:rFonts w:ascii="Verdana" w:hAnsi="Verdana"/>
        </w:rPr>
      </w:pPr>
      <w:r>
        <w:rPr>
          <w:rFonts w:ascii="Verdana" w:hAnsi="Verdana"/>
          <w:b/>
          <w:bCs/>
        </w:rPr>
        <w:t>Example:</w:t>
      </w:r>
      <w:r>
        <w:rPr>
          <w:rFonts w:ascii="Verdana" w:hAnsi="Verdana"/>
        </w:rPr>
        <w:t xml:space="preserve">  C</w:t>
      </w:r>
      <w:r w:rsidR="009865F4" w:rsidRPr="00EE7D52">
        <w:rPr>
          <w:rFonts w:ascii="Verdana" w:hAnsi="Verdana"/>
        </w:rPr>
        <w:t>opayment</w:t>
      </w:r>
    </w:p>
    <w:p w14:paraId="4E78759C" w14:textId="599B3FFF" w:rsidR="009865F4" w:rsidRPr="00EE7D52" w:rsidRDefault="009865F4" w:rsidP="00AB0E63">
      <w:pPr>
        <w:numPr>
          <w:ilvl w:val="0"/>
          <w:numId w:val="15"/>
        </w:numPr>
        <w:spacing w:before="120" w:after="120"/>
        <w:ind w:left="360"/>
        <w:rPr>
          <w:rFonts w:ascii="Verdana" w:hAnsi="Verdana"/>
        </w:rPr>
      </w:pPr>
      <w:r w:rsidRPr="00EE7D52">
        <w:rPr>
          <w:rFonts w:ascii="Verdana" w:hAnsi="Verdana"/>
        </w:rPr>
        <w:t xml:space="preserve">Months Two-Three: Claims </w:t>
      </w:r>
      <w:r w:rsidR="00D61EAF">
        <w:rPr>
          <w:rFonts w:ascii="Verdana" w:hAnsi="Verdana"/>
        </w:rPr>
        <w:t>are</w:t>
      </w:r>
      <w:r w:rsidRPr="00EE7D52">
        <w:rPr>
          <w:rFonts w:ascii="Verdana" w:hAnsi="Verdana"/>
        </w:rPr>
        <w:t xml:space="preserve"> paid with </w:t>
      </w:r>
      <w:r w:rsidR="003E034D" w:rsidRPr="00EE7D52">
        <w:rPr>
          <w:rFonts w:ascii="Verdana" w:hAnsi="Verdana"/>
        </w:rPr>
        <w:t>100%-member</w:t>
      </w:r>
      <w:r w:rsidRPr="00EE7D52">
        <w:rPr>
          <w:rFonts w:ascii="Verdana" w:hAnsi="Verdana"/>
        </w:rPr>
        <w:t xml:space="preserve"> coinsurance</w:t>
      </w:r>
    </w:p>
    <w:p w14:paraId="7E44BEA8" w14:textId="77777777" w:rsidR="009865F4" w:rsidRPr="007E1365" w:rsidRDefault="009865F4" w:rsidP="00AB0E63">
      <w:pPr>
        <w:numPr>
          <w:ilvl w:val="0"/>
          <w:numId w:val="15"/>
        </w:numPr>
        <w:spacing w:before="120" w:after="120"/>
        <w:ind w:left="360"/>
        <w:rPr>
          <w:rFonts w:ascii="Verdana" w:hAnsi="Verdana"/>
        </w:rPr>
      </w:pPr>
      <w:r w:rsidRPr="007E1365">
        <w:rPr>
          <w:rFonts w:ascii="Verdana" w:hAnsi="Verdana"/>
        </w:rPr>
        <w:t>After Three Months: Plan may terminate coverage</w:t>
      </w:r>
    </w:p>
    <w:p w14:paraId="2E531CD5" w14:textId="77777777" w:rsidR="009865F4" w:rsidRPr="00EE7D52" w:rsidRDefault="009865F4" w:rsidP="0037394E">
      <w:pPr>
        <w:spacing w:before="120" w:after="120"/>
        <w:rPr>
          <w:rFonts w:ascii="Verdana" w:hAnsi="Verdana"/>
        </w:rPr>
      </w:pPr>
    </w:p>
    <w:p w14:paraId="3ED3261E" w14:textId="77777777" w:rsidR="00153790" w:rsidRDefault="009865F4" w:rsidP="0037394E">
      <w:pPr>
        <w:spacing w:before="120" w:after="120"/>
        <w:rPr>
          <w:rFonts w:ascii="Verdana" w:hAnsi="Verdana"/>
        </w:rPr>
      </w:pPr>
      <w:r w:rsidRPr="00EE7D52">
        <w:rPr>
          <w:rFonts w:ascii="Verdana" w:hAnsi="Verdana"/>
        </w:rPr>
        <w:t xml:space="preserve">The main difference between Grace Period Options 1 and 2 occurs during months </w:t>
      </w:r>
      <w:r w:rsidR="00153790">
        <w:rPr>
          <w:rFonts w:ascii="Verdana" w:hAnsi="Verdana"/>
        </w:rPr>
        <w:t xml:space="preserve">(2) </w:t>
      </w:r>
      <w:r w:rsidRPr="00EE7D52">
        <w:rPr>
          <w:rFonts w:ascii="Verdana" w:hAnsi="Verdana"/>
        </w:rPr>
        <w:t xml:space="preserve">two and </w:t>
      </w:r>
      <w:r w:rsidR="00153790">
        <w:rPr>
          <w:rFonts w:ascii="Verdana" w:hAnsi="Verdana"/>
        </w:rPr>
        <w:t xml:space="preserve">(3) </w:t>
      </w:r>
      <w:r w:rsidRPr="00EE7D52">
        <w:rPr>
          <w:rFonts w:ascii="Verdana" w:hAnsi="Verdana"/>
        </w:rPr>
        <w:t xml:space="preserve">three. </w:t>
      </w:r>
    </w:p>
    <w:p w14:paraId="4585DD23" w14:textId="141C7D38" w:rsidR="009865F4" w:rsidRPr="00EE7D52" w:rsidRDefault="009865F4" w:rsidP="0037394E">
      <w:pPr>
        <w:spacing w:before="120" w:after="120"/>
        <w:rPr>
          <w:rFonts w:ascii="Verdana" w:hAnsi="Verdana"/>
        </w:rPr>
      </w:pPr>
      <w:r w:rsidRPr="00EE7D52">
        <w:rPr>
          <w:rFonts w:ascii="Verdana" w:hAnsi="Verdana"/>
        </w:rPr>
        <w:t xml:space="preserve">During </w:t>
      </w:r>
      <w:r w:rsidR="00460891" w:rsidRPr="00EE7D52">
        <w:rPr>
          <w:rFonts w:ascii="Verdana" w:hAnsi="Verdana"/>
        </w:rPr>
        <w:t>the Grace</w:t>
      </w:r>
      <w:r w:rsidRPr="00EE7D52">
        <w:rPr>
          <w:rFonts w:ascii="Verdana" w:hAnsi="Verdana"/>
        </w:rPr>
        <w:t xml:space="preserve"> Period days 31-90:</w:t>
      </w:r>
    </w:p>
    <w:p w14:paraId="3B8165AD" w14:textId="2D372929" w:rsidR="009865F4" w:rsidRPr="00EE7D52" w:rsidRDefault="009865F4" w:rsidP="00AB0E63">
      <w:pPr>
        <w:numPr>
          <w:ilvl w:val="0"/>
          <w:numId w:val="16"/>
        </w:numPr>
        <w:spacing w:before="120" w:after="120"/>
        <w:ind w:left="360"/>
        <w:rPr>
          <w:rFonts w:ascii="Verdana" w:hAnsi="Verdana"/>
        </w:rPr>
      </w:pPr>
      <w:r w:rsidRPr="0445F050">
        <w:rPr>
          <w:rFonts w:ascii="Verdana" w:hAnsi="Verdana"/>
        </w:rPr>
        <w:t>For option one</w:t>
      </w:r>
      <w:r w:rsidR="00153790" w:rsidRPr="0445F050">
        <w:rPr>
          <w:rFonts w:ascii="Verdana" w:hAnsi="Verdana"/>
        </w:rPr>
        <w:t xml:space="preserve"> (1</w:t>
      </w:r>
      <w:r w:rsidR="61CE0C4A" w:rsidRPr="0445F050">
        <w:rPr>
          <w:rFonts w:ascii="Verdana" w:hAnsi="Verdana"/>
        </w:rPr>
        <w:t>),</w:t>
      </w:r>
      <w:r w:rsidRPr="0445F050">
        <w:rPr>
          <w:rFonts w:ascii="Verdana" w:hAnsi="Verdana"/>
        </w:rPr>
        <w:t xml:space="preserve"> claims will continue to be paid according to </w:t>
      </w:r>
      <w:r w:rsidR="00460891" w:rsidRPr="0445F050">
        <w:rPr>
          <w:rFonts w:ascii="Verdana" w:hAnsi="Verdana"/>
        </w:rPr>
        <w:t>the normal</w:t>
      </w:r>
      <w:r w:rsidRPr="0445F050">
        <w:rPr>
          <w:rFonts w:ascii="Verdana" w:hAnsi="Verdana"/>
        </w:rPr>
        <w:t xml:space="preserve"> plan setup.</w:t>
      </w:r>
    </w:p>
    <w:p w14:paraId="6E266F24" w14:textId="0EE9173E" w:rsidR="009865F4" w:rsidRPr="00EE7D52" w:rsidRDefault="009865F4" w:rsidP="00AB0E63">
      <w:pPr>
        <w:numPr>
          <w:ilvl w:val="0"/>
          <w:numId w:val="16"/>
        </w:numPr>
        <w:spacing w:before="120" w:after="120"/>
        <w:ind w:left="360"/>
        <w:rPr>
          <w:rFonts w:ascii="Verdana" w:hAnsi="Verdana"/>
        </w:rPr>
      </w:pPr>
      <w:r w:rsidRPr="0445F050">
        <w:rPr>
          <w:rFonts w:ascii="Verdana" w:hAnsi="Verdana"/>
        </w:rPr>
        <w:t>For option two</w:t>
      </w:r>
      <w:r w:rsidR="00153790" w:rsidRPr="0445F050">
        <w:rPr>
          <w:rFonts w:ascii="Verdana" w:hAnsi="Verdana"/>
        </w:rPr>
        <w:t xml:space="preserve"> (2</w:t>
      </w:r>
      <w:r w:rsidR="22E8E887" w:rsidRPr="0445F050">
        <w:rPr>
          <w:rFonts w:ascii="Verdana" w:hAnsi="Verdana"/>
        </w:rPr>
        <w:t>),</w:t>
      </w:r>
      <w:r w:rsidRPr="0445F050">
        <w:rPr>
          <w:rFonts w:ascii="Verdana" w:hAnsi="Verdana"/>
        </w:rPr>
        <w:t xml:space="preserve"> members are responsible for </w:t>
      </w:r>
      <w:r w:rsidR="000E10CF" w:rsidRPr="0445F050">
        <w:rPr>
          <w:rFonts w:ascii="Verdana" w:hAnsi="Verdana"/>
        </w:rPr>
        <w:t>100</w:t>
      </w:r>
      <w:r w:rsidRPr="0445F050">
        <w:rPr>
          <w:rFonts w:ascii="Verdana" w:hAnsi="Verdana"/>
        </w:rPr>
        <w:t>% coinsurance.</w:t>
      </w:r>
    </w:p>
    <w:p w14:paraId="63898844" w14:textId="193481A4" w:rsidR="00127C04" w:rsidRPr="00EE7D52" w:rsidRDefault="008B43A6" w:rsidP="00460891">
      <w:pPr>
        <w:spacing w:before="120" w:after="120"/>
        <w:ind w:left="360"/>
        <w:rPr>
          <w:rFonts w:ascii="Verdana" w:hAnsi="Verdana"/>
        </w:rPr>
      </w:pPr>
      <w:r>
        <w:rPr>
          <w:rFonts w:ascii="Verdana" w:hAnsi="Verdana"/>
          <w:b/>
        </w:rPr>
        <w:t>Note</w:t>
      </w:r>
      <w:r w:rsidR="00841AB1" w:rsidRPr="00EE7D52">
        <w:rPr>
          <w:rFonts w:ascii="Verdana" w:hAnsi="Verdana"/>
          <w:b/>
        </w:rPr>
        <w:t xml:space="preserve">: </w:t>
      </w:r>
      <w:r w:rsidR="009865F4" w:rsidRPr="00EE7D52">
        <w:rPr>
          <w:rFonts w:ascii="Verdana" w:hAnsi="Verdana"/>
        </w:rPr>
        <w:t>The Grace Period Option is selected by the plan, not the member, and is applied to all members of that plan.</w:t>
      </w:r>
    </w:p>
    <w:p w14:paraId="3B5CDE56" w14:textId="77777777" w:rsidR="00153790" w:rsidRDefault="00153790" w:rsidP="00AB0E63">
      <w:pPr>
        <w:spacing w:before="120" w:after="120"/>
        <w:rPr>
          <w:rFonts w:ascii="Verdana" w:hAnsi="Verdana"/>
        </w:rPr>
      </w:pPr>
    </w:p>
    <w:p w14:paraId="595A4E86" w14:textId="1E764C61" w:rsidR="00700B82" w:rsidRPr="00EE7D52" w:rsidRDefault="0001044D" w:rsidP="00AB0E63">
      <w:pPr>
        <w:spacing w:before="120" w:after="120"/>
        <w:rPr>
          <w:rFonts w:ascii="Verdana" w:hAnsi="Verdana"/>
        </w:rPr>
      </w:pPr>
      <w:r w:rsidRPr="00EE7D52">
        <w:rPr>
          <w:rFonts w:ascii="Verdana" w:hAnsi="Verdana"/>
        </w:rPr>
        <w:t>Refer to the following scenarios and instructions for assisting a Marketplace member in the Grace Period.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11298"/>
      </w:tblGrid>
      <w:tr w:rsidR="009B0837" w:rsidRPr="00EE7D52" w14:paraId="62F437AE" w14:textId="77777777" w:rsidTr="001310A1">
        <w:tc>
          <w:tcPr>
            <w:tcW w:w="845" w:type="pct"/>
            <w:shd w:val="clear" w:color="auto" w:fill="E6E6E6"/>
          </w:tcPr>
          <w:p w14:paraId="78835AEB" w14:textId="77777777" w:rsidR="00700B82" w:rsidRPr="00EE7D52" w:rsidRDefault="00700B82" w:rsidP="0037394E">
            <w:pPr>
              <w:spacing w:before="120" w:after="120"/>
              <w:jc w:val="center"/>
              <w:rPr>
                <w:rFonts w:ascii="Verdana" w:hAnsi="Verdana"/>
                <w:b/>
              </w:rPr>
            </w:pPr>
            <w:r w:rsidRPr="00EE7D52">
              <w:rPr>
                <w:rFonts w:ascii="Verdana" w:hAnsi="Verdana"/>
                <w:b/>
              </w:rPr>
              <w:t>Scenario</w:t>
            </w:r>
          </w:p>
        </w:tc>
        <w:tc>
          <w:tcPr>
            <w:tcW w:w="4155" w:type="pct"/>
            <w:shd w:val="clear" w:color="auto" w:fill="E6E6E6"/>
          </w:tcPr>
          <w:p w14:paraId="6243ED51" w14:textId="77777777" w:rsidR="00700B82" w:rsidRPr="00EE7D52" w:rsidRDefault="00700B82" w:rsidP="0037394E">
            <w:pPr>
              <w:spacing w:before="120" w:after="120"/>
              <w:jc w:val="center"/>
              <w:rPr>
                <w:rFonts w:ascii="Verdana" w:hAnsi="Verdana"/>
                <w:b/>
              </w:rPr>
            </w:pPr>
            <w:r w:rsidRPr="00EE7D52">
              <w:rPr>
                <w:rFonts w:ascii="Verdana" w:hAnsi="Verdana"/>
                <w:b/>
              </w:rPr>
              <w:t>Instructions</w:t>
            </w:r>
          </w:p>
        </w:tc>
      </w:tr>
      <w:tr w:rsidR="009346C9" w:rsidRPr="00EE7D52" w14:paraId="3A91DC59" w14:textId="77777777" w:rsidTr="001310A1">
        <w:tc>
          <w:tcPr>
            <w:tcW w:w="845" w:type="pct"/>
          </w:tcPr>
          <w:p w14:paraId="4E0906B2" w14:textId="77777777" w:rsidR="00700B82" w:rsidRPr="00EE7D52" w:rsidRDefault="003C6F63" w:rsidP="0037394E">
            <w:pPr>
              <w:spacing w:before="120" w:after="120"/>
              <w:rPr>
                <w:rFonts w:ascii="Verdana" w:hAnsi="Verdana"/>
              </w:rPr>
            </w:pPr>
            <w:r w:rsidRPr="00EE7D52">
              <w:rPr>
                <w:rFonts w:ascii="Verdana" w:hAnsi="Verdana"/>
              </w:rPr>
              <w:t>Confirm</w:t>
            </w:r>
            <w:r w:rsidR="00700B82" w:rsidRPr="00EE7D52">
              <w:rPr>
                <w:rFonts w:ascii="Verdana" w:hAnsi="Verdana"/>
              </w:rPr>
              <w:t xml:space="preserve"> member is in Grace Period</w:t>
            </w:r>
          </w:p>
        </w:tc>
        <w:tc>
          <w:tcPr>
            <w:tcW w:w="4155" w:type="pct"/>
          </w:tcPr>
          <w:p w14:paraId="2AE7386A" w14:textId="442306EF" w:rsidR="008565CF" w:rsidRPr="003E53CB" w:rsidRDefault="008565CF" w:rsidP="008565CF">
            <w:pPr>
              <w:numPr>
                <w:ilvl w:val="0"/>
                <w:numId w:val="21"/>
              </w:numPr>
              <w:spacing w:before="120" w:after="120"/>
              <w:rPr>
                <w:rFonts w:ascii="Verdana" w:eastAsia="Verdana" w:hAnsi="Verdana" w:cs="Verdana"/>
              </w:rPr>
            </w:pPr>
            <w:r>
              <w:rPr>
                <w:rFonts w:ascii="Verdana" w:hAnsi="Verdana"/>
              </w:rPr>
              <w:t xml:space="preserve">From the </w:t>
            </w:r>
            <w:r w:rsidRPr="002A17E8">
              <w:rPr>
                <w:rFonts w:ascii="Verdana" w:hAnsi="Verdana"/>
                <w:b/>
                <w:bCs/>
              </w:rPr>
              <w:t>Member Snapshot Landing page</w:t>
            </w:r>
            <w:r>
              <w:rPr>
                <w:rFonts w:ascii="Verdana" w:hAnsi="Verdana"/>
              </w:rPr>
              <w:t xml:space="preserve">, locate the </w:t>
            </w:r>
            <w:r w:rsidR="006F1E37" w:rsidRPr="002A17E8">
              <w:rPr>
                <w:rFonts w:ascii="Verdana" w:hAnsi="Verdana"/>
                <w:b/>
                <w:bCs/>
              </w:rPr>
              <w:t>E</w:t>
            </w:r>
            <w:r w:rsidRPr="002A17E8">
              <w:rPr>
                <w:rFonts w:ascii="Verdana" w:hAnsi="Verdana"/>
                <w:b/>
                <w:bCs/>
              </w:rPr>
              <w:t>ligibility</w:t>
            </w:r>
            <w:r>
              <w:rPr>
                <w:rFonts w:ascii="Verdana" w:hAnsi="Verdana"/>
              </w:rPr>
              <w:t xml:space="preserve"> field located within the </w:t>
            </w:r>
            <w:r w:rsidRPr="002A17E8">
              <w:rPr>
                <w:rFonts w:ascii="Verdana" w:hAnsi="Verdana"/>
                <w:b/>
                <w:bCs/>
              </w:rPr>
              <w:t>Member Details panel</w:t>
            </w:r>
            <w:r>
              <w:rPr>
                <w:rFonts w:ascii="Verdana" w:hAnsi="Verdana"/>
              </w:rPr>
              <w:t xml:space="preserve">. The </w:t>
            </w:r>
            <w:r w:rsidR="48032997" w:rsidRPr="003E53CB">
              <w:rPr>
                <w:rFonts w:ascii="Verdana" w:eastAsia="Verdana" w:hAnsi="Verdana" w:cs="Verdana"/>
                <w:color w:val="000000" w:themeColor="text1"/>
              </w:rPr>
              <w:t xml:space="preserve">Grace Period </w:t>
            </w:r>
            <w:r w:rsidR="71A8DC25" w:rsidRPr="003E53CB">
              <w:rPr>
                <w:rFonts w:ascii="Verdana" w:eastAsia="Verdana" w:hAnsi="Verdana" w:cs="Verdana"/>
                <w:color w:val="000000" w:themeColor="text1"/>
              </w:rPr>
              <w:t xml:space="preserve">will </w:t>
            </w:r>
            <w:r w:rsidR="48032997" w:rsidRPr="003E53CB">
              <w:rPr>
                <w:rFonts w:ascii="Verdana" w:eastAsia="Verdana" w:hAnsi="Verdana" w:cs="Verdana"/>
                <w:color w:val="000000" w:themeColor="text1"/>
              </w:rPr>
              <w:t>display in green text if the member's account is in a Grace Period.</w:t>
            </w:r>
          </w:p>
          <w:p w14:paraId="4323B003" w14:textId="77777777" w:rsidR="006F1E37" w:rsidRDefault="006F1E37" w:rsidP="008565CF">
            <w:pPr>
              <w:spacing w:before="120" w:after="120"/>
              <w:jc w:val="center"/>
              <w:rPr>
                <w:noProof/>
              </w:rPr>
            </w:pPr>
          </w:p>
          <w:p w14:paraId="07D27F06" w14:textId="0D47675E" w:rsidR="00AB0E63" w:rsidRDefault="00210AF6" w:rsidP="008565CF">
            <w:pPr>
              <w:spacing w:before="120" w:after="120"/>
              <w:jc w:val="center"/>
              <w:rPr>
                <w:rFonts w:ascii="Verdana" w:hAnsi="Verdana"/>
              </w:rPr>
            </w:pPr>
            <w:r>
              <w:rPr>
                <w:noProof/>
              </w:rPr>
              <w:drawing>
                <wp:inline distT="0" distB="0" distL="0" distR="0" wp14:anchorId="2735783F" wp14:editId="1C0269DC">
                  <wp:extent cx="3147376" cy="41805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0321" cy="4197732"/>
                          </a:xfrm>
                          <a:prstGeom prst="rect">
                            <a:avLst/>
                          </a:prstGeom>
                        </pic:spPr>
                      </pic:pic>
                    </a:graphicData>
                  </a:graphic>
                </wp:inline>
              </w:drawing>
            </w:r>
            <w:r w:rsidRPr="00584CED" w:rsidDel="009D3558">
              <w:rPr>
                <w:noProof/>
              </w:rPr>
              <w:t xml:space="preserve"> </w:t>
            </w:r>
          </w:p>
          <w:p w14:paraId="4CD24F32" w14:textId="77777777" w:rsidR="009D3558" w:rsidRDefault="009D3558" w:rsidP="009346C9">
            <w:pPr>
              <w:jc w:val="center"/>
              <w:rPr>
                <w:rFonts w:ascii="Verdana" w:hAnsi="Verdana"/>
              </w:rPr>
            </w:pPr>
          </w:p>
          <w:p w14:paraId="606DA0B5" w14:textId="336EE5F1" w:rsidR="009D3558" w:rsidRDefault="000E10CF" w:rsidP="009D3558">
            <w:pPr>
              <w:spacing w:before="120" w:after="120"/>
              <w:rPr>
                <w:rFonts w:ascii="Verdana" w:hAnsi="Verdana"/>
              </w:rPr>
            </w:pPr>
            <w:r w:rsidRPr="000E10CF">
              <w:rPr>
                <w:rFonts w:ascii="Verdana" w:hAnsi="Verdana"/>
                <w:b/>
                <w:bCs/>
              </w:rPr>
              <w:t>Note:</w:t>
            </w:r>
            <w:r>
              <w:rPr>
                <w:rFonts w:ascii="Verdana" w:hAnsi="Verdana"/>
              </w:rPr>
              <w:t xml:space="preserve">  </w:t>
            </w:r>
            <w:r w:rsidR="009D3558">
              <w:rPr>
                <w:rFonts w:ascii="Verdana" w:hAnsi="Verdana"/>
              </w:rPr>
              <w:t>To view the details of the current and any previous Grace Period updates, navigate to the Eligibility tab in the middle panel.</w:t>
            </w:r>
            <w:r w:rsidR="006F1E37">
              <w:rPr>
                <w:rFonts w:ascii="Verdana" w:hAnsi="Verdana"/>
              </w:rPr>
              <w:t xml:space="preserve"> Click </w:t>
            </w:r>
            <w:r w:rsidR="006F1E37" w:rsidRPr="002A17E8">
              <w:rPr>
                <w:rFonts w:ascii="Verdana" w:hAnsi="Verdana"/>
                <w:b/>
                <w:bCs/>
              </w:rPr>
              <w:t>View All</w:t>
            </w:r>
            <w:r w:rsidR="006F1E37">
              <w:rPr>
                <w:rFonts w:ascii="Verdana" w:hAnsi="Verdana"/>
              </w:rPr>
              <w:t>.</w:t>
            </w:r>
          </w:p>
          <w:p w14:paraId="6B2A1141" w14:textId="77777777" w:rsidR="009D3558" w:rsidRDefault="009D3558" w:rsidP="009346C9">
            <w:pPr>
              <w:rPr>
                <w:rFonts w:ascii="Verdana" w:hAnsi="Verdana"/>
              </w:rPr>
            </w:pPr>
          </w:p>
          <w:p w14:paraId="2B5F4A56" w14:textId="4C27482A" w:rsidR="009D3558" w:rsidRPr="00EE7D52" w:rsidRDefault="006F1E37" w:rsidP="002A17E8">
            <w:pPr>
              <w:spacing w:before="120" w:after="120"/>
              <w:jc w:val="center"/>
              <w:rPr>
                <w:rFonts w:ascii="Verdana" w:hAnsi="Verdana"/>
              </w:rPr>
            </w:pPr>
            <w:r>
              <w:rPr>
                <w:noProof/>
              </w:rPr>
              <w:drawing>
                <wp:inline distT="0" distB="0" distL="0" distR="0" wp14:anchorId="1A086214" wp14:editId="10218854">
                  <wp:extent cx="4718735" cy="2839547"/>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7913" cy="2845070"/>
                          </a:xfrm>
                          <a:prstGeom prst="rect">
                            <a:avLst/>
                          </a:prstGeom>
                        </pic:spPr>
                      </pic:pic>
                    </a:graphicData>
                  </a:graphic>
                </wp:inline>
              </w:drawing>
            </w:r>
          </w:p>
          <w:p w14:paraId="5582215E" w14:textId="77777777" w:rsidR="006F1E37" w:rsidRDefault="006F1E37" w:rsidP="009346C9">
            <w:pPr>
              <w:rPr>
                <w:rFonts w:ascii="Verdana" w:hAnsi="Verdana"/>
                <w:b/>
                <w:bCs/>
              </w:rPr>
            </w:pPr>
          </w:p>
          <w:p w14:paraId="315FCFEA" w14:textId="7973F4AE" w:rsidR="00BB281A" w:rsidRPr="00EE7D52" w:rsidRDefault="00AB0E63" w:rsidP="002A17E8">
            <w:pPr>
              <w:spacing w:before="120" w:after="120"/>
              <w:rPr>
                <w:rFonts w:ascii="Verdana" w:hAnsi="Verdana"/>
              </w:rPr>
            </w:pPr>
            <w:r w:rsidRPr="00AB0E63">
              <w:rPr>
                <w:rFonts w:ascii="Verdana" w:hAnsi="Verdana"/>
                <w:b/>
                <w:bCs/>
              </w:rPr>
              <w:t>Result:</w:t>
            </w:r>
            <w:r>
              <w:rPr>
                <w:rFonts w:ascii="Verdana" w:hAnsi="Verdana"/>
              </w:rPr>
              <w:t xml:space="preserve">  </w:t>
            </w:r>
            <w:r w:rsidR="00BB281A" w:rsidRPr="00EE7D52">
              <w:rPr>
                <w:rFonts w:ascii="Verdana" w:hAnsi="Verdana"/>
              </w:rPr>
              <w:t xml:space="preserve">The </w:t>
            </w:r>
            <w:r w:rsidR="00BB281A" w:rsidRPr="00EE7D52">
              <w:rPr>
                <w:rFonts w:ascii="Verdana" w:hAnsi="Verdana"/>
                <w:b/>
              </w:rPr>
              <w:t xml:space="preserve">Grace Period </w:t>
            </w:r>
            <w:r w:rsidR="001C3F9F">
              <w:rPr>
                <w:rFonts w:ascii="Verdana" w:hAnsi="Verdana"/>
                <w:b/>
              </w:rPr>
              <w:t xml:space="preserve">Eligibility </w:t>
            </w:r>
            <w:r w:rsidR="00BB281A" w:rsidRPr="00EE7D52">
              <w:rPr>
                <w:rFonts w:ascii="Verdana" w:hAnsi="Verdana"/>
                <w:b/>
              </w:rPr>
              <w:t>Audit Trail</w:t>
            </w:r>
            <w:r w:rsidR="00BB281A" w:rsidRPr="00EE7D52">
              <w:rPr>
                <w:rFonts w:ascii="Verdana" w:hAnsi="Verdana"/>
              </w:rPr>
              <w:t xml:space="preserve"> </w:t>
            </w:r>
            <w:r w:rsidR="0052008F" w:rsidRPr="00EE7D52">
              <w:rPr>
                <w:rFonts w:ascii="Verdana" w:hAnsi="Verdana"/>
              </w:rPr>
              <w:t>open</w:t>
            </w:r>
            <w:r w:rsidR="00153790">
              <w:rPr>
                <w:rFonts w:ascii="Verdana" w:hAnsi="Verdana"/>
              </w:rPr>
              <w:t>s</w:t>
            </w:r>
            <w:r w:rsidR="0052008F" w:rsidRPr="00EE7D52">
              <w:rPr>
                <w:rFonts w:ascii="Verdana" w:hAnsi="Verdana"/>
              </w:rPr>
              <w:t xml:space="preserve"> in a new window</w:t>
            </w:r>
            <w:r w:rsidR="006F1E37">
              <w:rPr>
                <w:rFonts w:ascii="Verdana" w:hAnsi="Verdana"/>
              </w:rPr>
              <w:t>.</w:t>
            </w:r>
            <w:r w:rsidR="00BB281A" w:rsidRPr="00EE7D52">
              <w:rPr>
                <w:rFonts w:ascii="Verdana" w:hAnsi="Verdana"/>
              </w:rPr>
              <w:t xml:space="preserve"> </w:t>
            </w:r>
          </w:p>
          <w:p w14:paraId="43B80977" w14:textId="51F9AEE1" w:rsidR="00864335" w:rsidRPr="00EE7D52" w:rsidRDefault="00BB281A" w:rsidP="00AB0E63">
            <w:pPr>
              <w:numPr>
                <w:ilvl w:val="0"/>
                <w:numId w:val="18"/>
              </w:numPr>
              <w:spacing w:before="120" w:after="120"/>
              <w:ind w:left="714"/>
              <w:rPr>
                <w:rFonts w:ascii="Verdana" w:hAnsi="Verdana"/>
              </w:rPr>
            </w:pPr>
            <w:r w:rsidRPr="00EE7D52">
              <w:rPr>
                <w:rFonts w:ascii="Verdana" w:hAnsi="Verdana"/>
                <w:b/>
              </w:rPr>
              <w:t xml:space="preserve">Status: </w:t>
            </w:r>
            <w:r w:rsidRPr="00EE7D52">
              <w:rPr>
                <w:rFonts w:ascii="Verdana" w:hAnsi="Verdana"/>
              </w:rPr>
              <w:t xml:space="preserve"> The row marked </w:t>
            </w:r>
            <w:r w:rsidRPr="002A17E8">
              <w:rPr>
                <w:rFonts w:ascii="Verdana" w:hAnsi="Verdana"/>
                <w:b/>
                <w:bCs/>
              </w:rPr>
              <w:t>Active</w:t>
            </w:r>
            <w:r w:rsidRPr="00EE7D52">
              <w:rPr>
                <w:rFonts w:ascii="Verdana" w:hAnsi="Verdana"/>
              </w:rPr>
              <w:t xml:space="preserve"> is the current Grace Period.  Any rows marked </w:t>
            </w:r>
            <w:r w:rsidRPr="002A17E8">
              <w:rPr>
                <w:rFonts w:ascii="Verdana" w:hAnsi="Verdana"/>
                <w:b/>
                <w:bCs/>
              </w:rPr>
              <w:t>Inactive</w:t>
            </w:r>
            <w:r w:rsidRPr="00EE7D52">
              <w:rPr>
                <w:rFonts w:ascii="Verdana" w:hAnsi="Verdana"/>
              </w:rPr>
              <w:t xml:space="preserve"> are </w:t>
            </w:r>
            <w:r w:rsidR="00A441C5" w:rsidRPr="00EE7D52">
              <w:rPr>
                <w:rFonts w:ascii="Verdana" w:hAnsi="Verdana"/>
              </w:rPr>
              <w:t>the previous</w:t>
            </w:r>
            <w:r w:rsidRPr="00EE7D52">
              <w:rPr>
                <w:rFonts w:ascii="Verdana" w:hAnsi="Verdana"/>
              </w:rPr>
              <w:t xml:space="preserve"> records.</w:t>
            </w:r>
          </w:p>
          <w:p w14:paraId="065002AF" w14:textId="081BAAC8" w:rsidR="00BB281A" w:rsidRPr="00EE7D52" w:rsidRDefault="00BB281A" w:rsidP="00AB0E63">
            <w:pPr>
              <w:numPr>
                <w:ilvl w:val="0"/>
                <w:numId w:val="18"/>
              </w:numPr>
              <w:spacing w:before="120" w:after="120"/>
              <w:ind w:left="714"/>
              <w:rPr>
                <w:rFonts w:ascii="Verdana" w:hAnsi="Verdana"/>
              </w:rPr>
            </w:pPr>
            <w:r w:rsidRPr="00EE7D52">
              <w:rPr>
                <w:rFonts w:ascii="Verdana" w:hAnsi="Verdana"/>
                <w:b/>
              </w:rPr>
              <w:t>Grace Period:</w:t>
            </w:r>
            <w:r w:rsidRPr="00EE7D52">
              <w:rPr>
                <w:rFonts w:ascii="Verdana" w:hAnsi="Verdana"/>
              </w:rPr>
              <w:t xml:space="preserve"> </w:t>
            </w:r>
            <w:r w:rsidRPr="002A17E8">
              <w:rPr>
                <w:rFonts w:ascii="Verdana" w:hAnsi="Verdana"/>
                <w:b/>
                <w:bCs/>
              </w:rPr>
              <w:t>Yes</w:t>
            </w:r>
            <w:r w:rsidRPr="00EE7D52">
              <w:rPr>
                <w:rFonts w:ascii="Verdana" w:hAnsi="Verdana"/>
              </w:rPr>
              <w:t xml:space="preserve"> or </w:t>
            </w:r>
            <w:r w:rsidRPr="002A17E8">
              <w:rPr>
                <w:rFonts w:ascii="Verdana" w:hAnsi="Verdana"/>
                <w:b/>
                <w:bCs/>
              </w:rPr>
              <w:t>No</w:t>
            </w:r>
            <w:r w:rsidRPr="00EE7D52">
              <w:rPr>
                <w:rFonts w:ascii="Verdana" w:hAnsi="Verdana"/>
              </w:rPr>
              <w:t xml:space="preserve">.  </w:t>
            </w:r>
          </w:p>
          <w:p w14:paraId="4683AEFE" w14:textId="71268B12" w:rsidR="00BB281A" w:rsidRPr="00EE7D52" w:rsidRDefault="00BB281A" w:rsidP="00AB0E63">
            <w:pPr>
              <w:numPr>
                <w:ilvl w:val="0"/>
                <w:numId w:val="18"/>
              </w:numPr>
              <w:spacing w:before="120" w:after="120"/>
              <w:ind w:left="714"/>
              <w:rPr>
                <w:rFonts w:ascii="Verdana" w:hAnsi="Verdana"/>
              </w:rPr>
            </w:pPr>
            <w:r w:rsidRPr="00EE7D52">
              <w:rPr>
                <w:rFonts w:ascii="Verdana" w:hAnsi="Verdana"/>
                <w:b/>
              </w:rPr>
              <w:t>Effective Date:</w:t>
            </w:r>
            <w:r w:rsidRPr="00EE7D52">
              <w:rPr>
                <w:rFonts w:ascii="Verdana" w:hAnsi="Verdana"/>
              </w:rPr>
              <w:t xml:space="preserve"> The date which the Grace Period indicator began to display in </w:t>
            </w:r>
            <w:r w:rsidR="001C3F9F">
              <w:rPr>
                <w:rFonts w:ascii="Verdana" w:hAnsi="Verdana"/>
              </w:rPr>
              <w:t>Compass</w:t>
            </w:r>
            <w:r w:rsidRPr="00EE7D52">
              <w:rPr>
                <w:rFonts w:ascii="Verdana" w:hAnsi="Verdana"/>
              </w:rPr>
              <w:t xml:space="preserve">.  </w:t>
            </w:r>
            <w:r w:rsidR="007248C1" w:rsidRPr="00EE7D52">
              <w:rPr>
                <w:rFonts w:ascii="Verdana" w:hAnsi="Verdana"/>
              </w:rPr>
              <w:t>For Option 2, t</w:t>
            </w:r>
            <w:r w:rsidRPr="00EE7D52">
              <w:rPr>
                <w:rFonts w:ascii="Verdana" w:hAnsi="Verdana"/>
              </w:rPr>
              <w:t xml:space="preserve">his is typically at the </w:t>
            </w:r>
            <w:r w:rsidR="00FA7FD5" w:rsidRPr="00EE7D52">
              <w:rPr>
                <w:rFonts w:ascii="Verdana" w:hAnsi="Verdana"/>
              </w:rPr>
              <w:t xml:space="preserve">beginning of the </w:t>
            </w:r>
            <w:r w:rsidRPr="00EE7D52">
              <w:rPr>
                <w:rFonts w:ascii="Verdana" w:hAnsi="Verdana"/>
              </w:rPr>
              <w:t>s</w:t>
            </w:r>
            <w:r w:rsidR="007248C1" w:rsidRPr="00EE7D52">
              <w:rPr>
                <w:rFonts w:ascii="Verdana" w:hAnsi="Verdana"/>
              </w:rPr>
              <w:t>econd month of the Grace Period when claims will begin paying at 100%.</w:t>
            </w:r>
          </w:p>
          <w:p w14:paraId="44DD21B0" w14:textId="77777777" w:rsidR="00BB281A" w:rsidRPr="00EE7D52" w:rsidRDefault="00BB281A" w:rsidP="00AB0E63">
            <w:pPr>
              <w:numPr>
                <w:ilvl w:val="0"/>
                <w:numId w:val="18"/>
              </w:numPr>
              <w:spacing w:before="120" w:after="120"/>
              <w:ind w:left="714"/>
              <w:rPr>
                <w:rFonts w:ascii="Verdana" w:hAnsi="Verdana"/>
              </w:rPr>
            </w:pPr>
            <w:r w:rsidRPr="00EE7D52">
              <w:rPr>
                <w:rFonts w:ascii="Verdana" w:hAnsi="Verdana"/>
                <w:b/>
              </w:rPr>
              <w:t xml:space="preserve">Date Added: </w:t>
            </w:r>
            <w:r w:rsidRPr="00EE7D52">
              <w:rPr>
                <w:rFonts w:ascii="Verdana" w:hAnsi="Verdana"/>
              </w:rPr>
              <w:t>The date the Grace Period record was added to the member’s profile.</w:t>
            </w:r>
          </w:p>
          <w:p w14:paraId="7262277D" w14:textId="77777777" w:rsidR="00700B82" w:rsidRPr="00EE7D52" w:rsidRDefault="00BB281A" w:rsidP="00AB0E63">
            <w:pPr>
              <w:numPr>
                <w:ilvl w:val="0"/>
                <w:numId w:val="18"/>
              </w:numPr>
              <w:spacing w:before="120" w:after="120"/>
              <w:ind w:left="714"/>
              <w:rPr>
                <w:rFonts w:ascii="Verdana" w:hAnsi="Verdana"/>
              </w:rPr>
            </w:pPr>
            <w:r w:rsidRPr="00AB0E63">
              <w:rPr>
                <w:rFonts w:ascii="Verdana" w:hAnsi="Verdana"/>
                <w:b/>
              </w:rPr>
              <w:t>Change Date:</w:t>
            </w:r>
            <w:r w:rsidRPr="00AB0E63">
              <w:rPr>
                <w:rFonts w:ascii="Verdana" w:hAnsi="Verdana"/>
              </w:rPr>
              <w:t xml:space="preserve"> The date the Grace Period record was modified, typically when the status is changed to inactive.</w:t>
            </w:r>
          </w:p>
        </w:tc>
      </w:tr>
      <w:tr w:rsidR="009346C9" w:rsidRPr="00EE7D52" w14:paraId="0DB4CE4F" w14:textId="77777777" w:rsidTr="001310A1">
        <w:tc>
          <w:tcPr>
            <w:tcW w:w="845" w:type="pct"/>
          </w:tcPr>
          <w:p w14:paraId="08BF1894" w14:textId="77777777" w:rsidR="00700B82" w:rsidRPr="00EE7D52" w:rsidRDefault="003C6F63" w:rsidP="0037394E">
            <w:pPr>
              <w:spacing w:before="120" w:after="120"/>
              <w:rPr>
                <w:rFonts w:ascii="Verdana" w:hAnsi="Verdana"/>
              </w:rPr>
            </w:pPr>
            <w:r w:rsidRPr="00EE7D52">
              <w:rPr>
                <w:rFonts w:ascii="Verdana" w:hAnsi="Verdana"/>
              </w:rPr>
              <w:t xml:space="preserve">Determine which </w:t>
            </w:r>
            <w:r w:rsidR="00841AB1" w:rsidRPr="00EE7D52">
              <w:rPr>
                <w:rFonts w:ascii="Verdana" w:hAnsi="Verdana"/>
              </w:rPr>
              <w:t>Grace Period Claim Payment Option</w:t>
            </w:r>
            <w:r w:rsidR="00841AB1" w:rsidRPr="00EE7D52">
              <w:rPr>
                <w:rFonts w:ascii="Verdana" w:hAnsi="Verdana"/>
                <w:b/>
              </w:rPr>
              <w:t xml:space="preserve"> </w:t>
            </w:r>
            <w:r w:rsidR="00841AB1" w:rsidRPr="00EE7D52">
              <w:rPr>
                <w:rFonts w:ascii="Verdana" w:hAnsi="Verdana"/>
              </w:rPr>
              <w:t>the plan has chosen</w:t>
            </w:r>
          </w:p>
        </w:tc>
        <w:tc>
          <w:tcPr>
            <w:tcW w:w="4155" w:type="pct"/>
          </w:tcPr>
          <w:p w14:paraId="261E9BDE" w14:textId="225D52A9" w:rsidR="009865F4" w:rsidRPr="00EE7D52" w:rsidRDefault="00CF6844" w:rsidP="0037394E">
            <w:pPr>
              <w:spacing w:before="120" w:after="120"/>
              <w:rPr>
                <w:rFonts w:ascii="Verdana" w:hAnsi="Verdana"/>
              </w:rPr>
            </w:pPr>
            <w:r>
              <w:rPr>
                <w:rFonts w:ascii="Verdana" w:hAnsi="Verdana"/>
              </w:rPr>
              <w:t xml:space="preserve">From the </w:t>
            </w:r>
            <w:r w:rsidR="00A801D6">
              <w:rPr>
                <w:rFonts w:ascii="Verdana" w:hAnsi="Verdana"/>
              </w:rPr>
              <w:t>Member Snapshot</w:t>
            </w:r>
            <w:r>
              <w:rPr>
                <w:rFonts w:ascii="Verdana" w:hAnsi="Verdana"/>
              </w:rPr>
              <w:t xml:space="preserve"> Landing page, </w:t>
            </w:r>
            <w:r w:rsidR="00C20ED7">
              <w:rPr>
                <w:rFonts w:ascii="Verdana" w:hAnsi="Verdana"/>
              </w:rPr>
              <w:t xml:space="preserve">navigate to the Member Details panel </w:t>
            </w:r>
            <w:r w:rsidR="008C5410">
              <w:rPr>
                <w:rFonts w:ascii="Verdana" w:hAnsi="Verdana"/>
              </w:rPr>
              <w:t>to confirm whether or not the member is in the Grace Period.</w:t>
            </w:r>
            <w:r w:rsidR="00801F7E">
              <w:rPr>
                <w:rFonts w:ascii="Verdana" w:hAnsi="Verdana"/>
              </w:rPr>
              <w:t xml:space="preserve"> The tool tip will identify which option the plan has chosen:</w:t>
            </w:r>
          </w:p>
          <w:p w14:paraId="7F4E4CAA" w14:textId="6831FA4F" w:rsidR="007248C1" w:rsidRPr="00EE7D52" w:rsidRDefault="007248C1" w:rsidP="0037394E">
            <w:pPr>
              <w:numPr>
                <w:ilvl w:val="0"/>
                <w:numId w:val="19"/>
              </w:numPr>
              <w:spacing w:before="120" w:after="120"/>
              <w:rPr>
                <w:rFonts w:ascii="Verdana" w:hAnsi="Verdana"/>
              </w:rPr>
            </w:pPr>
            <w:r w:rsidRPr="00EE7D52">
              <w:rPr>
                <w:rFonts w:ascii="Verdana" w:hAnsi="Verdana"/>
              </w:rPr>
              <w:t xml:space="preserve">1 - Member pays standard copays up to 3 </w:t>
            </w:r>
            <w:r w:rsidR="004B7A9A">
              <w:rPr>
                <w:rFonts w:ascii="Verdana" w:hAnsi="Verdana"/>
              </w:rPr>
              <w:t xml:space="preserve">(three) </w:t>
            </w:r>
            <w:r w:rsidRPr="00EE7D52">
              <w:rPr>
                <w:rFonts w:ascii="Verdana" w:hAnsi="Verdana"/>
              </w:rPr>
              <w:t>months during the Grace Period</w:t>
            </w:r>
          </w:p>
          <w:p w14:paraId="79E01EB9" w14:textId="77777777" w:rsidR="007248C1" w:rsidRPr="00EE7D52" w:rsidRDefault="007248C1" w:rsidP="0037394E">
            <w:pPr>
              <w:numPr>
                <w:ilvl w:val="0"/>
                <w:numId w:val="19"/>
              </w:numPr>
              <w:spacing w:before="120" w:after="120"/>
              <w:rPr>
                <w:rFonts w:ascii="Verdana" w:hAnsi="Verdana"/>
              </w:rPr>
            </w:pPr>
            <w:r w:rsidRPr="00EE7D52">
              <w:rPr>
                <w:rFonts w:ascii="Verdana" w:hAnsi="Verdana"/>
              </w:rPr>
              <w:t>2 - Member starts paying 100% based on Grace Period effective date</w:t>
            </w:r>
          </w:p>
          <w:p w14:paraId="7D4A0C7E" w14:textId="412AE1EE" w:rsidR="00841AB1" w:rsidRDefault="00E316AE" w:rsidP="00AB0E63">
            <w:pPr>
              <w:spacing w:before="120" w:after="120"/>
              <w:jc w:val="center"/>
              <w:rPr>
                <w:rFonts w:ascii="Verdana" w:hAnsi="Verdana"/>
              </w:rPr>
            </w:pPr>
            <w:r>
              <w:rPr>
                <w:noProof/>
              </w:rPr>
              <w:drawing>
                <wp:inline distT="0" distB="0" distL="0" distR="0" wp14:anchorId="6B0D0E38" wp14:editId="7B6763C7">
                  <wp:extent cx="3951798" cy="40389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6459" cy="4043676"/>
                          </a:xfrm>
                          <a:prstGeom prst="rect">
                            <a:avLst/>
                          </a:prstGeom>
                        </pic:spPr>
                      </pic:pic>
                    </a:graphicData>
                  </a:graphic>
                </wp:inline>
              </w:drawing>
            </w:r>
            <w:r w:rsidR="00077C20" w:rsidRPr="00584CED" w:rsidDel="007E1365">
              <w:rPr>
                <w:noProof/>
              </w:rPr>
              <w:t xml:space="preserve"> </w:t>
            </w:r>
          </w:p>
          <w:p w14:paraId="2607A0E9" w14:textId="35C73704" w:rsidR="007E1365" w:rsidRPr="00EE7D52" w:rsidRDefault="007E1365" w:rsidP="00AB0E63">
            <w:pPr>
              <w:spacing w:before="120" w:after="120"/>
              <w:jc w:val="center"/>
              <w:rPr>
                <w:rFonts w:ascii="Verdana" w:hAnsi="Verdana"/>
              </w:rPr>
            </w:pPr>
          </w:p>
        </w:tc>
      </w:tr>
      <w:tr w:rsidR="009346C9" w:rsidRPr="00EE7D52" w14:paraId="7A1B6D66" w14:textId="77777777" w:rsidTr="001310A1">
        <w:tc>
          <w:tcPr>
            <w:tcW w:w="845" w:type="pct"/>
          </w:tcPr>
          <w:p w14:paraId="6C5B60FF" w14:textId="77777777" w:rsidR="00841AB1" w:rsidRPr="00EE7D52" w:rsidRDefault="00841AB1" w:rsidP="0037394E">
            <w:pPr>
              <w:spacing w:before="120" w:after="120"/>
              <w:rPr>
                <w:rFonts w:ascii="Verdana" w:hAnsi="Verdana"/>
              </w:rPr>
            </w:pPr>
            <w:bookmarkStart w:id="17" w:name="OLE_LINK2"/>
            <w:r w:rsidRPr="00EE7D52">
              <w:rPr>
                <w:rFonts w:ascii="Verdana" w:hAnsi="Verdana"/>
              </w:rPr>
              <w:t>Understand how the Grace Period impacts a member’s pharmacy claims</w:t>
            </w:r>
            <w:bookmarkEnd w:id="17"/>
          </w:p>
        </w:tc>
        <w:tc>
          <w:tcPr>
            <w:tcW w:w="4155" w:type="pct"/>
          </w:tcPr>
          <w:p w14:paraId="08A50E9A" w14:textId="77777777" w:rsidR="00864335" w:rsidRPr="00EE7D52" w:rsidRDefault="00864335" w:rsidP="0037394E">
            <w:pPr>
              <w:spacing w:before="120" w:after="120"/>
              <w:rPr>
                <w:rFonts w:ascii="Verdana" w:hAnsi="Verdana"/>
              </w:rPr>
            </w:pPr>
            <w:r w:rsidRPr="00EE7D52">
              <w:rPr>
                <w:rFonts w:ascii="Verdana" w:hAnsi="Verdana"/>
              </w:rPr>
              <w:t>The following describes the typical order of events for a claim processed while in the Grace Period.</w:t>
            </w:r>
          </w:p>
          <w:p w14:paraId="3F2DD614" w14:textId="620E0AEA" w:rsidR="00841AB1" w:rsidRPr="00EE7D52" w:rsidRDefault="00C733D3" w:rsidP="005D6436">
            <w:pPr>
              <w:numPr>
                <w:ilvl w:val="0"/>
                <w:numId w:val="34"/>
              </w:numPr>
              <w:spacing w:before="120" w:after="120"/>
              <w:rPr>
                <w:rFonts w:ascii="Verdana" w:hAnsi="Verdana"/>
              </w:rPr>
            </w:pPr>
            <w:r>
              <w:rPr>
                <w:rFonts w:ascii="Verdana" w:hAnsi="Verdana"/>
              </w:rPr>
              <w:t xml:space="preserve">The client notifies </w:t>
            </w:r>
            <w:r w:rsidR="0019785F">
              <w:rPr>
                <w:rFonts w:ascii="Verdana" w:hAnsi="Verdana"/>
              </w:rPr>
              <w:t>the PBM</w:t>
            </w:r>
            <w:r w:rsidR="00841AB1" w:rsidRPr="00EE7D52">
              <w:rPr>
                <w:rFonts w:ascii="Verdana" w:hAnsi="Verdana"/>
              </w:rPr>
              <w:t xml:space="preserve"> the member is in the Grace Period.</w:t>
            </w:r>
          </w:p>
          <w:p w14:paraId="5C7A9694" w14:textId="3CD94DC1" w:rsidR="00841AB1" w:rsidRDefault="0019785F" w:rsidP="005D6436">
            <w:pPr>
              <w:numPr>
                <w:ilvl w:val="0"/>
                <w:numId w:val="34"/>
              </w:numPr>
              <w:spacing w:before="120" w:after="120"/>
              <w:rPr>
                <w:rFonts w:ascii="Verdana" w:hAnsi="Verdana"/>
              </w:rPr>
            </w:pPr>
            <w:r>
              <w:rPr>
                <w:rFonts w:ascii="Verdana" w:hAnsi="Verdana"/>
              </w:rPr>
              <w:t>The PBM</w:t>
            </w:r>
            <w:r w:rsidR="00841AB1" w:rsidRPr="00EE7D52">
              <w:rPr>
                <w:rFonts w:ascii="Verdana" w:hAnsi="Verdana"/>
              </w:rPr>
              <w:t xml:space="preserve"> change</w:t>
            </w:r>
            <w:r>
              <w:rPr>
                <w:rFonts w:ascii="Verdana" w:hAnsi="Verdana"/>
              </w:rPr>
              <w:t>s</w:t>
            </w:r>
            <w:r w:rsidR="00841AB1" w:rsidRPr="00EE7D52">
              <w:rPr>
                <w:rFonts w:ascii="Verdana" w:hAnsi="Verdana"/>
              </w:rPr>
              <w:t xml:space="preserve"> the member’s Grace Period </w:t>
            </w:r>
            <w:r w:rsidR="009B0837">
              <w:rPr>
                <w:rFonts w:ascii="Verdana" w:hAnsi="Verdana"/>
              </w:rPr>
              <w:t>s</w:t>
            </w:r>
            <w:r w:rsidR="00841AB1" w:rsidRPr="00EE7D52">
              <w:rPr>
                <w:rFonts w:ascii="Verdana" w:hAnsi="Verdana"/>
              </w:rPr>
              <w:t xml:space="preserve">tatus indicator </w:t>
            </w:r>
            <w:r>
              <w:rPr>
                <w:rFonts w:ascii="Verdana" w:hAnsi="Verdana"/>
              </w:rPr>
              <w:t>o</w:t>
            </w:r>
            <w:r w:rsidR="00841AB1" w:rsidRPr="00EE7D52">
              <w:rPr>
                <w:rFonts w:ascii="Verdana" w:hAnsi="Verdana"/>
              </w:rPr>
              <w:t xml:space="preserve">n the </w:t>
            </w:r>
            <w:r>
              <w:rPr>
                <w:rFonts w:ascii="Verdana" w:hAnsi="Verdana"/>
              </w:rPr>
              <w:t>Claim Details tab in the General subtab</w:t>
            </w:r>
            <w:r w:rsidR="00841AB1" w:rsidRPr="00EE7D52">
              <w:rPr>
                <w:rFonts w:ascii="Verdana" w:hAnsi="Verdana"/>
              </w:rPr>
              <w:t xml:space="preserve"> to ‘</w:t>
            </w:r>
            <w:r>
              <w:rPr>
                <w:rFonts w:ascii="Verdana" w:hAnsi="Verdana"/>
              </w:rPr>
              <w:t>Y</w:t>
            </w:r>
            <w:r w:rsidR="00841AB1" w:rsidRPr="00EE7D52">
              <w:rPr>
                <w:rFonts w:ascii="Verdana" w:hAnsi="Verdana"/>
              </w:rPr>
              <w:t>’ to indicate the member is actively in the Grace Period.</w:t>
            </w:r>
          </w:p>
          <w:p w14:paraId="40CE4689" w14:textId="34D1C9E4" w:rsidR="00077C20" w:rsidRDefault="00077C20" w:rsidP="00077C20">
            <w:pPr>
              <w:spacing w:before="120" w:after="120"/>
              <w:jc w:val="center"/>
              <w:rPr>
                <w:rFonts w:ascii="Verdana" w:hAnsi="Verdana"/>
              </w:rPr>
            </w:pPr>
            <w:r>
              <w:rPr>
                <w:noProof/>
              </w:rPr>
              <w:drawing>
                <wp:inline distT="0" distB="0" distL="0" distR="0" wp14:anchorId="6F3AF882" wp14:editId="6D735921">
                  <wp:extent cx="7315200" cy="3211294"/>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315200" cy="3211294"/>
                          </a:xfrm>
                          <a:prstGeom prst="rect">
                            <a:avLst/>
                          </a:prstGeom>
                        </pic:spPr>
                      </pic:pic>
                    </a:graphicData>
                  </a:graphic>
                </wp:inline>
              </w:drawing>
            </w:r>
          </w:p>
          <w:p w14:paraId="5DD6D6F1" w14:textId="77777777" w:rsidR="004B7A9A" w:rsidRPr="00EE7D52" w:rsidRDefault="004B7A9A" w:rsidP="00077C20">
            <w:pPr>
              <w:spacing w:before="120" w:after="120"/>
              <w:jc w:val="center"/>
              <w:rPr>
                <w:rFonts w:ascii="Verdana" w:hAnsi="Verdana"/>
              </w:rPr>
            </w:pPr>
          </w:p>
          <w:p w14:paraId="65EF9962" w14:textId="77777777" w:rsidR="00841AB1" w:rsidRPr="00EE7D52" w:rsidRDefault="00FA7FD5" w:rsidP="005D6436">
            <w:pPr>
              <w:numPr>
                <w:ilvl w:val="0"/>
                <w:numId w:val="34"/>
              </w:numPr>
              <w:spacing w:before="120" w:after="120"/>
              <w:rPr>
                <w:rFonts w:ascii="Verdana" w:hAnsi="Verdana"/>
              </w:rPr>
            </w:pPr>
            <w:r w:rsidRPr="00EE7D52">
              <w:rPr>
                <w:rFonts w:ascii="Verdana" w:hAnsi="Verdana"/>
              </w:rPr>
              <w:t>T</w:t>
            </w:r>
            <w:r w:rsidR="00841AB1" w:rsidRPr="00EE7D52">
              <w:rPr>
                <w:rFonts w:ascii="Verdana" w:hAnsi="Verdana"/>
              </w:rPr>
              <w:t>he member takes a prescription to the local pharmacy while in month two of the Grace Period to obtain a fill.</w:t>
            </w:r>
          </w:p>
          <w:p w14:paraId="33DC3AD7" w14:textId="735EF82B" w:rsidR="00841AB1" w:rsidRPr="00EE7D52" w:rsidRDefault="00FA7FD5" w:rsidP="005D6436">
            <w:pPr>
              <w:numPr>
                <w:ilvl w:val="0"/>
                <w:numId w:val="34"/>
              </w:numPr>
              <w:spacing w:before="120" w:after="120"/>
              <w:rPr>
                <w:rFonts w:ascii="Verdana" w:hAnsi="Verdana"/>
              </w:rPr>
            </w:pPr>
            <w:r w:rsidRPr="00EE7D52">
              <w:rPr>
                <w:rFonts w:ascii="Verdana" w:hAnsi="Verdana"/>
              </w:rPr>
              <w:t>T</w:t>
            </w:r>
            <w:r w:rsidR="00841AB1" w:rsidRPr="00EE7D52">
              <w:rPr>
                <w:rFonts w:ascii="Verdana" w:hAnsi="Verdana"/>
              </w:rPr>
              <w:t xml:space="preserve">he pharmacy adjudicates the claim towards the member’s Marketplace </w:t>
            </w:r>
            <w:r w:rsidR="003E034D" w:rsidRPr="00EE7D52">
              <w:rPr>
                <w:rFonts w:ascii="Verdana" w:hAnsi="Verdana"/>
              </w:rPr>
              <w:t>plan.</w:t>
            </w:r>
          </w:p>
          <w:p w14:paraId="22CA15B6" w14:textId="276CD7EE" w:rsidR="00841AB1" w:rsidRPr="00EE7D52" w:rsidRDefault="00841AB1" w:rsidP="005D6436">
            <w:pPr>
              <w:numPr>
                <w:ilvl w:val="0"/>
                <w:numId w:val="34"/>
              </w:numPr>
              <w:spacing w:before="120" w:after="120"/>
              <w:rPr>
                <w:rFonts w:ascii="Verdana" w:hAnsi="Verdana"/>
              </w:rPr>
            </w:pPr>
            <w:r w:rsidRPr="00EE7D52">
              <w:rPr>
                <w:rFonts w:ascii="Verdana" w:hAnsi="Verdana"/>
              </w:rPr>
              <w:t xml:space="preserve">The claim adjudicates according to </w:t>
            </w:r>
            <w:r w:rsidR="00DF4B71" w:rsidRPr="00EE7D52">
              <w:rPr>
                <w:rFonts w:ascii="Verdana" w:hAnsi="Verdana"/>
              </w:rPr>
              <w:t>the normal</w:t>
            </w:r>
            <w:r w:rsidRPr="00EE7D52">
              <w:rPr>
                <w:rFonts w:ascii="Verdana" w:hAnsi="Verdana"/>
              </w:rPr>
              <w:t xml:space="preserve"> plan </w:t>
            </w:r>
            <w:r w:rsidR="00A441C5" w:rsidRPr="00EE7D52">
              <w:rPr>
                <w:rFonts w:ascii="Verdana" w:hAnsi="Verdana"/>
              </w:rPr>
              <w:t>set up</w:t>
            </w:r>
            <w:r w:rsidRPr="00EE7D52">
              <w:rPr>
                <w:rFonts w:ascii="Verdana" w:hAnsi="Verdana"/>
              </w:rPr>
              <w:t xml:space="preserve"> for Grace Period Option 1 or at 100% of the cost for Option 2.  The way claims pay during Grace Period months 2 and 3 depends on the Grace Period option the plan chose.</w:t>
            </w:r>
          </w:p>
          <w:p w14:paraId="3DAFA529" w14:textId="77777777" w:rsidR="0001044D" w:rsidRPr="00EE7D52" w:rsidRDefault="0001044D" w:rsidP="0037394E">
            <w:pPr>
              <w:spacing w:before="120" w:after="120"/>
              <w:rPr>
                <w:rFonts w:ascii="Verdana" w:hAnsi="Verdana"/>
              </w:rPr>
            </w:pPr>
          </w:p>
          <w:p w14:paraId="165FD8A9" w14:textId="40780B05" w:rsidR="0001044D" w:rsidRPr="00EE7D52" w:rsidRDefault="0001044D" w:rsidP="0037394E">
            <w:pPr>
              <w:spacing w:before="120" w:after="120"/>
              <w:rPr>
                <w:rFonts w:ascii="Verdana" w:hAnsi="Verdana"/>
              </w:rPr>
            </w:pPr>
            <w:r w:rsidRPr="00EE7D52">
              <w:rPr>
                <w:rFonts w:ascii="Verdana" w:hAnsi="Verdana"/>
              </w:rPr>
              <w:t xml:space="preserve">The </w:t>
            </w:r>
            <w:r w:rsidRPr="00AB0E63">
              <w:rPr>
                <w:rFonts w:ascii="Verdana" w:hAnsi="Verdana"/>
                <w:bCs/>
              </w:rPr>
              <w:t xml:space="preserve">Grace Period </w:t>
            </w:r>
            <w:r w:rsidR="003B59D8">
              <w:rPr>
                <w:rFonts w:ascii="Verdana" w:hAnsi="Verdana"/>
                <w:bCs/>
              </w:rPr>
              <w:t>Additional Messages</w:t>
            </w:r>
            <w:r w:rsidRPr="00AB0E63">
              <w:rPr>
                <w:rFonts w:ascii="Verdana" w:hAnsi="Verdana"/>
                <w:bCs/>
              </w:rPr>
              <w:t xml:space="preserve"> </w:t>
            </w:r>
            <w:r w:rsidR="008669F0" w:rsidRPr="00AB0E63">
              <w:rPr>
                <w:rFonts w:ascii="Verdana" w:hAnsi="Verdana"/>
                <w:bCs/>
              </w:rPr>
              <w:t>displa</w:t>
            </w:r>
            <w:r w:rsidR="00AB0E63">
              <w:rPr>
                <w:rFonts w:ascii="Verdana" w:hAnsi="Verdana"/>
                <w:bCs/>
              </w:rPr>
              <w:t>y</w:t>
            </w:r>
            <w:r w:rsidR="00AB0E63" w:rsidRPr="00AB0E63">
              <w:rPr>
                <w:rFonts w:ascii="Verdana" w:hAnsi="Verdana"/>
                <w:bCs/>
              </w:rPr>
              <w:t>s</w:t>
            </w:r>
            <w:r w:rsidR="008669F0" w:rsidRPr="00AB0E63">
              <w:rPr>
                <w:rFonts w:ascii="Verdana" w:hAnsi="Verdana"/>
                <w:bCs/>
              </w:rPr>
              <w:t xml:space="preserve"> </w:t>
            </w:r>
            <w:r w:rsidRPr="00AB0E63">
              <w:rPr>
                <w:rFonts w:ascii="Verdana" w:hAnsi="Verdana"/>
                <w:bCs/>
              </w:rPr>
              <w:t xml:space="preserve">on the </w:t>
            </w:r>
            <w:r w:rsidR="003B59D8">
              <w:rPr>
                <w:rFonts w:ascii="Verdana" w:hAnsi="Verdana"/>
                <w:b/>
              </w:rPr>
              <w:t>Claim</w:t>
            </w:r>
            <w:r w:rsidR="003B59D8" w:rsidRPr="00F14C1A">
              <w:rPr>
                <w:rFonts w:ascii="Verdana" w:hAnsi="Verdana"/>
                <w:b/>
              </w:rPr>
              <w:t xml:space="preserve"> </w:t>
            </w:r>
            <w:r w:rsidRPr="00F14C1A">
              <w:rPr>
                <w:rFonts w:ascii="Verdana" w:hAnsi="Verdana"/>
                <w:b/>
              </w:rPr>
              <w:t>Detail</w:t>
            </w:r>
            <w:r w:rsidR="008669F0" w:rsidRPr="00F14C1A">
              <w:rPr>
                <w:rFonts w:ascii="Verdana" w:hAnsi="Verdana"/>
                <w:b/>
              </w:rPr>
              <w:t>s</w:t>
            </w:r>
            <w:r w:rsidRPr="00AB0E63">
              <w:rPr>
                <w:rFonts w:ascii="Verdana" w:hAnsi="Verdana"/>
                <w:bCs/>
              </w:rPr>
              <w:t xml:space="preserve"> </w:t>
            </w:r>
            <w:r w:rsidR="006043B1">
              <w:rPr>
                <w:rFonts w:ascii="Verdana" w:hAnsi="Verdana"/>
                <w:bCs/>
              </w:rPr>
              <w:t>tab in the Messaging subtab</w:t>
            </w:r>
            <w:r w:rsidRPr="00AB0E63">
              <w:rPr>
                <w:rFonts w:ascii="Verdana" w:hAnsi="Verdana"/>
                <w:bCs/>
              </w:rPr>
              <w:t xml:space="preserve"> </w:t>
            </w:r>
            <w:r w:rsidR="008669F0" w:rsidRPr="00AB0E63">
              <w:rPr>
                <w:rFonts w:ascii="Verdana" w:hAnsi="Verdana"/>
                <w:bCs/>
              </w:rPr>
              <w:t>and the Test Claim Results f</w:t>
            </w:r>
            <w:r w:rsidR="008669F0" w:rsidRPr="00EE7D52">
              <w:rPr>
                <w:rFonts w:ascii="Verdana" w:hAnsi="Verdana"/>
              </w:rPr>
              <w:t xml:space="preserve">or both </w:t>
            </w:r>
            <w:r w:rsidR="00AB0E63">
              <w:rPr>
                <w:rFonts w:ascii="Verdana" w:hAnsi="Verdana"/>
              </w:rPr>
              <w:t>Mail Order</w:t>
            </w:r>
            <w:r w:rsidR="008669F0" w:rsidRPr="00EE7D52">
              <w:rPr>
                <w:rFonts w:ascii="Verdana" w:hAnsi="Verdana"/>
              </w:rPr>
              <w:t xml:space="preserve"> and POS:</w:t>
            </w:r>
          </w:p>
          <w:p w14:paraId="760778CC" w14:textId="6F13D7B6" w:rsidR="0001044D" w:rsidRPr="00EE7D52" w:rsidRDefault="0001044D" w:rsidP="00AB0E63">
            <w:pPr>
              <w:numPr>
                <w:ilvl w:val="0"/>
                <w:numId w:val="20"/>
              </w:numPr>
              <w:spacing w:before="120" w:after="120"/>
              <w:ind w:left="354"/>
              <w:rPr>
                <w:rFonts w:ascii="Verdana" w:hAnsi="Verdana"/>
              </w:rPr>
            </w:pPr>
            <w:r w:rsidRPr="00EE7D52">
              <w:rPr>
                <w:rFonts w:ascii="Verdana" w:hAnsi="Verdana"/>
                <w:b/>
              </w:rPr>
              <w:t>100% Patient Coinsurance (GPC) – Patient should contact Health Insurance Plan with questions</w:t>
            </w:r>
            <w:r w:rsidR="00153790">
              <w:rPr>
                <w:rFonts w:ascii="Verdana" w:hAnsi="Verdana"/>
                <w:b/>
              </w:rPr>
              <w:t>.</w:t>
            </w:r>
          </w:p>
          <w:p w14:paraId="5D5BED75" w14:textId="77777777" w:rsidR="00CD70FB" w:rsidRDefault="00CD70FB" w:rsidP="0037394E">
            <w:pPr>
              <w:spacing w:before="120" w:after="120"/>
              <w:jc w:val="center"/>
              <w:rPr>
                <w:rFonts w:ascii="Verdana" w:hAnsi="Verdana"/>
              </w:rPr>
            </w:pPr>
          </w:p>
          <w:p w14:paraId="6275F7E2" w14:textId="63108821" w:rsidR="00CD70FB" w:rsidRPr="002A17E8" w:rsidRDefault="004F12C6" w:rsidP="002A17E8">
            <w:pPr>
              <w:spacing w:before="120"/>
              <w:jc w:val="center"/>
              <w:rPr>
                <w:rFonts w:ascii="Verdana" w:hAnsi="Verdana"/>
                <w:b/>
                <w:bCs/>
              </w:rPr>
            </w:pPr>
            <w:r w:rsidRPr="002A17E8">
              <w:rPr>
                <w:rFonts w:ascii="Verdana" w:hAnsi="Verdana"/>
                <w:b/>
                <w:bCs/>
              </w:rPr>
              <w:t>Claim Details, Messaging subtab</w:t>
            </w:r>
          </w:p>
          <w:p w14:paraId="17B22D29" w14:textId="7A786230" w:rsidR="0001044D" w:rsidRDefault="007B21C3" w:rsidP="002A17E8">
            <w:pPr>
              <w:spacing w:after="120"/>
              <w:jc w:val="center"/>
              <w:rPr>
                <w:rFonts w:ascii="Verdana" w:hAnsi="Verdana"/>
              </w:rPr>
            </w:pPr>
            <w:r>
              <w:rPr>
                <w:noProof/>
              </w:rPr>
              <w:drawing>
                <wp:inline distT="0" distB="0" distL="0" distR="0" wp14:anchorId="7582A7BD" wp14:editId="7A497FB1">
                  <wp:extent cx="9016779" cy="2656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053576" cy="2667046"/>
                          </a:xfrm>
                          <a:prstGeom prst="rect">
                            <a:avLst/>
                          </a:prstGeom>
                        </pic:spPr>
                      </pic:pic>
                    </a:graphicData>
                  </a:graphic>
                </wp:inline>
              </w:drawing>
            </w:r>
          </w:p>
          <w:p w14:paraId="35552A2E" w14:textId="77777777" w:rsidR="00F14C1A" w:rsidRDefault="00F14C1A" w:rsidP="0037394E">
            <w:pPr>
              <w:spacing w:before="120" w:after="120"/>
              <w:jc w:val="center"/>
              <w:rPr>
                <w:rFonts w:ascii="Verdana" w:hAnsi="Verdana"/>
              </w:rPr>
            </w:pPr>
          </w:p>
          <w:p w14:paraId="4D4B6981" w14:textId="2BCD5B4D" w:rsidR="00761B6B" w:rsidRPr="002A17E8" w:rsidRDefault="00761B6B" w:rsidP="002A17E8">
            <w:pPr>
              <w:spacing w:before="120"/>
              <w:jc w:val="center"/>
              <w:rPr>
                <w:rFonts w:ascii="Verdana" w:hAnsi="Verdana"/>
                <w:b/>
                <w:bCs/>
              </w:rPr>
            </w:pPr>
            <w:r w:rsidRPr="002A17E8">
              <w:rPr>
                <w:rFonts w:ascii="Verdana" w:hAnsi="Verdana"/>
                <w:b/>
                <w:bCs/>
              </w:rPr>
              <w:t>Test Claim</w:t>
            </w:r>
          </w:p>
          <w:p w14:paraId="1ADD30D3" w14:textId="307187A3" w:rsidR="0001044D" w:rsidRDefault="00390C36" w:rsidP="002A17E8">
            <w:pPr>
              <w:spacing w:after="120"/>
              <w:jc w:val="center"/>
              <w:rPr>
                <w:rFonts w:ascii="Verdana" w:hAnsi="Verdana"/>
              </w:rPr>
            </w:pPr>
            <w:r>
              <w:rPr>
                <w:noProof/>
              </w:rPr>
              <w:drawing>
                <wp:inline distT="0" distB="0" distL="0" distR="0" wp14:anchorId="0E6D34C3" wp14:editId="673CA949">
                  <wp:extent cx="7093757" cy="2139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00762" cy="2142063"/>
                          </a:xfrm>
                          <a:prstGeom prst="rect">
                            <a:avLst/>
                          </a:prstGeom>
                        </pic:spPr>
                      </pic:pic>
                    </a:graphicData>
                  </a:graphic>
                </wp:inline>
              </w:drawing>
            </w:r>
          </w:p>
          <w:p w14:paraId="4C59582F" w14:textId="23B4E0AC" w:rsidR="00F14C1A" w:rsidRDefault="00F14C1A" w:rsidP="00184DFB">
            <w:pPr>
              <w:spacing w:before="120" w:after="120"/>
              <w:jc w:val="center"/>
              <w:rPr>
                <w:rFonts w:ascii="Verdana" w:hAnsi="Verdana"/>
              </w:rPr>
            </w:pPr>
          </w:p>
          <w:p w14:paraId="297B4BE6" w14:textId="13947693" w:rsidR="00301820" w:rsidRPr="00135DDA" w:rsidRDefault="00135DDA" w:rsidP="00135DDA">
            <w:pPr>
              <w:spacing w:before="120" w:after="120"/>
              <w:rPr>
                <w:rFonts w:ascii="Verdana" w:hAnsi="Verdana"/>
              </w:rPr>
            </w:pPr>
            <w:bookmarkStart w:id="18" w:name="OLE_LINK87"/>
            <w:r w:rsidRPr="00135DDA">
              <w:rPr>
                <w:rFonts w:ascii="Verdana" w:hAnsi="Verdana"/>
                <w:b/>
                <w:bCs/>
              </w:rPr>
              <w:t>Note:</w:t>
            </w:r>
            <w:r>
              <w:rPr>
                <w:rFonts w:ascii="Verdana" w:hAnsi="Verdana"/>
              </w:rPr>
              <w:t xml:space="preserve">  </w:t>
            </w:r>
            <w:r w:rsidR="47DFDE5F" w:rsidRPr="00135DDA">
              <w:rPr>
                <w:rFonts w:ascii="Verdana" w:hAnsi="Verdana"/>
              </w:rPr>
              <w:t>Once out of the grace period (after member pays their plan premium),</w:t>
            </w:r>
            <w:bookmarkEnd w:id="18"/>
            <w:r w:rsidR="47DFDE5F" w:rsidRPr="00135DDA">
              <w:rPr>
                <w:rFonts w:ascii="Verdana" w:hAnsi="Verdana"/>
              </w:rPr>
              <w:t xml:space="preserve"> the health insurance plan send</w:t>
            </w:r>
            <w:r w:rsidR="00153790" w:rsidRPr="00135DDA">
              <w:rPr>
                <w:rFonts w:ascii="Verdana" w:hAnsi="Verdana"/>
              </w:rPr>
              <w:t>s</w:t>
            </w:r>
            <w:r w:rsidR="47DFDE5F" w:rsidRPr="00135DDA">
              <w:rPr>
                <w:rFonts w:ascii="Verdana" w:hAnsi="Verdana"/>
              </w:rPr>
              <w:t xml:space="preserve"> an eligibility update to remove the grace period.</w:t>
            </w:r>
            <w:r w:rsidR="46684BFB" w:rsidRPr="00135DDA">
              <w:rPr>
                <w:rFonts w:ascii="Verdana" w:hAnsi="Verdana"/>
              </w:rPr>
              <w:t xml:space="preserve"> </w:t>
            </w:r>
            <w:r w:rsidR="5B0F6EA9" w:rsidRPr="00135DDA">
              <w:rPr>
                <w:rFonts w:ascii="Verdana" w:hAnsi="Verdana"/>
              </w:rPr>
              <w:t>Claims begin</w:t>
            </w:r>
            <w:r w:rsidR="3C104A74" w:rsidRPr="00135DDA">
              <w:rPr>
                <w:rFonts w:ascii="Verdana" w:hAnsi="Verdana"/>
              </w:rPr>
              <w:t xml:space="preserve"> to pay according to normal plan</w:t>
            </w:r>
            <w:r w:rsidR="01BE261E" w:rsidRPr="00135DDA">
              <w:rPr>
                <w:rFonts w:ascii="Verdana" w:hAnsi="Verdana"/>
              </w:rPr>
              <w:t xml:space="preserve"> setup</w:t>
            </w:r>
            <w:r w:rsidR="3FE5EB07" w:rsidRPr="00135DDA">
              <w:rPr>
                <w:rFonts w:ascii="Verdana" w:hAnsi="Verdana"/>
              </w:rPr>
              <w:t xml:space="preserve">. </w:t>
            </w:r>
            <w:r w:rsidR="47DFDE5F" w:rsidRPr="00135DDA">
              <w:rPr>
                <w:rFonts w:ascii="Verdana" w:hAnsi="Verdana"/>
              </w:rPr>
              <w:t xml:space="preserve">Eligibility updates do not have a set turnaround time due to each plan having different internal time frames for sending the eligibility file. </w:t>
            </w:r>
            <w:r w:rsidR="24225B75" w:rsidRPr="00135DDA">
              <w:rPr>
                <w:rFonts w:ascii="Verdana" w:hAnsi="Verdana"/>
              </w:rPr>
              <w:t>Members</w:t>
            </w:r>
            <w:r w:rsidR="47DFDE5F" w:rsidRPr="00135DDA">
              <w:rPr>
                <w:rFonts w:ascii="Verdana" w:hAnsi="Verdana"/>
              </w:rPr>
              <w:t xml:space="preserve"> should contact health insurance plan with any questions.</w:t>
            </w:r>
          </w:p>
        </w:tc>
      </w:tr>
      <w:tr w:rsidR="009346C9" w:rsidRPr="00EE7D52" w14:paraId="7E18614A" w14:textId="77777777" w:rsidTr="001310A1">
        <w:tc>
          <w:tcPr>
            <w:tcW w:w="845" w:type="pct"/>
          </w:tcPr>
          <w:p w14:paraId="0940E0C3" w14:textId="77777777" w:rsidR="00B37F52" w:rsidRPr="00EE7D52" w:rsidRDefault="00B37F52" w:rsidP="0037394E">
            <w:pPr>
              <w:spacing w:before="120" w:after="120"/>
              <w:rPr>
                <w:rFonts w:ascii="Verdana" w:hAnsi="Verdana"/>
              </w:rPr>
            </w:pPr>
            <w:r w:rsidRPr="00EE7D52">
              <w:rPr>
                <w:rFonts w:ascii="Verdana" w:hAnsi="Verdana"/>
              </w:rPr>
              <w:t xml:space="preserve">Assist with </w:t>
            </w:r>
            <w:r w:rsidR="00F43AC7">
              <w:rPr>
                <w:rFonts w:ascii="Verdana" w:hAnsi="Verdana"/>
              </w:rPr>
              <w:t>Home Delivery</w:t>
            </w:r>
            <w:r w:rsidRPr="00EE7D52">
              <w:rPr>
                <w:rFonts w:ascii="Verdana" w:hAnsi="Verdana"/>
              </w:rPr>
              <w:t xml:space="preserve"> payment exceptions</w:t>
            </w:r>
          </w:p>
        </w:tc>
        <w:tc>
          <w:tcPr>
            <w:tcW w:w="4155" w:type="pct"/>
          </w:tcPr>
          <w:p w14:paraId="18FB5250" w14:textId="77777777" w:rsidR="00B37F52" w:rsidRPr="00EE7D52" w:rsidRDefault="00B37F52" w:rsidP="0037394E">
            <w:pPr>
              <w:spacing w:before="120" w:after="120"/>
              <w:rPr>
                <w:rFonts w:ascii="Verdana" w:hAnsi="Verdana"/>
              </w:rPr>
            </w:pPr>
            <w:r w:rsidRPr="00EE7D52">
              <w:rPr>
                <w:rFonts w:ascii="Verdana" w:hAnsi="Verdana"/>
              </w:rPr>
              <w:t>F</w:t>
            </w:r>
            <w:r w:rsidR="00F43AC7">
              <w:rPr>
                <w:rFonts w:ascii="Verdana" w:hAnsi="Verdana"/>
              </w:rPr>
              <w:t xml:space="preserve">or prescriptions filled by </w:t>
            </w:r>
            <w:r w:rsidR="00F329F1">
              <w:rPr>
                <w:rFonts w:ascii="Verdana" w:hAnsi="Verdana"/>
              </w:rPr>
              <w:t>Mail Order pharmacy</w:t>
            </w:r>
            <w:r w:rsidRPr="00EE7D52">
              <w:rPr>
                <w:rFonts w:ascii="Verdana" w:hAnsi="Verdana"/>
              </w:rPr>
              <w:t>, the following payment exception display</w:t>
            </w:r>
            <w:r w:rsidR="00AB0E63">
              <w:rPr>
                <w:rFonts w:ascii="Verdana" w:hAnsi="Verdana"/>
              </w:rPr>
              <w:t>s</w:t>
            </w:r>
            <w:r w:rsidRPr="00EE7D52">
              <w:rPr>
                <w:rFonts w:ascii="Verdana" w:hAnsi="Verdana"/>
              </w:rPr>
              <w:t xml:space="preserve"> if the member’s cost exceeds the order or cardholder limit, initiating an automated call to the member:</w:t>
            </w:r>
          </w:p>
          <w:p w14:paraId="7C9186C0" w14:textId="77777777" w:rsidR="00B37F52" w:rsidRPr="00EE7D52" w:rsidRDefault="00F329F1" w:rsidP="00AB0E63">
            <w:pPr>
              <w:numPr>
                <w:ilvl w:val="0"/>
                <w:numId w:val="20"/>
              </w:numPr>
              <w:spacing w:before="120" w:after="120"/>
              <w:ind w:left="354"/>
              <w:rPr>
                <w:rFonts w:ascii="Verdana" w:hAnsi="Verdana"/>
                <w:b/>
              </w:rPr>
            </w:pPr>
            <w:r w:rsidRPr="005A6C57">
              <w:rPr>
                <w:rFonts w:ascii="Verdana" w:hAnsi="Verdana"/>
              </w:rPr>
              <w:t>Affordable Care Act</w:t>
            </w:r>
            <w:r w:rsidRPr="00EE7D52">
              <w:rPr>
                <w:rFonts w:ascii="Verdana" w:hAnsi="Verdana"/>
                <w:b/>
              </w:rPr>
              <w:t xml:space="preserve"> </w:t>
            </w:r>
            <w:r>
              <w:rPr>
                <w:rFonts w:ascii="Verdana" w:hAnsi="Verdana"/>
                <w:b/>
              </w:rPr>
              <w:t>(</w:t>
            </w:r>
            <w:r w:rsidR="00B37F52" w:rsidRPr="00EE7D52">
              <w:rPr>
                <w:rFonts w:ascii="Verdana" w:hAnsi="Verdana"/>
                <w:b/>
              </w:rPr>
              <w:t>ACA</w:t>
            </w:r>
            <w:r>
              <w:rPr>
                <w:rFonts w:ascii="Verdana" w:hAnsi="Verdana"/>
                <w:b/>
              </w:rPr>
              <w:t>)</w:t>
            </w:r>
            <w:r w:rsidR="00B37F52" w:rsidRPr="00EE7D52">
              <w:rPr>
                <w:rFonts w:ascii="Verdana" w:hAnsi="Verdana"/>
                <w:b/>
              </w:rPr>
              <w:t xml:space="preserve"> 100% Copay</w:t>
            </w:r>
          </w:p>
          <w:p w14:paraId="75EB5CB9" w14:textId="14BED48D" w:rsidR="00F43AC7" w:rsidRDefault="00B37F52" w:rsidP="0037394E">
            <w:pPr>
              <w:spacing w:before="120" w:after="120"/>
              <w:rPr>
                <w:rFonts w:ascii="Verdana" w:hAnsi="Verdana"/>
              </w:rPr>
            </w:pPr>
            <w:r w:rsidRPr="00EE7D52">
              <w:rPr>
                <w:rFonts w:ascii="Verdana" w:hAnsi="Verdana"/>
              </w:rPr>
              <w:t xml:space="preserve">This </w:t>
            </w:r>
            <w:hyperlink r:id="rId22" w:anchor="!/view?docid=445b2dd4-59b7-4ddb-bd4e-b15b3b665989" w:history="1">
              <w:r w:rsidR="00135DDA">
                <w:rPr>
                  <w:rStyle w:val="Hyperlink"/>
                  <w:rFonts w:ascii="Verdana" w:hAnsi="Verdana"/>
                </w:rPr>
                <w:t>payment exception (021319)</w:t>
              </w:r>
            </w:hyperlink>
            <w:r w:rsidRPr="00EE7D52">
              <w:rPr>
                <w:rFonts w:ascii="Verdana" w:hAnsi="Verdana"/>
              </w:rPr>
              <w:t xml:space="preserve"> should be handled similar to high copay warnings and other courtesy calls. The member may choose to send the order and pay the 100% copay, place the order on hold, or cancel it entirely.</w:t>
            </w:r>
            <w:r w:rsidR="006A6BFA" w:rsidRPr="00EE7D52">
              <w:rPr>
                <w:rFonts w:ascii="Verdana" w:hAnsi="Verdana"/>
              </w:rPr>
              <w:t xml:space="preserve"> </w:t>
            </w:r>
            <w:r w:rsidR="00FF75CE">
              <w:rPr>
                <w:rFonts w:ascii="Verdana" w:hAnsi="Verdana"/>
              </w:rPr>
              <w:t xml:space="preserve"> </w:t>
            </w:r>
          </w:p>
          <w:p w14:paraId="7AB87CA8" w14:textId="48D22925" w:rsidR="00B37F52" w:rsidRDefault="001310A1" w:rsidP="00FF75CE">
            <w:pPr>
              <w:spacing w:before="120" w:after="120"/>
              <w:jc w:val="center"/>
              <w:rPr>
                <w:rFonts w:ascii="Verdana" w:hAnsi="Verdana"/>
              </w:rPr>
            </w:pPr>
            <w:r w:rsidRPr="001310A1">
              <w:rPr>
                <w:rFonts w:ascii="Verdana" w:hAnsi="Verdana"/>
              </w:rPr>
              <w:drawing>
                <wp:inline distT="0" distB="0" distL="0" distR="0" wp14:anchorId="41813D3E" wp14:editId="16175455">
                  <wp:extent cx="5628571" cy="857143"/>
                  <wp:effectExtent l="0" t="0" r="0" b="635"/>
                  <wp:docPr id="729348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48138" name=""/>
                          <pic:cNvPicPr/>
                        </pic:nvPicPr>
                        <pic:blipFill>
                          <a:blip r:embed="rId23"/>
                          <a:stretch>
                            <a:fillRect/>
                          </a:stretch>
                        </pic:blipFill>
                        <pic:spPr>
                          <a:xfrm>
                            <a:off x="0" y="0"/>
                            <a:ext cx="5628571" cy="857143"/>
                          </a:xfrm>
                          <a:prstGeom prst="rect">
                            <a:avLst/>
                          </a:prstGeom>
                        </pic:spPr>
                      </pic:pic>
                    </a:graphicData>
                  </a:graphic>
                </wp:inline>
              </w:drawing>
            </w:r>
          </w:p>
          <w:p w14:paraId="6151117A" w14:textId="77777777" w:rsidR="00BF2579" w:rsidRPr="00EE7D52" w:rsidRDefault="00BF2579" w:rsidP="00FF75CE">
            <w:pPr>
              <w:spacing w:before="120" w:after="120"/>
              <w:jc w:val="center"/>
              <w:rPr>
                <w:rFonts w:ascii="Verdana" w:hAnsi="Verdana"/>
              </w:rPr>
            </w:pPr>
          </w:p>
        </w:tc>
      </w:tr>
      <w:tr w:rsidR="009346C9" w:rsidRPr="00B37541" w14:paraId="626EB8A0" w14:textId="77777777" w:rsidTr="001310A1">
        <w:tc>
          <w:tcPr>
            <w:tcW w:w="845" w:type="pct"/>
          </w:tcPr>
          <w:p w14:paraId="08594A46" w14:textId="77777777" w:rsidR="0001044D" w:rsidRPr="00EE7D52" w:rsidRDefault="00F90EA3" w:rsidP="0037394E">
            <w:pPr>
              <w:spacing w:before="120" w:after="120"/>
              <w:rPr>
                <w:rFonts w:ascii="Verdana" w:hAnsi="Verdana"/>
              </w:rPr>
            </w:pPr>
            <w:r w:rsidRPr="00EE7D52">
              <w:rPr>
                <w:rFonts w:ascii="Verdana" w:hAnsi="Verdana"/>
              </w:rPr>
              <w:t>Assist</w:t>
            </w:r>
            <w:r w:rsidR="00B078BF" w:rsidRPr="00EE7D52">
              <w:rPr>
                <w:rFonts w:ascii="Verdana" w:hAnsi="Verdana"/>
              </w:rPr>
              <w:t xml:space="preserve"> a member </w:t>
            </w:r>
            <w:r w:rsidRPr="00EE7D52">
              <w:rPr>
                <w:rFonts w:ascii="Verdana" w:hAnsi="Verdana"/>
              </w:rPr>
              <w:t>with</w:t>
            </w:r>
            <w:r w:rsidR="00B078BF" w:rsidRPr="00EE7D52">
              <w:rPr>
                <w:rFonts w:ascii="Verdana" w:hAnsi="Verdana"/>
              </w:rPr>
              <w:t xml:space="preserve"> obtaining reimbursement for claims paid at 100% during Grace Period</w:t>
            </w:r>
          </w:p>
        </w:tc>
        <w:tc>
          <w:tcPr>
            <w:tcW w:w="4155" w:type="pct"/>
          </w:tcPr>
          <w:p w14:paraId="6483129B" w14:textId="77777777" w:rsidR="00523F5B" w:rsidRPr="00EE7D52" w:rsidRDefault="00117228" w:rsidP="0037394E">
            <w:pPr>
              <w:spacing w:before="120" w:after="120"/>
              <w:rPr>
                <w:rFonts w:ascii="Verdana" w:hAnsi="Verdana"/>
              </w:rPr>
            </w:pPr>
            <w:r w:rsidRPr="00EE7D52">
              <w:rPr>
                <w:rFonts w:ascii="Verdana" w:hAnsi="Verdana"/>
              </w:rPr>
              <w:t xml:space="preserve">Once a member is released from the Grace Period after bringing premium payments </w:t>
            </w:r>
            <w:r w:rsidR="005D0846" w:rsidRPr="00EE7D52">
              <w:rPr>
                <w:rFonts w:ascii="Verdana" w:hAnsi="Verdana"/>
              </w:rPr>
              <w:t xml:space="preserve">up to date, </w:t>
            </w:r>
            <w:r w:rsidR="00FF75CE">
              <w:rPr>
                <w:rFonts w:ascii="Verdana" w:hAnsi="Verdana"/>
              </w:rPr>
              <w:t>they</w:t>
            </w:r>
            <w:r w:rsidR="005D0846" w:rsidRPr="00EE7D52">
              <w:rPr>
                <w:rFonts w:ascii="Verdana" w:hAnsi="Verdana"/>
              </w:rPr>
              <w:t xml:space="preserve"> may </w:t>
            </w:r>
            <w:r w:rsidRPr="00EE7D52">
              <w:rPr>
                <w:rFonts w:ascii="Verdana" w:hAnsi="Verdana"/>
              </w:rPr>
              <w:t xml:space="preserve">seek reimbursement for claims paid at 100% during the Grace Period.  </w:t>
            </w:r>
            <w:r w:rsidR="00523F5B" w:rsidRPr="00EE7D52">
              <w:rPr>
                <w:rFonts w:ascii="Verdana" w:hAnsi="Verdana"/>
              </w:rPr>
              <w:t>The best option is for the pharmacy to reverse and reprocess the claim.</w:t>
            </w:r>
          </w:p>
          <w:p w14:paraId="136DA079" w14:textId="79B91954" w:rsidR="00523F5B" w:rsidRPr="00EE7D52" w:rsidRDefault="00523F5B" w:rsidP="0037394E">
            <w:pPr>
              <w:numPr>
                <w:ilvl w:val="0"/>
                <w:numId w:val="20"/>
              </w:numPr>
              <w:spacing w:before="120" w:after="120"/>
              <w:ind w:left="360"/>
              <w:rPr>
                <w:rFonts w:ascii="Verdana" w:hAnsi="Verdana"/>
              </w:rPr>
            </w:pPr>
            <w:r w:rsidRPr="00EE7D52">
              <w:rPr>
                <w:rFonts w:ascii="Verdana" w:hAnsi="Verdana"/>
                <w:b/>
              </w:rPr>
              <w:t>Retail POS claims:</w:t>
            </w:r>
            <w:r w:rsidRPr="00EE7D52">
              <w:rPr>
                <w:rFonts w:ascii="Verdana" w:hAnsi="Verdana"/>
              </w:rPr>
              <w:t xml:space="preserve">  Advise the member to check with the pharmacy about resubmitting the prescription claim, to receive reimbursement directly from the retail pharmacy.</w:t>
            </w:r>
          </w:p>
          <w:p w14:paraId="6FB20577" w14:textId="780703FF" w:rsidR="00EC42DB" w:rsidRDefault="00F329F1" w:rsidP="0037394E">
            <w:pPr>
              <w:numPr>
                <w:ilvl w:val="0"/>
                <w:numId w:val="20"/>
              </w:numPr>
              <w:spacing w:before="120" w:after="120"/>
              <w:ind w:left="360"/>
              <w:rPr>
                <w:rFonts w:ascii="Verdana" w:hAnsi="Verdana"/>
              </w:rPr>
            </w:pPr>
            <w:r>
              <w:rPr>
                <w:rFonts w:ascii="Verdana" w:hAnsi="Verdana"/>
                <w:b/>
              </w:rPr>
              <w:t>Mail Order pharmacy</w:t>
            </w:r>
            <w:r w:rsidR="00523F5B" w:rsidRPr="00EE7D52">
              <w:rPr>
                <w:rFonts w:ascii="Verdana" w:hAnsi="Verdana"/>
                <w:b/>
              </w:rPr>
              <w:t xml:space="preserve"> claims:</w:t>
            </w:r>
            <w:r w:rsidR="00523F5B" w:rsidRPr="00EE7D52">
              <w:rPr>
                <w:rFonts w:ascii="Verdana" w:hAnsi="Verdana"/>
              </w:rPr>
              <w:t xml:space="preserve"> </w:t>
            </w:r>
            <w:r w:rsidR="00FF75CE">
              <w:rPr>
                <w:rFonts w:ascii="Verdana" w:hAnsi="Verdana"/>
              </w:rPr>
              <w:t xml:space="preserve"> </w:t>
            </w:r>
            <w:r w:rsidR="00523F5B" w:rsidRPr="00EE7D52">
              <w:rPr>
                <w:rFonts w:ascii="Verdana" w:hAnsi="Verdana"/>
              </w:rPr>
              <w:t xml:space="preserve">Follow </w:t>
            </w:r>
            <w:r w:rsidR="00FF75CE">
              <w:rPr>
                <w:rFonts w:ascii="Verdana" w:hAnsi="Verdana"/>
              </w:rPr>
              <w:t xml:space="preserve">process for </w:t>
            </w:r>
            <w:r w:rsidR="00523F5B" w:rsidRPr="00EE7D52">
              <w:rPr>
                <w:rFonts w:ascii="Verdana" w:hAnsi="Verdana"/>
              </w:rPr>
              <w:t xml:space="preserve">the </w:t>
            </w:r>
            <w:r w:rsidR="00FF75CE">
              <w:rPr>
                <w:rFonts w:ascii="Verdana" w:hAnsi="Verdana"/>
              </w:rPr>
              <w:t>Mail Order</w:t>
            </w:r>
            <w:r w:rsidR="00523F5B" w:rsidRPr="00EE7D52">
              <w:rPr>
                <w:rFonts w:ascii="Verdana" w:hAnsi="Verdana"/>
              </w:rPr>
              <w:t xml:space="preserve"> pharmacy to </w:t>
            </w:r>
            <w:hyperlink r:id="rId24" w:anchor="!/view?docid=bf4c270a-9562-4abf-9cea-dd6ee5f1293c" w:history="1">
              <w:r w:rsidR="00B6615B">
                <w:rPr>
                  <w:rStyle w:val="Hyperlink"/>
                  <w:rFonts w:ascii="Verdana" w:hAnsi="Verdana"/>
                </w:rPr>
                <w:t>reprocess the claim (058123)</w:t>
              </w:r>
            </w:hyperlink>
            <w:r w:rsidR="0089624E">
              <w:rPr>
                <w:rFonts w:ascii="Verdana" w:hAnsi="Verdana"/>
              </w:rPr>
              <w:t>.</w:t>
            </w:r>
          </w:p>
          <w:p w14:paraId="1B889953" w14:textId="439C94DB" w:rsidR="0001044D" w:rsidRPr="00FA7FD5" w:rsidRDefault="00523F5B" w:rsidP="00FF75CE">
            <w:pPr>
              <w:pStyle w:val="ListParagraph"/>
              <w:numPr>
                <w:ilvl w:val="1"/>
                <w:numId w:val="32"/>
              </w:numPr>
              <w:spacing w:before="120" w:after="120"/>
              <w:ind w:left="984"/>
              <w:rPr>
                <w:rFonts w:ascii="Verdana" w:hAnsi="Verdana"/>
                <w:color w:val="FF0000"/>
              </w:rPr>
            </w:pPr>
            <w:r w:rsidRPr="00FF75CE">
              <w:rPr>
                <w:rFonts w:ascii="Verdana" w:hAnsi="Verdana"/>
                <w:sz w:val="24"/>
                <w:szCs w:val="24"/>
              </w:rPr>
              <w:t xml:space="preserve">If reverse and reprocess is not an option, the member may submit a </w:t>
            </w:r>
            <w:hyperlink r:id="rId25" w:anchor="!/view?docid=1f72603c-4632-4e85-8d97-16cb51a3be1f" w:history="1">
              <w:r w:rsidR="00B6615B">
                <w:rPr>
                  <w:rStyle w:val="Hyperlink"/>
                  <w:rFonts w:ascii="Verdana" w:hAnsi="Verdana"/>
                  <w:sz w:val="24"/>
                  <w:szCs w:val="24"/>
                </w:rPr>
                <w:t>Paper Claim (042914)</w:t>
              </w:r>
            </w:hyperlink>
            <w:r w:rsidR="00FF75CE" w:rsidRPr="00FF75CE">
              <w:rPr>
                <w:rFonts w:ascii="Verdana" w:hAnsi="Verdana"/>
                <w:sz w:val="24"/>
                <w:szCs w:val="24"/>
              </w:rPr>
              <w:t xml:space="preserve"> </w:t>
            </w:r>
            <w:r w:rsidRPr="00FF75CE">
              <w:rPr>
                <w:rFonts w:ascii="Verdana" w:hAnsi="Verdana"/>
                <w:sz w:val="24"/>
                <w:szCs w:val="24"/>
              </w:rPr>
              <w:t xml:space="preserve">for reimbursement if allowed by the client. </w:t>
            </w:r>
            <w:r w:rsidR="00FF75CE">
              <w:rPr>
                <w:rFonts w:ascii="Verdana" w:hAnsi="Verdana"/>
                <w:sz w:val="24"/>
                <w:szCs w:val="24"/>
              </w:rPr>
              <w:t>Review</w:t>
            </w:r>
            <w:r w:rsidRPr="00FF75CE">
              <w:rPr>
                <w:rFonts w:ascii="Verdana" w:hAnsi="Verdana"/>
                <w:sz w:val="24"/>
                <w:szCs w:val="24"/>
              </w:rPr>
              <w:t xml:space="preserve"> the CIF</w:t>
            </w:r>
            <w:r w:rsidR="00FF75CE">
              <w:rPr>
                <w:rFonts w:ascii="Verdana" w:hAnsi="Verdana"/>
                <w:sz w:val="24"/>
                <w:szCs w:val="24"/>
              </w:rPr>
              <w:t>.</w:t>
            </w:r>
            <w:r w:rsidRPr="00FF75CE">
              <w:rPr>
                <w:rFonts w:ascii="Verdana" w:hAnsi="Verdana"/>
                <w:sz w:val="24"/>
                <w:szCs w:val="24"/>
              </w:rPr>
              <w:t xml:space="preserve"> </w:t>
            </w:r>
          </w:p>
        </w:tc>
      </w:tr>
    </w:tbl>
    <w:p w14:paraId="4CADCA29" w14:textId="77777777" w:rsidR="00486108" w:rsidRDefault="00486108" w:rsidP="00C837BA">
      <w:pPr>
        <w:jc w:val="right"/>
        <w:rPr>
          <w:rFonts w:ascii="Verdana" w:hAnsi="Verdana"/>
        </w:rPr>
      </w:pPr>
    </w:p>
    <w:p w14:paraId="42316049" w14:textId="77777777" w:rsidR="00245940" w:rsidRDefault="00245940" w:rsidP="00245940">
      <w:pPr>
        <w:jc w:val="right"/>
        <w:rPr>
          <w:rFonts w:ascii="Verdana" w:hAnsi="Verdana"/>
        </w:rPr>
      </w:pPr>
      <w:hyperlink w:anchor="_top" w:history="1">
        <w:r w:rsidRPr="0024594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57B1A" w:rsidRPr="00BF74E9" w14:paraId="05A1D125" w14:textId="77777777" w:rsidTr="00F43AC7">
        <w:tc>
          <w:tcPr>
            <w:tcW w:w="5000" w:type="pct"/>
            <w:shd w:val="clear" w:color="auto" w:fill="C0C0C0"/>
          </w:tcPr>
          <w:p w14:paraId="7B479EBE" w14:textId="77777777" w:rsidR="00C57B1A" w:rsidRPr="00D32D37" w:rsidRDefault="00C57B1A" w:rsidP="0037394E">
            <w:pPr>
              <w:pStyle w:val="Heading2"/>
              <w:tabs>
                <w:tab w:val="left" w:pos="11985"/>
              </w:tabs>
              <w:spacing w:before="120" w:after="120"/>
              <w:rPr>
                <w:rFonts w:ascii="Verdana" w:hAnsi="Verdana"/>
                <w:i w:val="0"/>
                <w:iCs w:val="0"/>
              </w:rPr>
            </w:pPr>
            <w:bookmarkStart w:id="19" w:name="_Frequently_Asked_Questions"/>
            <w:bookmarkStart w:id="20" w:name="_Toc181254531"/>
            <w:bookmarkEnd w:id="19"/>
            <w:r>
              <w:rPr>
                <w:rFonts w:ascii="Verdana" w:hAnsi="Verdana"/>
                <w:i w:val="0"/>
                <w:iCs w:val="0"/>
              </w:rPr>
              <w:t xml:space="preserve">Frequently Asked Questions </w:t>
            </w:r>
            <w:r w:rsidR="00D86BAE">
              <w:rPr>
                <w:rFonts w:ascii="Verdana" w:hAnsi="Verdana"/>
                <w:i w:val="0"/>
                <w:iCs w:val="0"/>
              </w:rPr>
              <w:t>-</w:t>
            </w:r>
            <w:r>
              <w:rPr>
                <w:rFonts w:ascii="Verdana" w:hAnsi="Verdana"/>
                <w:i w:val="0"/>
                <w:iCs w:val="0"/>
              </w:rPr>
              <w:t xml:space="preserve"> Integrated </w:t>
            </w:r>
            <w:r w:rsidR="00D86BAE">
              <w:rPr>
                <w:rFonts w:ascii="Verdana" w:hAnsi="Verdana"/>
                <w:i w:val="0"/>
                <w:iCs w:val="0"/>
              </w:rPr>
              <w:t>Deductible/Maximum Out of Pocket</w:t>
            </w:r>
            <w:bookmarkEnd w:id="20"/>
          </w:p>
        </w:tc>
      </w:tr>
    </w:tbl>
    <w:p w14:paraId="2BE11E22" w14:textId="77777777" w:rsidR="00C57B1A" w:rsidRDefault="00245940" w:rsidP="0037394E">
      <w:pPr>
        <w:spacing w:before="120" w:after="120"/>
        <w:rPr>
          <w:rFonts w:ascii="Verdana" w:hAnsi="Verdana"/>
          <w:b/>
        </w:rPr>
      </w:pPr>
      <w:r>
        <w:rPr>
          <w:rFonts w:ascii="Verdana" w:hAnsi="Verdana"/>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7"/>
        <w:gridCol w:w="2487"/>
        <w:gridCol w:w="8016"/>
      </w:tblGrid>
      <w:tr w:rsidR="00B53794" w:rsidRPr="00F72F8F" w14:paraId="73BA09F4" w14:textId="77777777" w:rsidTr="00B53794">
        <w:tc>
          <w:tcPr>
            <w:tcW w:w="1512" w:type="pct"/>
            <w:shd w:val="clear" w:color="auto" w:fill="D9D9D9" w:themeFill="background1" w:themeFillShade="D9"/>
          </w:tcPr>
          <w:p w14:paraId="764DBFD6" w14:textId="77777777" w:rsidR="00C57B1A" w:rsidRPr="00F72F8F" w:rsidRDefault="00C57B1A" w:rsidP="0037394E">
            <w:pPr>
              <w:spacing w:before="120" w:after="120"/>
              <w:jc w:val="center"/>
              <w:rPr>
                <w:rFonts w:ascii="Verdana" w:hAnsi="Verdana"/>
                <w:b/>
              </w:rPr>
            </w:pPr>
            <w:r w:rsidRPr="00F72F8F">
              <w:rPr>
                <w:rFonts w:ascii="Verdana" w:hAnsi="Verdana"/>
                <w:b/>
              </w:rPr>
              <w:t>Question</w:t>
            </w:r>
          </w:p>
        </w:tc>
        <w:tc>
          <w:tcPr>
            <w:tcW w:w="3488" w:type="pct"/>
            <w:gridSpan w:val="2"/>
            <w:shd w:val="clear" w:color="auto" w:fill="D9D9D9" w:themeFill="background1" w:themeFillShade="D9"/>
          </w:tcPr>
          <w:p w14:paraId="1FC56B81" w14:textId="77777777" w:rsidR="00C57B1A" w:rsidRPr="00F72F8F" w:rsidRDefault="00C57B1A" w:rsidP="0037394E">
            <w:pPr>
              <w:spacing w:before="120" w:after="120"/>
              <w:jc w:val="center"/>
              <w:rPr>
                <w:rFonts w:ascii="Verdana" w:hAnsi="Verdana"/>
                <w:b/>
              </w:rPr>
            </w:pPr>
            <w:r w:rsidRPr="00F72F8F">
              <w:rPr>
                <w:rFonts w:ascii="Verdana" w:hAnsi="Verdana"/>
                <w:b/>
              </w:rPr>
              <w:t>Answer</w:t>
            </w:r>
          </w:p>
        </w:tc>
      </w:tr>
      <w:tr w:rsidR="00B53794" w:rsidRPr="00F72F8F" w14:paraId="09F875FB" w14:textId="77777777" w:rsidTr="00B53794">
        <w:tc>
          <w:tcPr>
            <w:tcW w:w="1512" w:type="pct"/>
          </w:tcPr>
          <w:p w14:paraId="431CCA87" w14:textId="77777777" w:rsidR="00C57B1A" w:rsidRPr="00623DDA" w:rsidRDefault="00C57B1A" w:rsidP="00FF75CE">
            <w:pPr>
              <w:spacing w:before="120" w:after="120"/>
              <w:rPr>
                <w:rFonts w:ascii="Verdana" w:hAnsi="Verdana"/>
                <w:b/>
              </w:rPr>
            </w:pPr>
            <w:r w:rsidRPr="00C57B1A">
              <w:rPr>
                <w:rFonts w:ascii="Verdana" w:hAnsi="Verdana"/>
                <w:b/>
              </w:rPr>
              <w:t>What is an integrated benefit – deductible or maximum out of pocket?</w:t>
            </w:r>
          </w:p>
        </w:tc>
        <w:tc>
          <w:tcPr>
            <w:tcW w:w="3488" w:type="pct"/>
            <w:gridSpan w:val="2"/>
          </w:tcPr>
          <w:p w14:paraId="429284AB" w14:textId="77777777" w:rsidR="00C57B1A" w:rsidRPr="00F72F8F" w:rsidRDefault="00C57B1A" w:rsidP="0037394E">
            <w:pPr>
              <w:spacing w:before="120" w:after="120"/>
              <w:rPr>
                <w:rFonts w:ascii="Verdana" w:hAnsi="Verdana"/>
              </w:rPr>
            </w:pPr>
            <w:r w:rsidRPr="00C57B1A">
              <w:rPr>
                <w:rFonts w:ascii="Verdana" w:hAnsi="Verdana"/>
              </w:rPr>
              <w:t>It is a combined single deductible and maximum out of pocket which includes both medical and prescription costs that must be met before benefits are paid.</w:t>
            </w:r>
          </w:p>
        </w:tc>
      </w:tr>
      <w:tr w:rsidR="00B53794" w:rsidRPr="00F72F8F" w14:paraId="63CF3CD5" w14:textId="77777777" w:rsidTr="00B53794">
        <w:tc>
          <w:tcPr>
            <w:tcW w:w="1512" w:type="pct"/>
          </w:tcPr>
          <w:p w14:paraId="1BD2DA34" w14:textId="77777777" w:rsidR="00C57B1A" w:rsidRPr="00C57B1A" w:rsidRDefault="00C57B1A" w:rsidP="0037394E">
            <w:pPr>
              <w:spacing w:before="120" w:after="120"/>
              <w:rPr>
                <w:rFonts w:ascii="Verdana" w:hAnsi="Verdana"/>
                <w:b/>
              </w:rPr>
            </w:pPr>
            <w:r>
              <w:rPr>
                <w:rFonts w:ascii="Verdana" w:hAnsi="Verdana"/>
                <w:b/>
              </w:rPr>
              <w:t>Does the member</w:t>
            </w:r>
            <w:r w:rsidRPr="00C57B1A">
              <w:rPr>
                <w:rFonts w:ascii="Verdana" w:hAnsi="Verdana"/>
                <w:b/>
              </w:rPr>
              <w:t xml:space="preserve"> have to meet </w:t>
            </w:r>
            <w:r>
              <w:rPr>
                <w:rFonts w:ascii="Verdana" w:hAnsi="Verdana"/>
                <w:b/>
              </w:rPr>
              <w:t>a</w:t>
            </w:r>
            <w:r w:rsidRPr="00C57B1A">
              <w:rPr>
                <w:rFonts w:ascii="Verdana" w:hAnsi="Verdana"/>
                <w:b/>
              </w:rPr>
              <w:t xml:space="preserve"> family or individual deductible</w:t>
            </w:r>
            <w:r>
              <w:rPr>
                <w:rFonts w:ascii="Verdana" w:hAnsi="Verdana"/>
                <w:b/>
              </w:rPr>
              <w:t>/maximum out of pocket</w:t>
            </w:r>
            <w:r w:rsidRPr="00C57B1A">
              <w:rPr>
                <w:rFonts w:ascii="Verdana" w:hAnsi="Verdana"/>
                <w:b/>
              </w:rPr>
              <w:t>?</w:t>
            </w:r>
          </w:p>
          <w:p w14:paraId="0309C354" w14:textId="77777777" w:rsidR="00C57B1A" w:rsidRPr="00623DDA" w:rsidRDefault="00C57B1A" w:rsidP="0037394E">
            <w:pPr>
              <w:spacing w:before="120" w:after="120"/>
              <w:rPr>
                <w:rFonts w:ascii="Verdana" w:hAnsi="Verdana"/>
                <w:b/>
              </w:rPr>
            </w:pPr>
          </w:p>
        </w:tc>
        <w:tc>
          <w:tcPr>
            <w:tcW w:w="3488" w:type="pct"/>
            <w:gridSpan w:val="2"/>
          </w:tcPr>
          <w:p w14:paraId="2897171A" w14:textId="77777777" w:rsidR="00C57B1A" w:rsidRPr="00C57B1A" w:rsidRDefault="00C57B1A" w:rsidP="0037394E">
            <w:pPr>
              <w:spacing w:before="120" w:after="120"/>
              <w:rPr>
                <w:rFonts w:ascii="Verdana" w:hAnsi="Verdana"/>
              </w:rPr>
            </w:pPr>
            <w:r>
              <w:rPr>
                <w:rFonts w:ascii="Verdana" w:hAnsi="Verdana"/>
              </w:rPr>
              <w:t>It depends on if the deductible/maximum out of pocket is embedded or non-embedded.</w:t>
            </w:r>
          </w:p>
          <w:p w14:paraId="475E1305" w14:textId="6F08BB25" w:rsidR="00C57B1A" w:rsidRPr="00C57B1A" w:rsidRDefault="00C57B1A" w:rsidP="00FF75CE">
            <w:pPr>
              <w:numPr>
                <w:ilvl w:val="0"/>
                <w:numId w:val="7"/>
              </w:numPr>
              <w:spacing w:before="120" w:after="120"/>
              <w:ind w:left="378"/>
              <w:rPr>
                <w:rFonts w:ascii="Verdana" w:hAnsi="Verdana"/>
              </w:rPr>
            </w:pPr>
            <w:r w:rsidRPr="00C57B1A">
              <w:rPr>
                <w:rFonts w:ascii="Verdana" w:hAnsi="Verdana"/>
                <w:b/>
              </w:rPr>
              <w:t xml:space="preserve">Embedded: </w:t>
            </w:r>
            <w:r w:rsidR="006E5BDD">
              <w:rPr>
                <w:rFonts w:ascii="Verdana" w:hAnsi="Verdana"/>
                <w:b/>
              </w:rPr>
              <w:t xml:space="preserve"> </w:t>
            </w:r>
            <w:r w:rsidRPr="00C57B1A">
              <w:rPr>
                <w:rFonts w:ascii="Verdana" w:hAnsi="Verdana"/>
              </w:rPr>
              <w:t>Accumulations are based on each individual member.  When each member's accumulation is met, benefits</w:t>
            </w:r>
            <w:r>
              <w:rPr>
                <w:rFonts w:ascii="Verdana" w:hAnsi="Verdana"/>
              </w:rPr>
              <w:t>/co</w:t>
            </w:r>
            <w:r w:rsidRPr="00C57B1A">
              <w:rPr>
                <w:rFonts w:ascii="Verdana" w:hAnsi="Verdana"/>
              </w:rPr>
              <w:t>pays apply to that member. When the entire family accu</w:t>
            </w:r>
            <w:r>
              <w:rPr>
                <w:rFonts w:ascii="Verdana" w:hAnsi="Verdana"/>
              </w:rPr>
              <w:t>mulation has been met, benefits/</w:t>
            </w:r>
            <w:r w:rsidRPr="00C57B1A">
              <w:rPr>
                <w:rFonts w:ascii="Verdana" w:hAnsi="Verdana"/>
              </w:rPr>
              <w:t>copays apply to all family members (even if one or more members have not met their individual accumulators).</w:t>
            </w:r>
          </w:p>
          <w:p w14:paraId="7F0C77BC" w14:textId="77777777" w:rsidR="00C57B1A" w:rsidRPr="00C57B1A" w:rsidRDefault="00C57B1A" w:rsidP="00FF75CE">
            <w:pPr>
              <w:numPr>
                <w:ilvl w:val="0"/>
                <w:numId w:val="7"/>
              </w:numPr>
              <w:spacing w:before="120" w:after="120"/>
              <w:ind w:left="378"/>
              <w:rPr>
                <w:rFonts w:ascii="Verdana" w:hAnsi="Verdana"/>
              </w:rPr>
            </w:pPr>
            <w:r w:rsidRPr="00C57B1A">
              <w:rPr>
                <w:rFonts w:ascii="Verdana" w:hAnsi="Verdana"/>
                <w:b/>
              </w:rPr>
              <w:t>Non-Embedded</w:t>
            </w:r>
            <w:r>
              <w:rPr>
                <w:rFonts w:ascii="Verdana" w:hAnsi="Verdana"/>
              </w:rPr>
              <w:t>:</w:t>
            </w:r>
            <w:r w:rsidRPr="00C57B1A">
              <w:rPr>
                <w:rFonts w:ascii="Verdana" w:hAnsi="Verdana"/>
              </w:rPr>
              <w:t xml:space="preserve"> The entire family accumulation must be met before benefits</w:t>
            </w:r>
            <w:r>
              <w:rPr>
                <w:rFonts w:ascii="Verdana" w:hAnsi="Verdana"/>
              </w:rPr>
              <w:t>/co</w:t>
            </w:r>
            <w:r w:rsidRPr="00C57B1A">
              <w:rPr>
                <w:rFonts w:ascii="Verdana" w:hAnsi="Verdana"/>
              </w:rPr>
              <w:t>pays apply to any individual family member.</w:t>
            </w:r>
          </w:p>
          <w:p w14:paraId="1C5A6E18" w14:textId="77777777" w:rsidR="00C57B1A" w:rsidRPr="00C57B1A" w:rsidRDefault="00C57B1A" w:rsidP="0037394E">
            <w:pPr>
              <w:spacing w:before="120" w:after="120"/>
              <w:rPr>
                <w:rFonts w:ascii="Verdana" w:hAnsi="Verdana"/>
              </w:rPr>
            </w:pPr>
            <w:r>
              <w:rPr>
                <w:rFonts w:ascii="Verdana" w:hAnsi="Verdana"/>
              </w:rPr>
              <w:t>T</w:t>
            </w:r>
            <w:r w:rsidRPr="00C57B1A">
              <w:rPr>
                <w:rFonts w:ascii="Verdana" w:hAnsi="Verdana"/>
              </w:rPr>
              <w:t xml:space="preserve">o determine </w:t>
            </w:r>
            <w:r w:rsidR="00FF75CE">
              <w:rPr>
                <w:rFonts w:ascii="Verdana" w:hAnsi="Verdana"/>
              </w:rPr>
              <w:t>if</w:t>
            </w:r>
            <w:r w:rsidRPr="00C57B1A">
              <w:rPr>
                <w:rFonts w:ascii="Verdana" w:hAnsi="Verdana"/>
              </w:rPr>
              <w:t xml:space="preserve"> </w:t>
            </w:r>
            <w:r>
              <w:rPr>
                <w:rFonts w:ascii="Verdana" w:hAnsi="Verdana"/>
              </w:rPr>
              <w:t>the</w:t>
            </w:r>
            <w:r w:rsidRPr="00C57B1A">
              <w:rPr>
                <w:rFonts w:ascii="Verdana" w:hAnsi="Verdana"/>
              </w:rPr>
              <w:t xml:space="preserve"> member must meet t</w:t>
            </w:r>
            <w:r>
              <w:rPr>
                <w:rFonts w:ascii="Verdana" w:hAnsi="Verdana"/>
              </w:rPr>
              <w:t>he individual/family deductible, refer to:</w:t>
            </w:r>
          </w:p>
          <w:p w14:paraId="543E5FDD" w14:textId="62ECCE46" w:rsidR="00C57B1A" w:rsidRPr="00C57B1A" w:rsidRDefault="00C57B1A" w:rsidP="00FF75CE">
            <w:pPr>
              <w:numPr>
                <w:ilvl w:val="0"/>
                <w:numId w:val="11"/>
              </w:numPr>
              <w:spacing w:before="120" w:after="120"/>
              <w:ind w:left="378"/>
              <w:rPr>
                <w:rFonts w:ascii="Verdana" w:hAnsi="Verdana"/>
              </w:rPr>
            </w:pPr>
            <w:r w:rsidRPr="006E5BDD">
              <w:rPr>
                <w:rFonts w:ascii="Verdana" w:hAnsi="Verdana"/>
                <w:b/>
                <w:bCs/>
              </w:rPr>
              <w:t>CIF</w:t>
            </w:r>
            <w:r w:rsidR="006E5BDD">
              <w:rPr>
                <w:rFonts w:ascii="Verdana" w:hAnsi="Verdana"/>
                <w:b/>
                <w:bCs/>
              </w:rPr>
              <w:t xml:space="preserve">:  </w:t>
            </w:r>
            <w:r w:rsidRPr="00C57B1A">
              <w:rPr>
                <w:rFonts w:ascii="Verdana" w:hAnsi="Verdana"/>
              </w:rPr>
              <w:t xml:space="preserve">Need </w:t>
            </w:r>
            <w:r w:rsidR="00AA438D" w:rsidRPr="00C57B1A">
              <w:rPr>
                <w:rFonts w:ascii="Verdana" w:hAnsi="Verdana"/>
              </w:rPr>
              <w:t>to</w:t>
            </w:r>
            <w:r w:rsidRPr="00C57B1A">
              <w:rPr>
                <w:rFonts w:ascii="Verdana" w:hAnsi="Verdana"/>
              </w:rPr>
              <w:t xml:space="preserve"> Know or Plan </w:t>
            </w:r>
            <w:r w:rsidR="002816C0">
              <w:rPr>
                <w:rFonts w:ascii="Verdana" w:hAnsi="Verdana"/>
              </w:rPr>
              <w:t xml:space="preserve">Design Highlights </w:t>
            </w:r>
            <w:r w:rsidRPr="00C57B1A">
              <w:rPr>
                <w:rFonts w:ascii="Verdana" w:hAnsi="Verdana"/>
              </w:rPr>
              <w:t>sections</w:t>
            </w:r>
          </w:p>
          <w:p w14:paraId="77F0969F" w14:textId="39C1D380" w:rsidR="00C57B1A" w:rsidRPr="00F72F8F" w:rsidRDefault="00C57B1A" w:rsidP="00FF75CE">
            <w:pPr>
              <w:numPr>
                <w:ilvl w:val="0"/>
                <w:numId w:val="11"/>
              </w:numPr>
              <w:spacing w:before="120" w:after="120"/>
              <w:ind w:left="378"/>
              <w:rPr>
                <w:rFonts w:ascii="Verdana" w:hAnsi="Verdana"/>
              </w:rPr>
            </w:pPr>
            <w:r w:rsidRPr="006E5BDD">
              <w:rPr>
                <w:rFonts w:ascii="Verdana" w:hAnsi="Verdana"/>
                <w:b/>
                <w:bCs/>
              </w:rPr>
              <w:t>PeopleSafe Plan Summary</w:t>
            </w:r>
            <w:r w:rsidR="006E5BDD">
              <w:rPr>
                <w:rFonts w:ascii="Verdana" w:hAnsi="Verdana"/>
                <w:b/>
                <w:bCs/>
              </w:rPr>
              <w:t xml:space="preserve">:  </w:t>
            </w:r>
            <w:r w:rsidR="002816C0" w:rsidRPr="00C57B1A">
              <w:rPr>
                <w:rFonts w:ascii="Verdana" w:hAnsi="Verdana"/>
              </w:rPr>
              <w:t>Basi</w:t>
            </w:r>
            <w:r w:rsidR="002816C0">
              <w:rPr>
                <w:rFonts w:ascii="Verdana" w:hAnsi="Verdana"/>
              </w:rPr>
              <w:t>s</w:t>
            </w:r>
            <w:r w:rsidR="002816C0" w:rsidRPr="00C57B1A">
              <w:rPr>
                <w:rFonts w:ascii="Verdana" w:hAnsi="Verdana"/>
              </w:rPr>
              <w:t xml:space="preserve"> </w:t>
            </w:r>
            <w:r w:rsidRPr="00C57B1A">
              <w:rPr>
                <w:rFonts w:ascii="Verdana" w:hAnsi="Verdana"/>
              </w:rPr>
              <w:t>Code description</w:t>
            </w:r>
          </w:p>
        </w:tc>
      </w:tr>
      <w:tr w:rsidR="00B53794" w:rsidRPr="00F72F8F" w14:paraId="1F0FAC80" w14:textId="77777777" w:rsidTr="00B53794">
        <w:tc>
          <w:tcPr>
            <w:tcW w:w="1512" w:type="pct"/>
          </w:tcPr>
          <w:p w14:paraId="205DA6F3" w14:textId="77777777" w:rsidR="00C57B1A" w:rsidRPr="00C57B1A" w:rsidRDefault="00C57B1A" w:rsidP="0037394E">
            <w:pPr>
              <w:spacing w:before="120" w:after="120"/>
              <w:rPr>
                <w:rFonts w:ascii="Verdana" w:hAnsi="Verdana"/>
                <w:b/>
              </w:rPr>
            </w:pPr>
            <w:r w:rsidRPr="00C57B1A">
              <w:rPr>
                <w:rFonts w:ascii="Verdana" w:hAnsi="Verdana"/>
                <w:b/>
              </w:rPr>
              <w:t>What happens once the member meets the maximum out of pocket?</w:t>
            </w:r>
          </w:p>
          <w:p w14:paraId="43DA7D83" w14:textId="77777777" w:rsidR="00C57B1A" w:rsidRPr="00623DDA" w:rsidRDefault="00C57B1A" w:rsidP="0037394E">
            <w:pPr>
              <w:spacing w:before="120" w:after="120"/>
              <w:rPr>
                <w:rFonts w:ascii="Verdana" w:hAnsi="Verdana"/>
                <w:b/>
              </w:rPr>
            </w:pPr>
          </w:p>
        </w:tc>
        <w:tc>
          <w:tcPr>
            <w:tcW w:w="3488" w:type="pct"/>
            <w:gridSpan w:val="2"/>
          </w:tcPr>
          <w:p w14:paraId="300DDE23" w14:textId="239B78D5" w:rsidR="00C57B1A" w:rsidRPr="00F72F8F" w:rsidRDefault="00C57B1A" w:rsidP="00FF75CE">
            <w:pPr>
              <w:spacing w:before="120" w:after="120"/>
              <w:rPr>
                <w:rFonts w:ascii="Verdana" w:hAnsi="Verdana"/>
              </w:rPr>
            </w:pPr>
            <w:r w:rsidRPr="00C57B1A">
              <w:rPr>
                <w:rFonts w:ascii="Verdana" w:hAnsi="Verdana"/>
              </w:rPr>
              <w:t>Onc</w:t>
            </w:r>
            <w:r>
              <w:rPr>
                <w:rFonts w:ascii="Verdana" w:hAnsi="Verdana"/>
              </w:rPr>
              <w:t>e the maximum out of pocket</w:t>
            </w:r>
            <w:r w:rsidRPr="00C57B1A">
              <w:rPr>
                <w:rFonts w:ascii="Verdana" w:hAnsi="Verdana"/>
              </w:rPr>
              <w:t xml:space="preserve"> </w:t>
            </w:r>
            <w:r w:rsidR="005417CA">
              <w:rPr>
                <w:rFonts w:ascii="Verdana" w:hAnsi="Verdana"/>
              </w:rPr>
              <w:t xml:space="preserve">(MOOP) </w:t>
            </w:r>
            <w:r w:rsidRPr="00C57B1A">
              <w:rPr>
                <w:rFonts w:ascii="Verdana" w:hAnsi="Verdana"/>
              </w:rPr>
              <w:t>is met</w:t>
            </w:r>
            <w:r>
              <w:rPr>
                <w:rFonts w:ascii="Verdana" w:hAnsi="Verdana"/>
              </w:rPr>
              <w:t>, the member</w:t>
            </w:r>
            <w:r w:rsidRPr="00C57B1A">
              <w:rPr>
                <w:rFonts w:ascii="Verdana" w:hAnsi="Verdana"/>
              </w:rPr>
              <w:t xml:space="preserve"> will be charged $0 for their prescriptions for the remainder of the benefit year (unless otherwise specified in the CIF</w:t>
            </w:r>
            <w:r w:rsidR="005417CA">
              <w:rPr>
                <w:rFonts w:ascii="Verdana" w:hAnsi="Verdana"/>
              </w:rPr>
              <w:t xml:space="preserve"> for instance the member may still pay for DAW </w:t>
            </w:r>
            <w:r w:rsidR="00B8558B">
              <w:rPr>
                <w:rFonts w:ascii="Verdana" w:hAnsi="Verdana"/>
              </w:rPr>
              <w:t>cost differences</w:t>
            </w:r>
            <w:r w:rsidR="005417CA">
              <w:rPr>
                <w:rFonts w:ascii="Verdana" w:hAnsi="Verdana"/>
              </w:rPr>
              <w:t>, out of network claims, etc</w:t>
            </w:r>
            <w:r w:rsidR="006E5BDD">
              <w:rPr>
                <w:rFonts w:ascii="Verdana" w:hAnsi="Verdana"/>
              </w:rPr>
              <w:t>etera</w:t>
            </w:r>
            <w:r w:rsidRPr="00C57B1A">
              <w:rPr>
                <w:rFonts w:ascii="Verdana" w:hAnsi="Verdana"/>
              </w:rPr>
              <w:t>)</w:t>
            </w:r>
            <w:r>
              <w:rPr>
                <w:rFonts w:ascii="Verdana" w:hAnsi="Verdana"/>
              </w:rPr>
              <w:t>.</w:t>
            </w:r>
          </w:p>
        </w:tc>
      </w:tr>
      <w:tr w:rsidR="00B53794" w:rsidRPr="00F72F8F" w14:paraId="7D2F42C5" w14:textId="77777777" w:rsidTr="00B53794">
        <w:tc>
          <w:tcPr>
            <w:tcW w:w="1512" w:type="pct"/>
          </w:tcPr>
          <w:p w14:paraId="37595E6D" w14:textId="77777777" w:rsidR="00C57B1A" w:rsidRPr="00623DDA" w:rsidRDefault="00C57B1A" w:rsidP="00FF75CE">
            <w:pPr>
              <w:spacing w:before="120" w:after="120"/>
              <w:rPr>
                <w:rFonts w:ascii="Verdana" w:hAnsi="Verdana"/>
                <w:b/>
              </w:rPr>
            </w:pPr>
            <w:r w:rsidRPr="00C57B1A">
              <w:rPr>
                <w:rFonts w:ascii="Verdana" w:hAnsi="Verdana"/>
                <w:b/>
              </w:rPr>
              <w:t xml:space="preserve">What happens if the member overpays on medication due to integrated deductible or maximum out of pocket accumulations not being updated timely?  </w:t>
            </w:r>
          </w:p>
        </w:tc>
        <w:tc>
          <w:tcPr>
            <w:tcW w:w="3488" w:type="pct"/>
            <w:gridSpan w:val="2"/>
          </w:tcPr>
          <w:p w14:paraId="7A8850B7" w14:textId="1E775461" w:rsidR="00D86BAE" w:rsidRDefault="00C57B1A" w:rsidP="0037394E">
            <w:pPr>
              <w:spacing w:before="120" w:after="120"/>
              <w:rPr>
                <w:rFonts w:ascii="Verdana" w:hAnsi="Verdana"/>
              </w:rPr>
            </w:pPr>
            <w:r w:rsidRPr="00C57B1A">
              <w:rPr>
                <w:rFonts w:ascii="Verdana" w:hAnsi="Verdana"/>
              </w:rPr>
              <w:t>Advise the member to contact their medical plan</w:t>
            </w:r>
            <w:r w:rsidR="006E5BDD">
              <w:rPr>
                <w:rFonts w:ascii="Verdana" w:hAnsi="Verdana"/>
              </w:rPr>
              <w:t>.</w:t>
            </w:r>
          </w:p>
          <w:p w14:paraId="5A8D6381" w14:textId="5F393841" w:rsidR="00C57B1A" w:rsidRPr="00F72F8F" w:rsidRDefault="00D86BAE" w:rsidP="00FF75CE">
            <w:pPr>
              <w:numPr>
                <w:ilvl w:val="0"/>
                <w:numId w:val="10"/>
              </w:numPr>
              <w:spacing w:before="120" w:after="120"/>
              <w:ind w:left="378"/>
              <w:rPr>
                <w:rFonts w:ascii="Verdana" w:hAnsi="Verdana"/>
              </w:rPr>
            </w:pPr>
            <w:r>
              <w:rPr>
                <w:rFonts w:ascii="Verdana" w:hAnsi="Verdana"/>
              </w:rPr>
              <w:t>I</w:t>
            </w:r>
            <w:r w:rsidR="00C57B1A" w:rsidRPr="00C57B1A">
              <w:rPr>
                <w:rFonts w:ascii="Verdana" w:hAnsi="Verdana"/>
              </w:rPr>
              <w:t>f the member disputes the accumulations, becomes escalated, or insist</w:t>
            </w:r>
            <w:r>
              <w:rPr>
                <w:rFonts w:ascii="Verdana" w:hAnsi="Verdana"/>
              </w:rPr>
              <w:t>s</w:t>
            </w:r>
            <w:r w:rsidR="00C57B1A" w:rsidRPr="00C57B1A">
              <w:rPr>
                <w:rFonts w:ascii="Verdana" w:hAnsi="Verdana"/>
              </w:rPr>
              <w:t xml:space="preserve"> he/she will not pay for </w:t>
            </w:r>
            <w:r w:rsidR="00A441C5" w:rsidRPr="00C57B1A">
              <w:rPr>
                <w:rFonts w:ascii="Verdana" w:hAnsi="Verdana"/>
              </w:rPr>
              <w:t>any more</w:t>
            </w:r>
            <w:r w:rsidR="00C57B1A" w:rsidRPr="00C57B1A">
              <w:rPr>
                <w:rFonts w:ascii="Verdana" w:hAnsi="Verdana"/>
              </w:rPr>
              <w:t xml:space="preserve"> prescriptions</w:t>
            </w:r>
            <w:r>
              <w:rPr>
                <w:rFonts w:ascii="Verdana" w:hAnsi="Verdana"/>
              </w:rPr>
              <w:t>,</w:t>
            </w:r>
            <w:r w:rsidR="00C57B1A" w:rsidRPr="00C57B1A">
              <w:rPr>
                <w:rFonts w:ascii="Verdana" w:hAnsi="Verdana"/>
              </w:rPr>
              <w:t xml:space="preserve"> submit an </w:t>
            </w:r>
            <w:r>
              <w:rPr>
                <w:rFonts w:ascii="Verdana" w:hAnsi="Verdana"/>
              </w:rPr>
              <w:t>Account Executive Consideration task.</w:t>
            </w:r>
          </w:p>
        </w:tc>
      </w:tr>
      <w:tr w:rsidR="00B53794" w:rsidRPr="00F72F8F" w14:paraId="77A014BF" w14:textId="77777777" w:rsidTr="00B53794">
        <w:tc>
          <w:tcPr>
            <w:tcW w:w="1512" w:type="pct"/>
            <w:vMerge w:val="restart"/>
          </w:tcPr>
          <w:p w14:paraId="192189E3" w14:textId="77777777" w:rsidR="00D86BAE" w:rsidRPr="00D86BAE" w:rsidRDefault="00D86BAE" w:rsidP="0037394E">
            <w:pPr>
              <w:spacing w:before="120" w:after="120"/>
              <w:rPr>
                <w:rFonts w:ascii="Verdana" w:hAnsi="Verdana"/>
                <w:b/>
              </w:rPr>
            </w:pPr>
            <w:r w:rsidRPr="00D86BAE">
              <w:rPr>
                <w:rFonts w:ascii="Verdana" w:hAnsi="Verdana"/>
                <w:b/>
              </w:rPr>
              <w:t>Will my deductible apply towards my MOOP?</w:t>
            </w:r>
          </w:p>
          <w:p w14:paraId="36B388EE" w14:textId="77777777" w:rsidR="00D86BAE" w:rsidRPr="00C57B1A" w:rsidRDefault="00D86BAE" w:rsidP="0037394E">
            <w:pPr>
              <w:spacing w:before="120" w:after="120"/>
              <w:rPr>
                <w:rFonts w:ascii="Verdana" w:hAnsi="Verdana"/>
              </w:rPr>
            </w:pPr>
          </w:p>
          <w:p w14:paraId="2098E688" w14:textId="77777777" w:rsidR="00D86BAE" w:rsidRPr="00C57B1A" w:rsidRDefault="00D86BAE" w:rsidP="0037394E">
            <w:pPr>
              <w:spacing w:before="120" w:after="120"/>
              <w:rPr>
                <w:rFonts w:ascii="Verdana" w:hAnsi="Verdana"/>
                <w:b/>
              </w:rPr>
            </w:pPr>
          </w:p>
        </w:tc>
        <w:tc>
          <w:tcPr>
            <w:tcW w:w="3488" w:type="pct"/>
            <w:gridSpan w:val="2"/>
          </w:tcPr>
          <w:p w14:paraId="24D0C19B" w14:textId="77777777" w:rsidR="00D86BAE" w:rsidRPr="00C57B1A" w:rsidRDefault="00D86BAE" w:rsidP="00FF75CE">
            <w:pPr>
              <w:spacing w:before="120" w:after="120"/>
              <w:rPr>
                <w:rFonts w:ascii="Verdana" w:hAnsi="Verdana"/>
              </w:rPr>
            </w:pPr>
            <w:r w:rsidRPr="00C57B1A">
              <w:rPr>
                <w:rFonts w:ascii="Verdana" w:hAnsi="Verdana"/>
              </w:rPr>
              <w:t xml:space="preserve">It depends.  </w:t>
            </w:r>
            <w:r>
              <w:rPr>
                <w:rFonts w:ascii="Verdana" w:hAnsi="Verdana"/>
              </w:rPr>
              <w:t>Check the Account B</w:t>
            </w:r>
            <w:r w:rsidRPr="00C57B1A">
              <w:rPr>
                <w:rFonts w:ascii="Verdana" w:hAnsi="Verdana"/>
              </w:rPr>
              <w:t>alance screen</w:t>
            </w:r>
            <w:r>
              <w:rPr>
                <w:rFonts w:ascii="Verdana" w:hAnsi="Verdana"/>
              </w:rPr>
              <w:t xml:space="preserve"> for “</w:t>
            </w:r>
            <w:r w:rsidRPr="00C57B1A">
              <w:rPr>
                <w:rFonts w:ascii="Verdana" w:hAnsi="Verdana"/>
              </w:rPr>
              <w:t>MOOP-IN DED</w:t>
            </w:r>
            <w:r>
              <w:rPr>
                <w:rFonts w:ascii="Verdana" w:hAnsi="Verdana"/>
              </w:rPr>
              <w:t>”</w:t>
            </w:r>
            <w:r w:rsidRPr="00C57B1A">
              <w:rPr>
                <w:rFonts w:ascii="Verdana" w:hAnsi="Verdana"/>
              </w:rPr>
              <w:t xml:space="preserve"> or </w:t>
            </w:r>
            <w:r>
              <w:rPr>
                <w:rFonts w:ascii="Verdana" w:hAnsi="Verdana"/>
              </w:rPr>
              <w:t>“</w:t>
            </w:r>
            <w:r w:rsidRPr="00C57B1A">
              <w:rPr>
                <w:rFonts w:ascii="Verdana" w:hAnsi="Verdana"/>
              </w:rPr>
              <w:t>MOOP-EX-DED</w:t>
            </w:r>
            <w:r>
              <w:rPr>
                <w:rFonts w:ascii="Verdana" w:hAnsi="Verdana"/>
              </w:rPr>
              <w:t>”</w:t>
            </w:r>
            <w:r w:rsidRPr="00C57B1A">
              <w:rPr>
                <w:rFonts w:ascii="Verdana" w:hAnsi="Verdana"/>
              </w:rPr>
              <w:t xml:space="preserve"> in the Account Class.  </w:t>
            </w:r>
          </w:p>
        </w:tc>
      </w:tr>
      <w:tr w:rsidR="00B53794" w:rsidRPr="00F72F8F" w14:paraId="23CA49C4" w14:textId="77777777" w:rsidTr="00B53794">
        <w:trPr>
          <w:trHeight w:val="90"/>
        </w:trPr>
        <w:tc>
          <w:tcPr>
            <w:tcW w:w="1512" w:type="pct"/>
            <w:vMerge/>
          </w:tcPr>
          <w:p w14:paraId="5348E17D" w14:textId="77777777" w:rsidR="00D86BAE" w:rsidRPr="00D86BAE" w:rsidRDefault="00D86BAE" w:rsidP="0037394E">
            <w:pPr>
              <w:spacing w:before="120" w:after="120"/>
              <w:rPr>
                <w:rFonts w:ascii="Verdana" w:hAnsi="Verdana"/>
                <w:b/>
              </w:rPr>
            </w:pPr>
          </w:p>
        </w:tc>
        <w:tc>
          <w:tcPr>
            <w:tcW w:w="817" w:type="pct"/>
            <w:shd w:val="clear" w:color="auto" w:fill="E6E6E6"/>
          </w:tcPr>
          <w:p w14:paraId="2DFF6D3A" w14:textId="77777777" w:rsidR="00D86BAE" w:rsidRPr="00D86BAE" w:rsidRDefault="00D86BAE" w:rsidP="0037394E">
            <w:pPr>
              <w:spacing w:before="120" w:after="120"/>
              <w:jc w:val="center"/>
              <w:rPr>
                <w:rFonts w:ascii="Verdana" w:hAnsi="Verdana"/>
                <w:b/>
              </w:rPr>
            </w:pPr>
            <w:r w:rsidRPr="00D86BAE">
              <w:rPr>
                <w:rFonts w:ascii="Verdana" w:hAnsi="Verdana"/>
                <w:b/>
              </w:rPr>
              <w:t>If the Account Class is…</w:t>
            </w:r>
          </w:p>
        </w:tc>
        <w:tc>
          <w:tcPr>
            <w:tcW w:w="2671" w:type="pct"/>
            <w:shd w:val="clear" w:color="auto" w:fill="E6E6E6"/>
          </w:tcPr>
          <w:p w14:paraId="3B0E045D" w14:textId="7B25ABDF" w:rsidR="00D86BAE" w:rsidRPr="00D86BAE" w:rsidRDefault="00D86BAE" w:rsidP="0037394E">
            <w:pPr>
              <w:spacing w:before="120" w:after="120"/>
              <w:jc w:val="center"/>
              <w:rPr>
                <w:rFonts w:ascii="Verdana" w:hAnsi="Verdana"/>
                <w:b/>
              </w:rPr>
            </w:pPr>
            <w:r w:rsidRPr="00D86BAE">
              <w:rPr>
                <w:rFonts w:ascii="Verdana" w:hAnsi="Verdana"/>
                <w:b/>
              </w:rPr>
              <w:t>Then the Deductible</w:t>
            </w:r>
            <w:r w:rsidR="006E5BDD">
              <w:rPr>
                <w:rFonts w:ascii="Verdana" w:hAnsi="Verdana"/>
                <w:b/>
              </w:rPr>
              <w:t xml:space="preserve"> is</w:t>
            </w:r>
            <w:r w:rsidRPr="00D86BAE">
              <w:rPr>
                <w:rFonts w:ascii="Verdana" w:hAnsi="Verdana"/>
                <w:b/>
              </w:rPr>
              <w:t>…</w:t>
            </w:r>
          </w:p>
        </w:tc>
      </w:tr>
      <w:tr w:rsidR="00B53794" w:rsidRPr="00F72F8F" w14:paraId="6D044819" w14:textId="77777777" w:rsidTr="00B53794">
        <w:trPr>
          <w:trHeight w:val="90"/>
        </w:trPr>
        <w:tc>
          <w:tcPr>
            <w:tcW w:w="1512" w:type="pct"/>
            <w:vMerge/>
          </w:tcPr>
          <w:p w14:paraId="227C9FD9" w14:textId="77777777" w:rsidR="00D86BAE" w:rsidRPr="00D86BAE" w:rsidRDefault="00D86BAE" w:rsidP="0037394E">
            <w:pPr>
              <w:spacing w:before="120" w:after="120"/>
              <w:rPr>
                <w:rFonts w:ascii="Verdana" w:hAnsi="Verdana"/>
                <w:b/>
              </w:rPr>
            </w:pPr>
          </w:p>
        </w:tc>
        <w:tc>
          <w:tcPr>
            <w:tcW w:w="817" w:type="pct"/>
          </w:tcPr>
          <w:p w14:paraId="220D11CA" w14:textId="77777777" w:rsidR="00D86BAE" w:rsidRPr="00C57B1A" w:rsidRDefault="00D86BAE" w:rsidP="0037394E">
            <w:pPr>
              <w:spacing w:before="120" w:after="120"/>
              <w:rPr>
                <w:rFonts w:ascii="Verdana" w:hAnsi="Verdana"/>
              </w:rPr>
            </w:pPr>
            <w:r w:rsidRPr="00D86BAE">
              <w:rPr>
                <w:rFonts w:ascii="Verdana" w:hAnsi="Verdana"/>
              </w:rPr>
              <w:t>MOOP-IN-DED</w:t>
            </w:r>
          </w:p>
        </w:tc>
        <w:tc>
          <w:tcPr>
            <w:tcW w:w="2671" w:type="pct"/>
          </w:tcPr>
          <w:p w14:paraId="6A703092" w14:textId="382122AF" w:rsidR="00D86BAE" w:rsidRPr="00C57B1A" w:rsidRDefault="006E5BDD" w:rsidP="0037394E">
            <w:pPr>
              <w:spacing w:before="120" w:after="120"/>
              <w:rPr>
                <w:rFonts w:ascii="Verdana" w:hAnsi="Verdana"/>
              </w:rPr>
            </w:pPr>
            <w:r>
              <w:rPr>
                <w:rFonts w:ascii="Verdana" w:hAnsi="Verdana"/>
              </w:rPr>
              <w:t>I</w:t>
            </w:r>
            <w:r w:rsidR="00D86BAE" w:rsidRPr="00D86BAE">
              <w:rPr>
                <w:rFonts w:ascii="Verdana" w:hAnsi="Verdana"/>
              </w:rPr>
              <w:t>ncluded/applied in the MOOP amount</w:t>
            </w:r>
          </w:p>
        </w:tc>
      </w:tr>
      <w:tr w:rsidR="00B53794" w:rsidRPr="00F72F8F" w14:paraId="6B6CD0D1" w14:textId="77777777" w:rsidTr="00B53794">
        <w:trPr>
          <w:trHeight w:val="90"/>
        </w:trPr>
        <w:tc>
          <w:tcPr>
            <w:tcW w:w="1512" w:type="pct"/>
            <w:vMerge/>
          </w:tcPr>
          <w:p w14:paraId="584ED8F9" w14:textId="77777777" w:rsidR="00D86BAE" w:rsidRPr="00D86BAE" w:rsidRDefault="00D86BAE" w:rsidP="0037394E">
            <w:pPr>
              <w:spacing w:before="120" w:after="120"/>
              <w:rPr>
                <w:rFonts w:ascii="Verdana" w:hAnsi="Verdana"/>
                <w:b/>
              </w:rPr>
            </w:pPr>
          </w:p>
        </w:tc>
        <w:tc>
          <w:tcPr>
            <w:tcW w:w="817" w:type="pct"/>
          </w:tcPr>
          <w:p w14:paraId="63E6A5E4" w14:textId="77777777" w:rsidR="00D86BAE" w:rsidRPr="00C57B1A" w:rsidRDefault="00D86BAE" w:rsidP="0037394E">
            <w:pPr>
              <w:spacing w:before="120" w:after="120"/>
              <w:rPr>
                <w:rFonts w:ascii="Verdana" w:hAnsi="Verdana"/>
              </w:rPr>
            </w:pPr>
            <w:r w:rsidRPr="00D86BAE">
              <w:rPr>
                <w:rFonts w:ascii="Verdana" w:hAnsi="Verdana"/>
              </w:rPr>
              <w:t>MOOP-EX-DED</w:t>
            </w:r>
          </w:p>
        </w:tc>
        <w:tc>
          <w:tcPr>
            <w:tcW w:w="2671" w:type="pct"/>
          </w:tcPr>
          <w:p w14:paraId="22770913" w14:textId="66557B8B" w:rsidR="00D86BAE" w:rsidRDefault="006E5BDD" w:rsidP="0037394E">
            <w:pPr>
              <w:spacing w:before="120" w:after="120"/>
              <w:rPr>
                <w:rFonts w:ascii="Verdana" w:hAnsi="Verdana"/>
              </w:rPr>
            </w:pPr>
            <w:r>
              <w:rPr>
                <w:rFonts w:ascii="Verdana" w:hAnsi="Verdana"/>
              </w:rPr>
              <w:t>E</w:t>
            </w:r>
            <w:r w:rsidR="00D86BAE" w:rsidRPr="00D86BAE">
              <w:rPr>
                <w:rFonts w:ascii="Verdana" w:hAnsi="Verdana"/>
              </w:rPr>
              <w:t>xcluded (</w:t>
            </w:r>
            <w:r w:rsidR="00D24F93" w:rsidRPr="00D86BAE">
              <w:rPr>
                <w:rFonts w:ascii="Verdana" w:hAnsi="Verdana"/>
              </w:rPr>
              <w:t>does not</w:t>
            </w:r>
            <w:r w:rsidR="00D86BAE" w:rsidRPr="00D86BAE">
              <w:rPr>
                <w:rFonts w:ascii="Verdana" w:hAnsi="Verdana"/>
              </w:rPr>
              <w:t xml:space="preserve"> apply) in the amount needed to reach the MOOP amount.</w:t>
            </w:r>
          </w:p>
          <w:p w14:paraId="4BA3F14C" w14:textId="6D1BFC93" w:rsidR="00EB3053" w:rsidRPr="00C57B1A" w:rsidRDefault="00D86BAE" w:rsidP="00FF75CE">
            <w:pPr>
              <w:spacing w:before="120" w:after="120"/>
              <w:rPr>
                <w:rFonts w:ascii="Verdana" w:hAnsi="Verdana"/>
              </w:rPr>
            </w:pPr>
            <w:r w:rsidRPr="00D86BAE">
              <w:rPr>
                <w:rFonts w:ascii="Verdana" w:hAnsi="Verdana"/>
                <w:b/>
              </w:rPr>
              <w:t xml:space="preserve">Example: </w:t>
            </w:r>
            <w:r w:rsidRPr="00D86BAE">
              <w:rPr>
                <w:rFonts w:ascii="Verdana" w:hAnsi="Verdana"/>
              </w:rPr>
              <w:t xml:space="preserve">In the </w:t>
            </w:r>
            <w:r>
              <w:rPr>
                <w:rFonts w:ascii="Verdana" w:hAnsi="Verdana"/>
              </w:rPr>
              <w:t>below</w:t>
            </w:r>
            <w:r w:rsidRPr="00D86BAE">
              <w:rPr>
                <w:rFonts w:ascii="Verdana" w:hAnsi="Verdana"/>
              </w:rPr>
              <w:t xml:space="preserve"> example the member’s deductible is not applied to the maximum out of pocket (MOOP) expenses. Therefore, the accumulated amount to date is only $</w:t>
            </w:r>
            <w:r w:rsidR="007C6798">
              <w:rPr>
                <w:rFonts w:ascii="Verdana" w:hAnsi="Verdana"/>
              </w:rPr>
              <w:t>857.27</w:t>
            </w:r>
            <w:r w:rsidRPr="00D86BAE">
              <w:rPr>
                <w:rFonts w:ascii="Verdana" w:hAnsi="Verdana"/>
              </w:rPr>
              <w:t>.</w:t>
            </w:r>
          </w:p>
        </w:tc>
      </w:tr>
      <w:tr w:rsidR="00B53794" w:rsidRPr="00F72F8F" w14:paraId="0B27C7D8" w14:textId="77777777" w:rsidTr="00B53794">
        <w:trPr>
          <w:trHeight w:val="90"/>
        </w:trPr>
        <w:tc>
          <w:tcPr>
            <w:tcW w:w="1512" w:type="pct"/>
            <w:vMerge/>
          </w:tcPr>
          <w:p w14:paraId="4893C475" w14:textId="77777777" w:rsidR="00D86BAE" w:rsidRPr="00D86BAE" w:rsidRDefault="00D86BAE" w:rsidP="0037394E">
            <w:pPr>
              <w:spacing w:before="120" w:after="120"/>
              <w:rPr>
                <w:rFonts w:ascii="Verdana" w:hAnsi="Verdana"/>
                <w:b/>
              </w:rPr>
            </w:pPr>
          </w:p>
        </w:tc>
        <w:tc>
          <w:tcPr>
            <w:tcW w:w="3488" w:type="pct"/>
            <w:gridSpan w:val="2"/>
          </w:tcPr>
          <w:p w14:paraId="223F0F9F" w14:textId="77777777" w:rsidR="00994F04" w:rsidRDefault="00994F04" w:rsidP="0037394E">
            <w:pPr>
              <w:spacing w:before="120" w:after="120"/>
              <w:jc w:val="center"/>
              <w:rPr>
                <w:rFonts w:ascii="Cambria" w:hAnsi="Cambria"/>
                <w:noProof/>
                <w:color w:val="FF0000"/>
              </w:rPr>
            </w:pPr>
          </w:p>
          <w:p w14:paraId="469988F4" w14:textId="6B1F2653" w:rsidR="00D86BAE" w:rsidRPr="00D86BAE" w:rsidRDefault="00B53794" w:rsidP="00FF75CE">
            <w:pPr>
              <w:spacing w:before="120" w:after="120"/>
              <w:jc w:val="center"/>
              <w:rPr>
                <w:rFonts w:ascii="Verdana" w:hAnsi="Verdana"/>
              </w:rPr>
            </w:pPr>
            <w:r>
              <w:rPr>
                <w:noProof/>
              </w:rPr>
              <w:drawing>
                <wp:inline distT="0" distB="0" distL="0" distR="0" wp14:anchorId="250E2D6C" wp14:editId="00317A5E">
                  <wp:extent cx="8476279" cy="2880332"/>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533961" cy="2899933"/>
                          </a:xfrm>
                          <a:prstGeom prst="rect">
                            <a:avLst/>
                          </a:prstGeom>
                        </pic:spPr>
                      </pic:pic>
                    </a:graphicData>
                  </a:graphic>
                </wp:inline>
              </w:drawing>
            </w:r>
            <w:r w:rsidR="00D86BAE">
              <w:rPr>
                <w:rFonts w:ascii="Cambria" w:hAnsi="Cambria"/>
                <w:noProof/>
                <w:color w:val="FF0000"/>
              </w:rPr>
              <w:t xml:space="preserve"> </w:t>
            </w:r>
          </w:p>
        </w:tc>
      </w:tr>
    </w:tbl>
    <w:p w14:paraId="102A5CB9" w14:textId="77777777" w:rsidR="00C57B1A" w:rsidRDefault="00C57B1A" w:rsidP="00C57B1A">
      <w:pPr>
        <w:jc w:val="right"/>
        <w:rPr>
          <w:rFonts w:ascii="Verdana" w:hAnsi="Verdana"/>
        </w:rPr>
      </w:pPr>
    </w:p>
    <w:p w14:paraId="4433E1F9" w14:textId="77777777" w:rsidR="00245940" w:rsidRDefault="00245940" w:rsidP="00245940">
      <w:pPr>
        <w:jc w:val="right"/>
        <w:rPr>
          <w:rFonts w:ascii="Verdana" w:hAnsi="Verdana"/>
        </w:rPr>
      </w:pPr>
      <w:hyperlink w:anchor="_top" w:history="1">
        <w:r w:rsidRPr="0024594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7543C" w:rsidRPr="00700B82" w14:paraId="292F2BB8" w14:textId="77777777" w:rsidTr="00F43AC7">
        <w:tc>
          <w:tcPr>
            <w:tcW w:w="5000" w:type="pct"/>
            <w:shd w:val="clear" w:color="auto" w:fill="C0C0C0"/>
          </w:tcPr>
          <w:p w14:paraId="1570F336" w14:textId="77777777" w:rsidR="0037543C" w:rsidRPr="00700B82" w:rsidRDefault="0037543C" w:rsidP="0037394E">
            <w:pPr>
              <w:pStyle w:val="Heading2"/>
              <w:tabs>
                <w:tab w:val="left" w:pos="11985"/>
              </w:tabs>
              <w:spacing w:before="120" w:after="120"/>
              <w:rPr>
                <w:rFonts w:ascii="Verdana" w:hAnsi="Verdana"/>
                <w:i w:val="0"/>
                <w:iCs w:val="0"/>
                <w:color w:val="000000"/>
              </w:rPr>
            </w:pPr>
            <w:bookmarkStart w:id="21" w:name="_Frequently_Asked_Questions_2"/>
            <w:bookmarkStart w:id="22" w:name="_Toc181254532"/>
            <w:bookmarkEnd w:id="21"/>
            <w:r w:rsidRPr="00700B82">
              <w:rPr>
                <w:rFonts w:ascii="Verdana" w:hAnsi="Verdana"/>
                <w:i w:val="0"/>
                <w:iCs w:val="0"/>
                <w:color w:val="000000"/>
              </w:rPr>
              <w:t>Frequently Asked Questions - Healthcare Reform</w:t>
            </w:r>
            <w:bookmarkEnd w:id="22"/>
          </w:p>
        </w:tc>
      </w:tr>
    </w:tbl>
    <w:p w14:paraId="11AD082A" w14:textId="77777777" w:rsidR="0037543C" w:rsidRPr="00700B82" w:rsidRDefault="0037543C" w:rsidP="0037394E">
      <w:pPr>
        <w:spacing w:before="120" w:after="240"/>
        <w:rPr>
          <w:rFonts w:ascii="Verdana" w:hAnsi="Verdana"/>
          <w:color w:val="000000"/>
        </w:rPr>
      </w:pPr>
      <w:r w:rsidRPr="00700B82">
        <w:rPr>
          <w:rFonts w:ascii="Verdana" w:hAnsi="Verdana"/>
          <w:color w:val="000000"/>
        </w:rPr>
        <w:t xml:space="preserve">This section contains additional guidance to assist Customer Care representatives when callers ask certain health care reform questions that are not appropriate for </w:t>
      </w:r>
      <w:r w:rsidR="00385170">
        <w:rPr>
          <w:rFonts w:ascii="Verdana" w:hAnsi="Verdana"/>
          <w:color w:val="000000"/>
        </w:rPr>
        <w:t>our PBM</w:t>
      </w:r>
      <w:r w:rsidRPr="00700B82">
        <w:rPr>
          <w:rFonts w:ascii="Verdana" w:hAnsi="Verdana"/>
          <w:color w:val="000000"/>
        </w:rPr>
        <w:t xml:space="preserve"> to address in any specific way. This includes:</w:t>
      </w:r>
    </w:p>
    <w:p w14:paraId="361EF053" w14:textId="32644E55" w:rsidR="00385170" w:rsidRPr="00FF75CE" w:rsidRDefault="0037543C" w:rsidP="00FF75CE">
      <w:pPr>
        <w:pStyle w:val="ListParagraph"/>
        <w:numPr>
          <w:ilvl w:val="0"/>
          <w:numId w:val="32"/>
        </w:numPr>
        <w:spacing w:before="120" w:after="120"/>
        <w:ind w:left="360"/>
        <w:rPr>
          <w:rFonts w:ascii="Verdana" w:hAnsi="Verdana"/>
          <w:color w:val="000000"/>
          <w:sz w:val="24"/>
          <w:szCs w:val="24"/>
        </w:rPr>
      </w:pPr>
      <w:r w:rsidRPr="00FF75CE">
        <w:rPr>
          <w:rFonts w:ascii="Verdana" w:hAnsi="Verdana"/>
          <w:color w:val="000000"/>
          <w:sz w:val="24"/>
          <w:szCs w:val="24"/>
        </w:rPr>
        <w:t xml:space="preserve">Questions from people who oppose the health care reform law, object to complying with its requirements or challenge the authority of the government to implement the Affordable Care Act. For example, “Isn’t health care reform unconstitutional?” </w:t>
      </w:r>
    </w:p>
    <w:p w14:paraId="5BF67B6A" w14:textId="163F5F6D" w:rsidR="0037543C" w:rsidRPr="00FF75CE" w:rsidRDefault="0037543C" w:rsidP="00FF75CE">
      <w:pPr>
        <w:pStyle w:val="ListParagraph"/>
        <w:spacing w:before="120" w:after="120"/>
        <w:ind w:left="360"/>
        <w:rPr>
          <w:rFonts w:ascii="Verdana" w:hAnsi="Verdana"/>
          <w:color w:val="000000"/>
          <w:sz w:val="24"/>
          <w:szCs w:val="24"/>
        </w:rPr>
      </w:pPr>
      <w:r w:rsidRPr="0445F050">
        <w:rPr>
          <w:rFonts w:ascii="Verdana" w:hAnsi="Verdana"/>
          <w:color w:val="000000" w:themeColor="text1"/>
          <w:sz w:val="24"/>
          <w:szCs w:val="24"/>
        </w:rPr>
        <w:t xml:space="preserve">“Why am I being forced to buy (or have) coverage?” </w:t>
      </w:r>
      <w:r w:rsidR="34D62753" w:rsidRPr="0445F050">
        <w:rPr>
          <w:rFonts w:ascii="Verdana" w:hAnsi="Verdana"/>
          <w:color w:val="000000" w:themeColor="text1"/>
          <w:sz w:val="24"/>
          <w:szCs w:val="24"/>
        </w:rPr>
        <w:t>or</w:t>
      </w:r>
      <w:r w:rsidRPr="0445F050">
        <w:rPr>
          <w:rFonts w:ascii="Verdana" w:hAnsi="Verdana"/>
          <w:color w:val="000000" w:themeColor="text1"/>
          <w:sz w:val="24"/>
          <w:szCs w:val="24"/>
        </w:rPr>
        <w:t xml:space="preserve"> “Why should the government be able to tell me what to do?”</w:t>
      </w:r>
    </w:p>
    <w:p w14:paraId="19E9747E" w14:textId="77777777" w:rsidR="00FF75CE" w:rsidRDefault="00FF75CE" w:rsidP="00FF75CE">
      <w:pPr>
        <w:pStyle w:val="ListParagraph"/>
        <w:spacing w:before="120" w:after="120"/>
        <w:ind w:left="360"/>
        <w:rPr>
          <w:rFonts w:ascii="Verdana" w:hAnsi="Verdana"/>
          <w:color w:val="000000"/>
          <w:sz w:val="24"/>
          <w:szCs w:val="24"/>
        </w:rPr>
      </w:pPr>
    </w:p>
    <w:p w14:paraId="2C26B73A" w14:textId="3ED80F06" w:rsidR="0037543C" w:rsidRPr="00FF75CE" w:rsidRDefault="0037543C" w:rsidP="00FF75CE">
      <w:pPr>
        <w:pStyle w:val="ListParagraph"/>
        <w:numPr>
          <w:ilvl w:val="0"/>
          <w:numId w:val="32"/>
        </w:numPr>
        <w:spacing w:before="120" w:after="120"/>
        <w:ind w:left="360"/>
        <w:rPr>
          <w:rFonts w:ascii="Verdana" w:hAnsi="Verdana"/>
          <w:color w:val="000000"/>
          <w:sz w:val="24"/>
          <w:szCs w:val="24"/>
        </w:rPr>
      </w:pPr>
      <w:r w:rsidRPr="0445F050">
        <w:rPr>
          <w:rFonts w:ascii="Verdana" w:hAnsi="Verdana"/>
          <w:color w:val="000000" w:themeColor="text1"/>
          <w:sz w:val="24"/>
          <w:szCs w:val="24"/>
        </w:rPr>
        <w:t xml:space="preserve">Questions about the health insurance </w:t>
      </w:r>
      <w:r w:rsidR="00BB3A13" w:rsidRPr="0445F050">
        <w:rPr>
          <w:rFonts w:ascii="Verdana" w:hAnsi="Verdana"/>
          <w:color w:val="000000" w:themeColor="text1"/>
          <w:sz w:val="24"/>
          <w:szCs w:val="24"/>
        </w:rPr>
        <w:t>e</w:t>
      </w:r>
      <w:r w:rsidRPr="0445F050">
        <w:rPr>
          <w:rFonts w:ascii="Verdana" w:hAnsi="Verdana"/>
          <w:color w:val="000000" w:themeColor="text1"/>
          <w:sz w:val="24"/>
          <w:szCs w:val="24"/>
        </w:rPr>
        <w:t xml:space="preserve">xchange that are beyond the scope of the training provided to Customer Care. For example, “How should I decide which Exchange plan is best for me?” </w:t>
      </w:r>
      <w:r w:rsidR="74DEB9FC" w:rsidRPr="0445F050">
        <w:rPr>
          <w:rFonts w:ascii="Verdana" w:hAnsi="Verdana"/>
          <w:color w:val="000000" w:themeColor="text1"/>
          <w:sz w:val="24"/>
          <w:szCs w:val="24"/>
        </w:rPr>
        <w:t>or</w:t>
      </w:r>
      <w:r w:rsidRPr="0445F050">
        <w:rPr>
          <w:rFonts w:ascii="Verdana" w:hAnsi="Verdana"/>
          <w:color w:val="000000" w:themeColor="text1"/>
          <w:sz w:val="24"/>
          <w:szCs w:val="24"/>
        </w:rPr>
        <w:t xml:space="preserve"> “How do I enroll for coverage where I live?”</w:t>
      </w:r>
    </w:p>
    <w:p w14:paraId="64500169" w14:textId="77777777" w:rsidR="00184DFB" w:rsidRDefault="00184DFB" w:rsidP="0037394E">
      <w:pPr>
        <w:spacing w:before="120" w:after="240"/>
        <w:rPr>
          <w:rFonts w:ascii="Verdana" w:hAnsi="Verdana"/>
          <w:color w:val="000000"/>
        </w:rPr>
      </w:pPr>
    </w:p>
    <w:p w14:paraId="6C531513" w14:textId="77777777" w:rsidR="0037543C" w:rsidRPr="00700B82" w:rsidRDefault="0037543C" w:rsidP="0037394E">
      <w:pPr>
        <w:spacing w:before="120" w:after="240"/>
        <w:rPr>
          <w:rFonts w:ascii="Verdana" w:hAnsi="Verdana"/>
          <w:color w:val="000000"/>
        </w:rPr>
      </w:pPr>
      <w:r w:rsidRPr="00700B82">
        <w:rPr>
          <w:rFonts w:ascii="Verdana" w:hAnsi="Verdana"/>
          <w:color w:val="000000"/>
        </w:rPr>
        <w:t>The approach for such questions is to:</w:t>
      </w:r>
    </w:p>
    <w:p w14:paraId="4A5C6460" w14:textId="28BBFE7C" w:rsidR="0037543C" w:rsidRPr="00700B82" w:rsidRDefault="0037543C" w:rsidP="007C6798">
      <w:pPr>
        <w:numPr>
          <w:ilvl w:val="0"/>
          <w:numId w:val="12"/>
        </w:numPr>
        <w:ind w:left="360"/>
        <w:rPr>
          <w:rFonts w:ascii="Verdana" w:hAnsi="Verdana"/>
          <w:color w:val="000000"/>
        </w:rPr>
      </w:pPr>
      <w:r w:rsidRPr="00700B82">
        <w:rPr>
          <w:rFonts w:ascii="Verdana" w:hAnsi="Verdana"/>
          <w:color w:val="000000"/>
        </w:rPr>
        <w:t>Listen with empathy</w:t>
      </w:r>
      <w:r w:rsidR="00DB146C">
        <w:rPr>
          <w:rFonts w:ascii="Verdana" w:hAnsi="Verdana"/>
          <w:color w:val="000000"/>
        </w:rPr>
        <w:t>.</w:t>
      </w:r>
    </w:p>
    <w:p w14:paraId="5583950F" w14:textId="4F1EA8AC" w:rsidR="0037543C" w:rsidRPr="00700B82" w:rsidRDefault="0037543C" w:rsidP="007C6798">
      <w:pPr>
        <w:numPr>
          <w:ilvl w:val="0"/>
          <w:numId w:val="12"/>
        </w:numPr>
        <w:ind w:left="360"/>
        <w:rPr>
          <w:rFonts w:ascii="Verdana" w:hAnsi="Verdana"/>
          <w:color w:val="000000"/>
        </w:rPr>
      </w:pPr>
      <w:r w:rsidRPr="00700B82">
        <w:rPr>
          <w:rFonts w:ascii="Verdana" w:hAnsi="Verdana"/>
          <w:color w:val="000000"/>
        </w:rPr>
        <w:t>Acknowledge the question</w:t>
      </w:r>
      <w:r w:rsidR="00DB146C">
        <w:rPr>
          <w:rFonts w:ascii="Verdana" w:hAnsi="Verdana"/>
          <w:color w:val="000000"/>
        </w:rPr>
        <w:t>.</w:t>
      </w:r>
    </w:p>
    <w:p w14:paraId="33FA46A7" w14:textId="6639AF37" w:rsidR="0037543C" w:rsidRPr="00700B82" w:rsidRDefault="0037543C" w:rsidP="007C6798">
      <w:pPr>
        <w:numPr>
          <w:ilvl w:val="0"/>
          <w:numId w:val="12"/>
        </w:numPr>
        <w:spacing w:after="240"/>
        <w:ind w:left="360"/>
        <w:rPr>
          <w:rFonts w:ascii="Verdana" w:hAnsi="Verdana"/>
          <w:color w:val="000000"/>
        </w:rPr>
      </w:pPr>
      <w:r w:rsidRPr="00700B82">
        <w:rPr>
          <w:rFonts w:ascii="Verdana" w:hAnsi="Verdana"/>
          <w:color w:val="000000"/>
        </w:rPr>
        <w:t>Redirect the caller</w:t>
      </w:r>
      <w:r w:rsidR="00DB146C">
        <w:rPr>
          <w:rFonts w:ascii="Verdana" w:hAnsi="Verdana"/>
          <w:color w:val="000000"/>
        </w:rPr>
        <w:t>.</w:t>
      </w:r>
    </w:p>
    <w:p w14:paraId="23754538" w14:textId="77777777" w:rsidR="0037543C" w:rsidRPr="00700B82" w:rsidRDefault="0037543C" w:rsidP="0037394E">
      <w:pPr>
        <w:spacing w:before="120" w:after="240"/>
        <w:rPr>
          <w:rFonts w:ascii="Verdana" w:hAnsi="Verdana"/>
          <w:b/>
          <w:color w:val="000000"/>
        </w:rPr>
      </w:pPr>
      <w:r w:rsidRPr="00700B82">
        <w:rPr>
          <w:rFonts w:ascii="Verdana" w:hAnsi="Verdana"/>
          <w:b/>
          <w:color w:val="000000"/>
        </w:rPr>
        <w:t xml:space="preserve">Note: </w:t>
      </w:r>
      <w:r w:rsidRPr="00700B82">
        <w:rPr>
          <w:rFonts w:ascii="Verdana" w:hAnsi="Verdana"/>
          <w:color w:val="000000"/>
        </w:rPr>
        <w:t>These are a few sample questions to help you anticipate what some callers may want to know. The responses provided here are meant to guide you in responding to these and other similar questions that are beyond the scope of the training you have received or are receiving</w:t>
      </w:r>
      <w:r w:rsidR="0037394E">
        <w:rPr>
          <w:rFonts w:ascii="Verdana" w:hAnsi="Verdana"/>
          <w:color w:val="00000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9034"/>
      </w:tblGrid>
      <w:tr w:rsidR="0037543C" w:rsidRPr="00700B82" w14:paraId="60FC7AFF" w14:textId="77777777" w:rsidTr="0445F050">
        <w:tc>
          <w:tcPr>
            <w:tcW w:w="1512" w:type="pct"/>
            <w:shd w:val="clear" w:color="auto" w:fill="D9D9D9" w:themeFill="background1" w:themeFillShade="D9"/>
          </w:tcPr>
          <w:p w14:paraId="64ED32EF" w14:textId="77777777" w:rsidR="0037543C" w:rsidRPr="00700B82" w:rsidRDefault="0037543C" w:rsidP="0037394E">
            <w:pPr>
              <w:spacing w:before="120" w:after="120"/>
              <w:jc w:val="center"/>
              <w:rPr>
                <w:rFonts w:ascii="Verdana" w:hAnsi="Verdana"/>
                <w:b/>
                <w:color w:val="000000"/>
              </w:rPr>
            </w:pPr>
            <w:r w:rsidRPr="00700B82">
              <w:rPr>
                <w:rFonts w:ascii="Verdana" w:hAnsi="Verdana"/>
                <w:b/>
                <w:color w:val="000000"/>
              </w:rPr>
              <w:t>Question</w:t>
            </w:r>
          </w:p>
        </w:tc>
        <w:tc>
          <w:tcPr>
            <w:tcW w:w="3488" w:type="pct"/>
            <w:shd w:val="clear" w:color="auto" w:fill="D9D9D9" w:themeFill="background1" w:themeFillShade="D9"/>
          </w:tcPr>
          <w:p w14:paraId="7AC7E080" w14:textId="77777777" w:rsidR="0037543C" w:rsidRPr="00700B82" w:rsidRDefault="0037543C" w:rsidP="0037394E">
            <w:pPr>
              <w:spacing w:before="120" w:after="120"/>
              <w:jc w:val="center"/>
              <w:rPr>
                <w:rFonts w:ascii="Verdana" w:hAnsi="Verdana"/>
                <w:b/>
                <w:color w:val="000000"/>
              </w:rPr>
            </w:pPr>
            <w:r w:rsidRPr="00700B82">
              <w:rPr>
                <w:rFonts w:ascii="Verdana" w:hAnsi="Verdana"/>
                <w:b/>
                <w:color w:val="000000"/>
              </w:rPr>
              <w:t>Answer</w:t>
            </w:r>
          </w:p>
        </w:tc>
      </w:tr>
      <w:tr w:rsidR="0037543C" w:rsidRPr="00700B82" w14:paraId="71418540" w14:textId="77777777" w:rsidTr="0445F050">
        <w:tc>
          <w:tcPr>
            <w:tcW w:w="1512" w:type="pct"/>
          </w:tcPr>
          <w:p w14:paraId="51076313" w14:textId="77777777" w:rsidR="0037543C" w:rsidRPr="00700B82" w:rsidRDefault="0037543C" w:rsidP="0037394E">
            <w:pPr>
              <w:spacing w:before="120" w:after="120"/>
              <w:rPr>
                <w:rFonts w:ascii="Verdana" w:hAnsi="Verdana"/>
                <w:b/>
                <w:color w:val="000000"/>
              </w:rPr>
            </w:pPr>
            <w:r w:rsidRPr="00700B82">
              <w:rPr>
                <w:rFonts w:ascii="Verdana" w:hAnsi="Verdana"/>
                <w:b/>
                <w:color w:val="000000"/>
              </w:rPr>
              <w:t>Isn’t health care reform unconstitutional? Why should I have to comply with it?</w:t>
            </w:r>
          </w:p>
          <w:p w14:paraId="2370B2F6" w14:textId="77777777" w:rsidR="0037543C" w:rsidRPr="00700B82" w:rsidRDefault="0037543C" w:rsidP="0037394E">
            <w:pPr>
              <w:spacing w:before="120" w:after="120"/>
              <w:rPr>
                <w:rFonts w:ascii="Verdana" w:hAnsi="Verdana"/>
                <w:b/>
                <w:color w:val="000000"/>
              </w:rPr>
            </w:pPr>
          </w:p>
        </w:tc>
        <w:tc>
          <w:tcPr>
            <w:tcW w:w="3488" w:type="pct"/>
          </w:tcPr>
          <w:p w14:paraId="358E3FCA" w14:textId="2D8C7493" w:rsidR="0037543C" w:rsidRPr="00700B82" w:rsidRDefault="0037543C" w:rsidP="0037394E">
            <w:pPr>
              <w:spacing w:before="120" w:after="120"/>
              <w:rPr>
                <w:rFonts w:ascii="Verdana" w:hAnsi="Verdana"/>
                <w:color w:val="000000"/>
              </w:rPr>
            </w:pPr>
            <w:r w:rsidRPr="00700B82">
              <w:rPr>
                <w:rFonts w:ascii="Verdana" w:hAnsi="Verdana"/>
                <w:color w:val="000000"/>
              </w:rPr>
              <w:t xml:space="preserve">It sounds like </w:t>
            </w:r>
            <w:r w:rsidR="00D24F93" w:rsidRPr="00700B82">
              <w:rPr>
                <w:rFonts w:ascii="Verdana" w:hAnsi="Verdana"/>
                <w:color w:val="000000"/>
              </w:rPr>
              <w:t>you are</w:t>
            </w:r>
            <w:r w:rsidRPr="00700B82">
              <w:rPr>
                <w:rFonts w:ascii="Verdana" w:hAnsi="Verdana"/>
                <w:color w:val="000000"/>
              </w:rPr>
              <w:t xml:space="preserve"> unhappy with the health care reform law. </w:t>
            </w:r>
            <w:r w:rsidR="00184DFB">
              <w:rPr>
                <w:rFonts w:ascii="Verdana" w:hAnsi="Verdana"/>
                <w:color w:val="000000"/>
              </w:rPr>
              <w:t xml:space="preserve"> </w:t>
            </w:r>
            <w:r w:rsidRPr="00700B82">
              <w:rPr>
                <w:rFonts w:ascii="Verdana" w:hAnsi="Verdana"/>
                <w:color w:val="000000"/>
              </w:rPr>
              <w:t xml:space="preserve">I hear your concern and that you </w:t>
            </w:r>
            <w:r w:rsidR="00D24F93" w:rsidRPr="00700B82">
              <w:rPr>
                <w:rFonts w:ascii="Verdana" w:hAnsi="Verdana"/>
                <w:color w:val="000000"/>
              </w:rPr>
              <w:t>do not</w:t>
            </w:r>
            <w:r w:rsidRPr="00700B82">
              <w:rPr>
                <w:rFonts w:ascii="Verdana" w:hAnsi="Verdana"/>
                <w:color w:val="000000"/>
              </w:rPr>
              <w:t xml:space="preserve"> want to comply with the law’s requirements. </w:t>
            </w:r>
          </w:p>
          <w:p w14:paraId="2D31F99B" w14:textId="77777777" w:rsidR="0037543C" w:rsidRPr="00700B82" w:rsidRDefault="0037543C" w:rsidP="0037394E">
            <w:pPr>
              <w:spacing w:before="120" w:after="120"/>
              <w:rPr>
                <w:rFonts w:ascii="Verdana" w:hAnsi="Verdana"/>
                <w:color w:val="000000"/>
              </w:rPr>
            </w:pPr>
            <w:r w:rsidRPr="00700B82">
              <w:rPr>
                <w:rFonts w:ascii="Verdana" w:hAnsi="Verdana"/>
                <w:color w:val="000000"/>
              </w:rPr>
              <w:t>The Affordable Care Act became law in 2010 and continues to be in place. If you would like to learn more about the law and how it applies to you, go online to www.healthcare.gov. That website has lots of information about health care reform, how the Affordable Care Act works and how it affects Americans.</w:t>
            </w:r>
          </w:p>
        </w:tc>
      </w:tr>
      <w:tr w:rsidR="0037543C" w:rsidRPr="00700B82" w14:paraId="40A78530" w14:textId="77777777" w:rsidTr="0445F050">
        <w:tc>
          <w:tcPr>
            <w:tcW w:w="1512" w:type="pct"/>
          </w:tcPr>
          <w:p w14:paraId="79A1CF33" w14:textId="77777777" w:rsidR="0037543C" w:rsidRPr="00700B82" w:rsidRDefault="0037543C" w:rsidP="0037394E">
            <w:pPr>
              <w:spacing w:before="120" w:after="120"/>
              <w:rPr>
                <w:rFonts w:ascii="Verdana" w:hAnsi="Verdana"/>
                <w:b/>
                <w:color w:val="000000"/>
              </w:rPr>
            </w:pPr>
            <w:r w:rsidRPr="00700B82">
              <w:rPr>
                <w:rFonts w:ascii="Verdana" w:hAnsi="Verdana"/>
                <w:b/>
                <w:color w:val="000000"/>
              </w:rPr>
              <w:t>I should not be forced to have health coverage. Why should the government be able to tell me what to do?</w:t>
            </w:r>
          </w:p>
        </w:tc>
        <w:tc>
          <w:tcPr>
            <w:tcW w:w="3488" w:type="pct"/>
          </w:tcPr>
          <w:p w14:paraId="4F96C78B" w14:textId="53CE0955" w:rsidR="0037543C" w:rsidRPr="00700B82" w:rsidRDefault="0037543C" w:rsidP="0037394E">
            <w:pPr>
              <w:spacing w:before="120" w:after="120"/>
              <w:rPr>
                <w:rFonts w:ascii="Verdana" w:hAnsi="Verdana"/>
                <w:color w:val="000000"/>
              </w:rPr>
            </w:pPr>
            <w:r w:rsidRPr="00700B82">
              <w:rPr>
                <w:rFonts w:ascii="Verdana" w:hAnsi="Verdana"/>
                <w:color w:val="000000"/>
              </w:rPr>
              <w:t xml:space="preserve">It sounds like </w:t>
            </w:r>
            <w:r w:rsidR="00D24F93" w:rsidRPr="00700B82">
              <w:rPr>
                <w:rFonts w:ascii="Verdana" w:hAnsi="Verdana"/>
                <w:color w:val="000000"/>
              </w:rPr>
              <w:t>you are</w:t>
            </w:r>
            <w:r w:rsidRPr="00700B82">
              <w:rPr>
                <w:rFonts w:ascii="Verdana" w:hAnsi="Verdana"/>
                <w:color w:val="000000"/>
              </w:rPr>
              <w:t xml:space="preserve"> unhappy with the health care reform law. I hear your concern and that you </w:t>
            </w:r>
            <w:r w:rsidR="00D24F93" w:rsidRPr="00700B82">
              <w:rPr>
                <w:rFonts w:ascii="Verdana" w:hAnsi="Verdana"/>
                <w:color w:val="000000"/>
              </w:rPr>
              <w:t>do not</w:t>
            </w:r>
            <w:r w:rsidRPr="00700B82">
              <w:rPr>
                <w:rFonts w:ascii="Verdana" w:hAnsi="Verdana"/>
                <w:color w:val="000000"/>
              </w:rPr>
              <w:t xml:space="preserve"> want to be told what to do. </w:t>
            </w:r>
          </w:p>
          <w:p w14:paraId="66720E9D" w14:textId="77777777" w:rsidR="00385170" w:rsidRPr="00700B82" w:rsidRDefault="0037543C" w:rsidP="0037394E">
            <w:pPr>
              <w:spacing w:before="120" w:after="120"/>
              <w:rPr>
                <w:rFonts w:ascii="Verdana" w:hAnsi="Verdana"/>
                <w:color w:val="000000"/>
              </w:rPr>
            </w:pPr>
            <w:r w:rsidRPr="00700B82">
              <w:rPr>
                <w:rFonts w:ascii="Verdana" w:hAnsi="Verdana"/>
                <w:color w:val="000000"/>
              </w:rPr>
              <w:t>The Affordable Care Act became law in 2010 and continues to be in place. If you would like to learn more about the law and how it applies to you, go online to www.healthcare.gov. That website has lots of information about health care reform, how the Affordable Care Act works and how it affects Americans.</w:t>
            </w:r>
          </w:p>
        </w:tc>
      </w:tr>
      <w:tr w:rsidR="0037543C" w:rsidRPr="00700B82" w14:paraId="239F01A0" w14:textId="77777777" w:rsidTr="0445F050">
        <w:tc>
          <w:tcPr>
            <w:tcW w:w="1512" w:type="pct"/>
          </w:tcPr>
          <w:p w14:paraId="75AD4858" w14:textId="77777777" w:rsidR="0037543C" w:rsidRPr="00700B82" w:rsidRDefault="0037543C" w:rsidP="0037394E">
            <w:pPr>
              <w:spacing w:before="120" w:after="120"/>
              <w:rPr>
                <w:rFonts w:ascii="Verdana" w:hAnsi="Verdana"/>
                <w:b/>
                <w:color w:val="000000"/>
              </w:rPr>
            </w:pPr>
            <w:r w:rsidRPr="00700B82">
              <w:rPr>
                <w:rFonts w:ascii="Verdana" w:hAnsi="Verdana"/>
                <w:b/>
                <w:color w:val="000000"/>
              </w:rPr>
              <w:t>How should I decide what plan offered through a health insurance exchange is right for me?</w:t>
            </w:r>
          </w:p>
          <w:p w14:paraId="13BD43DE" w14:textId="77777777" w:rsidR="0037543C" w:rsidRPr="00700B82" w:rsidRDefault="0037543C" w:rsidP="0037394E">
            <w:pPr>
              <w:spacing w:before="120" w:after="120"/>
              <w:rPr>
                <w:rFonts w:ascii="Verdana" w:hAnsi="Verdana"/>
                <w:b/>
                <w:color w:val="000000"/>
              </w:rPr>
            </w:pPr>
          </w:p>
        </w:tc>
        <w:tc>
          <w:tcPr>
            <w:tcW w:w="3488" w:type="pct"/>
          </w:tcPr>
          <w:p w14:paraId="5EE164B4" w14:textId="77777777" w:rsidR="0037543C" w:rsidRPr="00700B82" w:rsidRDefault="0037543C" w:rsidP="00184DFB">
            <w:pPr>
              <w:spacing w:before="120" w:after="120"/>
              <w:rPr>
                <w:rFonts w:ascii="Verdana" w:hAnsi="Verdana"/>
                <w:color w:val="000000"/>
              </w:rPr>
            </w:pPr>
            <w:r w:rsidRPr="00700B82">
              <w:rPr>
                <w:rFonts w:ascii="Verdana" w:hAnsi="Verdana"/>
                <w:color w:val="000000"/>
              </w:rPr>
              <w:t xml:space="preserve">It sounds like you have some big decisions to make about your health care coverage. I hear that you are trying </w:t>
            </w:r>
            <w:r w:rsidR="007D5BBA">
              <w:rPr>
                <w:rFonts w:ascii="Verdana" w:hAnsi="Verdana"/>
                <w:color w:val="000000"/>
              </w:rPr>
              <w:t xml:space="preserve">to </w:t>
            </w:r>
            <w:r w:rsidRPr="00700B82">
              <w:rPr>
                <w:rFonts w:ascii="Verdana" w:hAnsi="Verdana"/>
                <w:color w:val="000000"/>
              </w:rPr>
              <w:t xml:space="preserve">choose among the many plans available in your state’s health insurance exchange. If you would like to learn more about the Affordable Care Act and how it applies to you, go online to www.healthcare.gov. That website has lots of information about health care reform, how the Affordable Care Act works and how it affects Americans. </w:t>
            </w:r>
          </w:p>
          <w:p w14:paraId="07E12B0E" w14:textId="6A2C5608" w:rsidR="00786573" w:rsidRDefault="0037543C" w:rsidP="0037394E">
            <w:pPr>
              <w:spacing w:before="120" w:after="120"/>
              <w:rPr>
                <w:noProof/>
              </w:rPr>
            </w:pPr>
            <w:r w:rsidRPr="0445F050">
              <w:rPr>
                <w:rFonts w:ascii="Verdana" w:hAnsi="Verdana"/>
                <w:color w:val="000000" w:themeColor="text1"/>
              </w:rPr>
              <w:t xml:space="preserve">For information specifically about health insurance plans available </w:t>
            </w:r>
            <w:r w:rsidR="2AE0281D" w:rsidRPr="0445F050">
              <w:rPr>
                <w:rFonts w:ascii="Verdana" w:hAnsi="Verdana"/>
                <w:color w:val="000000" w:themeColor="text1"/>
              </w:rPr>
              <w:t xml:space="preserve">in </w:t>
            </w:r>
            <w:r w:rsidRPr="0445F050">
              <w:rPr>
                <w:rFonts w:ascii="Verdana" w:hAnsi="Verdana"/>
                <w:color w:val="000000" w:themeColor="text1"/>
              </w:rPr>
              <w:t>your state</w:t>
            </w:r>
            <w:r w:rsidR="00385170" w:rsidRPr="0445F050">
              <w:rPr>
                <w:rFonts w:ascii="Verdana" w:hAnsi="Verdana"/>
                <w:color w:val="000000" w:themeColor="text1"/>
              </w:rPr>
              <w:t xml:space="preserve">, please </w:t>
            </w:r>
            <w:r w:rsidR="21FF17D2" w:rsidRPr="0445F050">
              <w:rPr>
                <w:rFonts w:ascii="Verdana" w:hAnsi="Verdana"/>
                <w:color w:val="000000" w:themeColor="text1"/>
              </w:rPr>
              <w:t>visit</w:t>
            </w:r>
            <w:r w:rsidR="00F329F1" w:rsidRPr="0445F050">
              <w:rPr>
                <w:rFonts w:ascii="Verdana" w:hAnsi="Verdana"/>
                <w:color w:val="000000" w:themeColor="text1"/>
              </w:rPr>
              <w:t xml:space="preserve"> www.</w:t>
            </w:r>
            <w:r w:rsidR="00CC19CF" w:rsidRPr="0445F050">
              <w:rPr>
                <w:rFonts w:ascii="Verdana" w:hAnsi="Verdana"/>
                <w:color w:val="000000" w:themeColor="text1"/>
              </w:rPr>
              <w:t xml:space="preserve">finder.healthcare.gov.  </w:t>
            </w:r>
            <w:r w:rsidR="00385170" w:rsidRPr="0445F050">
              <w:rPr>
                <w:noProof/>
              </w:rPr>
              <w:t xml:space="preserve"> </w:t>
            </w:r>
          </w:p>
          <w:p w14:paraId="643D6D82" w14:textId="14F73C66" w:rsidR="00CC19CF" w:rsidRPr="00700B82" w:rsidRDefault="00184DFB" w:rsidP="00184DFB">
            <w:pPr>
              <w:spacing w:before="120" w:after="120"/>
              <w:rPr>
                <w:rFonts w:ascii="Verdana" w:hAnsi="Verdana"/>
                <w:color w:val="000000"/>
              </w:rPr>
            </w:pPr>
            <w:r w:rsidRPr="00184DFB">
              <w:rPr>
                <w:rFonts w:ascii="Verdana" w:hAnsi="Verdana"/>
                <w:b/>
                <w:bCs/>
                <w:color w:val="000000"/>
              </w:rPr>
              <w:t>CCR:</w:t>
            </w:r>
            <w:r>
              <w:rPr>
                <w:rFonts w:ascii="Verdana" w:hAnsi="Verdana"/>
                <w:color w:val="000000"/>
              </w:rPr>
              <w:t xml:space="preserve">  </w:t>
            </w:r>
            <w:r w:rsidR="00786573">
              <w:rPr>
                <w:rFonts w:ascii="Verdana" w:hAnsi="Verdana"/>
                <w:color w:val="000000"/>
              </w:rPr>
              <w:t>If it is not open enrollment season, provide this websit</w:t>
            </w:r>
            <w:r w:rsidR="00DB146C">
              <w:rPr>
                <w:rFonts w:ascii="Verdana" w:hAnsi="Verdana"/>
                <w:color w:val="000000"/>
              </w:rPr>
              <w:t>e</w:t>
            </w:r>
            <w:r w:rsidR="00786573" w:rsidRPr="00385170">
              <w:rPr>
                <w:rFonts w:ascii="Verdana" w:hAnsi="Verdana"/>
                <w:color w:val="000000"/>
              </w:rPr>
              <w:t xml:space="preserve"> </w:t>
            </w:r>
            <w:hyperlink r:id="rId27" w:history="1">
              <w:r w:rsidR="00684152" w:rsidRPr="00684152">
                <w:rPr>
                  <w:rStyle w:val="Hyperlink"/>
                  <w:rFonts w:ascii="Verdana" w:hAnsi="Verdana"/>
                </w:rPr>
                <w:t>www.h</w:t>
              </w:r>
              <w:r w:rsidR="00684152" w:rsidRPr="008C4467">
                <w:rPr>
                  <w:rStyle w:val="Hyperlink"/>
                  <w:rFonts w:ascii="Verdana" w:hAnsi="Verdana"/>
                </w:rPr>
                <w:t>ealthcare.gov/get-coverage/</w:t>
              </w:r>
            </w:hyperlink>
          </w:p>
        </w:tc>
      </w:tr>
      <w:tr w:rsidR="0037543C" w:rsidRPr="00700B82" w14:paraId="7F230D52" w14:textId="77777777" w:rsidTr="0445F050">
        <w:tc>
          <w:tcPr>
            <w:tcW w:w="1512" w:type="pct"/>
          </w:tcPr>
          <w:p w14:paraId="260E1218" w14:textId="77777777" w:rsidR="0037543C" w:rsidRPr="00700B82" w:rsidRDefault="0037543C" w:rsidP="0037394E">
            <w:pPr>
              <w:spacing w:before="120" w:after="120"/>
              <w:rPr>
                <w:rFonts w:ascii="Verdana" w:hAnsi="Verdana"/>
                <w:b/>
                <w:color w:val="000000"/>
              </w:rPr>
            </w:pPr>
            <w:r w:rsidRPr="00700B82">
              <w:rPr>
                <w:rFonts w:ascii="Verdana" w:hAnsi="Verdana"/>
                <w:b/>
                <w:color w:val="000000"/>
              </w:rPr>
              <w:t>How do I enroll for coverage where I live?</w:t>
            </w:r>
          </w:p>
          <w:p w14:paraId="04D8FAB0" w14:textId="77777777" w:rsidR="0037543C" w:rsidRPr="00700B82" w:rsidRDefault="0037543C" w:rsidP="0037394E">
            <w:pPr>
              <w:spacing w:before="120" w:after="120"/>
              <w:rPr>
                <w:rFonts w:ascii="Verdana" w:hAnsi="Verdana"/>
                <w:b/>
                <w:color w:val="000000"/>
              </w:rPr>
            </w:pPr>
          </w:p>
        </w:tc>
        <w:tc>
          <w:tcPr>
            <w:tcW w:w="3488" w:type="pct"/>
          </w:tcPr>
          <w:p w14:paraId="1315EEDB" w14:textId="77777777" w:rsidR="0037543C" w:rsidRPr="00700B82" w:rsidRDefault="0037543C" w:rsidP="0037394E">
            <w:pPr>
              <w:spacing w:before="120" w:after="120"/>
              <w:rPr>
                <w:rFonts w:ascii="Verdana" w:hAnsi="Verdana"/>
                <w:color w:val="000000"/>
              </w:rPr>
            </w:pPr>
            <w:r w:rsidRPr="00700B82">
              <w:rPr>
                <w:rFonts w:ascii="Verdana" w:hAnsi="Verdana"/>
                <w:color w:val="000000"/>
              </w:rPr>
              <w:t xml:space="preserve">It sounds like you have some big decisions to make about your health care coverage. I hear that you want to know how to enroll in health plan coverage offered in your state’s health insurance exchange. If you would like to learn more about the Affordable Care Act and how it applies to you, go online to www.healthcare.gov. That website has lots of information about health care reform, how the Affordable Care Act works and how it affects Americans. </w:t>
            </w:r>
          </w:p>
          <w:p w14:paraId="4B7914E2" w14:textId="67A832C3" w:rsidR="00F43AC7" w:rsidRPr="00700B82" w:rsidRDefault="0037543C" w:rsidP="00184DFB">
            <w:pPr>
              <w:spacing w:before="120" w:after="120"/>
              <w:rPr>
                <w:rFonts w:ascii="Verdana" w:hAnsi="Verdana"/>
                <w:color w:val="000000"/>
              </w:rPr>
            </w:pPr>
            <w:r w:rsidRPr="00700B82">
              <w:rPr>
                <w:rFonts w:ascii="Verdana" w:hAnsi="Verdana"/>
                <w:color w:val="000000"/>
              </w:rPr>
              <w:t>For information specifically about health insurance plans available through your state’s exchange, go to www.finder.healthcare.gov</w:t>
            </w:r>
            <w:r w:rsidR="00786573">
              <w:rPr>
                <w:rFonts w:ascii="Verdana" w:hAnsi="Verdana"/>
                <w:color w:val="000000"/>
              </w:rPr>
              <w:t>.</w:t>
            </w:r>
            <w:r w:rsidR="00786573">
              <w:rPr>
                <w:rFonts w:ascii="Verdana" w:hAnsi="Verdana"/>
                <w:color w:val="000000"/>
              </w:rPr>
              <w:br/>
            </w:r>
            <w:r w:rsidR="00786573">
              <w:rPr>
                <w:rFonts w:ascii="Verdana" w:hAnsi="Verdana"/>
                <w:color w:val="000000"/>
              </w:rPr>
              <w:br/>
            </w:r>
            <w:r w:rsidR="00184DFB" w:rsidRPr="00184DFB">
              <w:rPr>
                <w:rFonts w:ascii="Verdana" w:hAnsi="Verdana"/>
                <w:b/>
                <w:bCs/>
                <w:color w:val="000000"/>
              </w:rPr>
              <w:t>CCR:</w:t>
            </w:r>
            <w:r w:rsidR="00184DFB">
              <w:rPr>
                <w:rFonts w:ascii="Verdana" w:hAnsi="Verdana"/>
                <w:color w:val="000000"/>
              </w:rPr>
              <w:t xml:space="preserve"> </w:t>
            </w:r>
            <w:r w:rsidR="00E703CB">
              <w:rPr>
                <w:rFonts w:ascii="Verdana" w:hAnsi="Verdana"/>
                <w:color w:val="000000"/>
              </w:rPr>
              <w:t xml:space="preserve"> </w:t>
            </w:r>
            <w:r w:rsidR="00786573">
              <w:rPr>
                <w:rFonts w:ascii="Verdana" w:hAnsi="Verdana"/>
                <w:color w:val="000000"/>
              </w:rPr>
              <w:t>If it is not</w:t>
            </w:r>
            <w:r w:rsidR="004012F7">
              <w:rPr>
                <w:rFonts w:ascii="Verdana" w:hAnsi="Verdana"/>
                <w:color w:val="000000"/>
              </w:rPr>
              <w:t xml:space="preserve"> during</w:t>
            </w:r>
            <w:r w:rsidR="00786573">
              <w:rPr>
                <w:rFonts w:ascii="Verdana" w:hAnsi="Verdana"/>
                <w:color w:val="000000"/>
              </w:rPr>
              <w:t xml:space="preserve"> open enrollment season, provide </w:t>
            </w:r>
            <w:r w:rsidR="00DB146C">
              <w:rPr>
                <w:rFonts w:ascii="Verdana" w:hAnsi="Verdana"/>
                <w:color w:val="000000"/>
              </w:rPr>
              <w:t>this</w:t>
            </w:r>
            <w:r w:rsidR="00786573">
              <w:rPr>
                <w:rFonts w:ascii="Verdana" w:hAnsi="Verdana"/>
                <w:color w:val="000000"/>
              </w:rPr>
              <w:t xml:space="preserve"> website</w:t>
            </w:r>
            <w:r w:rsidR="00DB146C">
              <w:rPr>
                <w:rFonts w:ascii="Verdana" w:hAnsi="Verdana"/>
                <w:color w:val="000000"/>
              </w:rPr>
              <w:t xml:space="preserve"> </w:t>
            </w:r>
            <w:hyperlink r:id="rId28" w:history="1">
              <w:r w:rsidR="00786573" w:rsidRPr="00786573">
                <w:rPr>
                  <w:rStyle w:val="Hyperlink"/>
                  <w:rFonts w:ascii="Verdana" w:hAnsi="Verdana"/>
                </w:rPr>
                <w:t>www.healthcare.gov/get-coverage/</w:t>
              </w:r>
            </w:hyperlink>
          </w:p>
        </w:tc>
      </w:tr>
    </w:tbl>
    <w:p w14:paraId="7EC30037" w14:textId="77777777" w:rsidR="0037543C" w:rsidRDefault="0037543C" w:rsidP="0037543C">
      <w:pPr>
        <w:jc w:val="right"/>
      </w:pPr>
    </w:p>
    <w:p w14:paraId="19EC40E2" w14:textId="77777777" w:rsidR="00245940" w:rsidRDefault="00245940" w:rsidP="00245940">
      <w:pPr>
        <w:jc w:val="right"/>
        <w:rPr>
          <w:rFonts w:ascii="Verdana" w:hAnsi="Verdana"/>
        </w:rPr>
      </w:pPr>
      <w:r>
        <w:rPr>
          <w:rFonts w:ascii="Verdana" w:hAnsi="Verdana"/>
        </w:rPr>
        <w:tab/>
      </w:r>
      <w:hyperlink w:anchor="_top" w:history="1">
        <w:r w:rsidRPr="0024594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86BAE" w:rsidRPr="00BF74E9" w14:paraId="6C34D6B5" w14:textId="77777777" w:rsidTr="00F43AC7">
        <w:tc>
          <w:tcPr>
            <w:tcW w:w="5000" w:type="pct"/>
            <w:shd w:val="clear" w:color="auto" w:fill="C0C0C0"/>
          </w:tcPr>
          <w:p w14:paraId="1781DE2B" w14:textId="77777777" w:rsidR="00D86BAE" w:rsidRPr="00D32D37" w:rsidRDefault="00D86BAE" w:rsidP="0037394E">
            <w:pPr>
              <w:pStyle w:val="Heading2"/>
              <w:tabs>
                <w:tab w:val="left" w:pos="11985"/>
              </w:tabs>
              <w:spacing w:before="120" w:after="120"/>
              <w:rPr>
                <w:rFonts w:ascii="Verdana" w:hAnsi="Verdana"/>
                <w:i w:val="0"/>
                <w:iCs w:val="0"/>
              </w:rPr>
            </w:pPr>
            <w:bookmarkStart w:id="23" w:name="_Frequently_Asked_Questions_1"/>
            <w:bookmarkStart w:id="24" w:name="_Toc181254533"/>
            <w:bookmarkEnd w:id="23"/>
            <w:r>
              <w:rPr>
                <w:rFonts w:ascii="Verdana" w:hAnsi="Verdana"/>
                <w:i w:val="0"/>
                <w:iCs w:val="0"/>
              </w:rPr>
              <w:t>Frequently Asked Questions - General</w:t>
            </w:r>
            <w:bookmarkEnd w:id="24"/>
          </w:p>
        </w:tc>
      </w:tr>
    </w:tbl>
    <w:p w14:paraId="421DDBB5" w14:textId="77777777" w:rsidR="00D86BAE" w:rsidRPr="00245940" w:rsidRDefault="00245940" w:rsidP="00DB146C">
      <w:pPr>
        <w:spacing w:before="120" w:after="120"/>
        <w:rPr>
          <w:rFonts w:ascii="Verdana" w:hAnsi="Verdana"/>
        </w:rPr>
      </w:pPr>
      <w:r w:rsidRPr="00245940">
        <w:rPr>
          <w:rFonts w:ascii="Verdana" w:hAnsi="Verdana"/>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4"/>
        <w:gridCol w:w="9086"/>
      </w:tblGrid>
      <w:tr w:rsidR="00D86BAE" w:rsidRPr="00F72F8F" w14:paraId="6E6DFD31" w14:textId="77777777" w:rsidTr="00184DFB">
        <w:tc>
          <w:tcPr>
            <w:tcW w:w="1492" w:type="pct"/>
            <w:shd w:val="clear" w:color="auto" w:fill="D9D9D9" w:themeFill="background1" w:themeFillShade="D9"/>
          </w:tcPr>
          <w:p w14:paraId="0E8295A2" w14:textId="77777777" w:rsidR="00D86BAE" w:rsidRPr="00F72F8F" w:rsidRDefault="00D86BAE" w:rsidP="0037394E">
            <w:pPr>
              <w:spacing w:before="120" w:after="120"/>
              <w:jc w:val="center"/>
              <w:rPr>
                <w:rFonts w:ascii="Verdana" w:hAnsi="Verdana"/>
                <w:b/>
              </w:rPr>
            </w:pPr>
            <w:r w:rsidRPr="00F72F8F">
              <w:rPr>
                <w:rFonts w:ascii="Verdana" w:hAnsi="Verdana"/>
                <w:b/>
              </w:rPr>
              <w:t>Question</w:t>
            </w:r>
          </w:p>
        </w:tc>
        <w:tc>
          <w:tcPr>
            <w:tcW w:w="3508" w:type="pct"/>
            <w:shd w:val="clear" w:color="auto" w:fill="D9D9D9" w:themeFill="background1" w:themeFillShade="D9"/>
          </w:tcPr>
          <w:p w14:paraId="42B32A63" w14:textId="77777777" w:rsidR="00D86BAE" w:rsidRPr="00F72F8F" w:rsidRDefault="00D86BAE" w:rsidP="0037394E">
            <w:pPr>
              <w:spacing w:before="120" w:after="120"/>
              <w:jc w:val="center"/>
              <w:rPr>
                <w:rFonts w:ascii="Verdana" w:hAnsi="Verdana"/>
                <w:b/>
              </w:rPr>
            </w:pPr>
            <w:r w:rsidRPr="00F72F8F">
              <w:rPr>
                <w:rFonts w:ascii="Verdana" w:hAnsi="Verdana"/>
                <w:b/>
              </w:rPr>
              <w:t>Answer</w:t>
            </w:r>
          </w:p>
        </w:tc>
      </w:tr>
      <w:tr w:rsidR="00D86BAE" w:rsidRPr="00F72F8F" w14:paraId="4D5B432F" w14:textId="77777777" w:rsidTr="00184DFB">
        <w:tc>
          <w:tcPr>
            <w:tcW w:w="1492" w:type="pct"/>
          </w:tcPr>
          <w:p w14:paraId="0C9729DB" w14:textId="77777777" w:rsidR="00D86BAE" w:rsidRPr="00623DDA" w:rsidRDefault="00D86BAE" w:rsidP="0037394E">
            <w:pPr>
              <w:spacing w:before="120" w:after="120"/>
              <w:rPr>
                <w:rFonts w:ascii="Verdana" w:hAnsi="Verdana"/>
                <w:b/>
              </w:rPr>
            </w:pPr>
            <w:r w:rsidRPr="00623DDA">
              <w:rPr>
                <w:rFonts w:ascii="Verdana" w:hAnsi="Verdana"/>
                <w:b/>
              </w:rPr>
              <w:t>What are public exchanges?</w:t>
            </w:r>
          </w:p>
        </w:tc>
        <w:tc>
          <w:tcPr>
            <w:tcW w:w="3508" w:type="pct"/>
          </w:tcPr>
          <w:p w14:paraId="1E2D5D26" w14:textId="77777777" w:rsidR="00D86BAE" w:rsidRPr="00F72F8F" w:rsidRDefault="00D86BAE" w:rsidP="0037394E">
            <w:pPr>
              <w:spacing w:before="120" w:after="120"/>
              <w:rPr>
                <w:rFonts w:ascii="Verdana" w:hAnsi="Verdana"/>
              </w:rPr>
            </w:pPr>
            <w:r w:rsidRPr="00F72F8F">
              <w:rPr>
                <w:rFonts w:ascii="Verdana" w:hAnsi="Verdana"/>
              </w:rPr>
              <w:t xml:space="preserve">Exchanges are online </w:t>
            </w:r>
            <w:r w:rsidR="00BB3A13">
              <w:rPr>
                <w:rFonts w:ascii="Verdana" w:hAnsi="Verdana"/>
              </w:rPr>
              <w:t>marketplace</w:t>
            </w:r>
            <w:r w:rsidRPr="00F72F8F">
              <w:rPr>
                <w:rFonts w:ascii="Verdana" w:hAnsi="Verdana"/>
              </w:rPr>
              <w:t xml:space="preserve"> </w:t>
            </w:r>
            <w:r w:rsidR="001A3B4C">
              <w:rPr>
                <w:rFonts w:ascii="Verdana" w:hAnsi="Verdana"/>
              </w:rPr>
              <w:t>sites</w:t>
            </w:r>
            <w:r w:rsidR="001A3B4C" w:rsidRPr="00F72F8F">
              <w:rPr>
                <w:rFonts w:ascii="Verdana" w:hAnsi="Verdana"/>
              </w:rPr>
              <w:t xml:space="preserve"> </w:t>
            </w:r>
            <w:r w:rsidRPr="00F72F8F">
              <w:rPr>
                <w:rFonts w:ascii="Verdana" w:hAnsi="Verdana"/>
              </w:rPr>
              <w:t>where consumers and small group employers can go to shop for health insurance. On these sites, they can compare the plans available to them and then purchase online.</w:t>
            </w:r>
          </w:p>
        </w:tc>
      </w:tr>
      <w:tr w:rsidR="00D86BAE" w:rsidRPr="00F72F8F" w14:paraId="32A0CB94" w14:textId="77777777" w:rsidTr="00184DFB">
        <w:tc>
          <w:tcPr>
            <w:tcW w:w="1492" w:type="pct"/>
          </w:tcPr>
          <w:p w14:paraId="412D4DBF" w14:textId="77777777" w:rsidR="00D86BAE" w:rsidRPr="00623DDA" w:rsidRDefault="00D86BAE" w:rsidP="0037394E">
            <w:pPr>
              <w:spacing w:before="120" w:after="120"/>
              <w:rPr>
                <w:rFonts w:ascii="Verdana" w:hAnsi="Verdana"/>
                <w:b/>
              </w:rPr>
            </w:pPr>
            <w:r w:rsidRPr="00623DDA">
              <w:rPr>
                <w:rFonts w:ascii="Verdana" w:hAnsi="Verdana"/>
                <w:b/>
              </w:rPr>
              <w:t>Who can shop on public exchanges?</w:t>
            </w:r>
          </w:p>
        </w:tc>
        <w:tc>
          <w:tcPr>
            <w:tcW w:w="3508" w:type="pct"/>
          </w:tcPr>
          <w:p w14:paraId="020C72E7" w14:textId="77777777" w:rsidR="00385170" w:rsidRPr="00F72F8F" w:rsidRDefault="00D86BAE" w:rsidP="00184DFB">
            <w:pPr>
              <w:spacing w:before="120" w:after="120"/>
              <w:rPr>
                <w:rFonts w:ascii="Verdana" w:hAnsi="Verdana"/>
              </w:rPr>
            </w:pPr>
            <w:r w:rsidRPr="00F72F8F">
              <w:rPr>
                <w:rFonts w:ascii="Verdana" w:hAnsi="Verdana"/>
              </w:rPr>
              <w:t>Public exchanges are designed for</w:t>
            </w:r>
            <w:r w:rsidR="00184DFB">
              <w:rPr>
                <w:rFonts w:ascii="Verdana" w:hAnsi="Verdana"/>
              </w:rPr>
              <w:t xml:space="preserve"> </w:t>
            </w:r>
            <w:r w:rsidRPr="00F72F8F">
              <w:rPr>
                <w:rFonts w:ascii="Verdana" w:hAnsi="Verdana"/>
              </w:rPr>
              <w:t>Individuals</w:t>
            </w:r>
            <w:r w:rsidR="001A3B4C">
              <w:rPr>
                <w:rFonts w:ascii="Verdana" w:hAnsi="Verdana"/>
              </w:rPr>
              <w:t xml:space="preserve"> and Families</w:t>
            </w:r>
            <w:r w:rsidR="00184DFB">
              <w:rPr>
                <w:rFonts w:ascii="Verdana" w:hAnsi="Verdana"/>
              </w:rPr>
              <w:t xml:space="preserve"> and </w:t>
            </w:r>
            <w:r w:rsidRPr="00F72F8F">
              <w:rPr>
                <w:rFonts w:ascii="Verdana" w:hAnsi="Verdana"/>
              </w:rPr>
              <w:t>Small Group Employers</w:t>
            </w:r>
          </w:p>
        </w:tc>
      </w:tr>
      <w:tr w:rsidR="00D86BAE" w:rsidRPr="00F72F8F" w14:paraId="59A4CCC1" w14:textId="77777777" w:rsidTr="00184DFB">
        <w:tc>
          <w:tcPr>
            <w:tcW w:w="1492" w:type="pct"/>
          </w:tcPr>
          <w:p w14:paraId="5DAEC76E" w14:textId="77777777" w:rsidR="00D86BAE" w:rsidRPr="00623DDA" w:rsidRDefault="00D86BAE" w:rsidP="0037394E">
            <w:pPr>
              <w:spacing w:before="120" w:after="120"/>
              <w:rPr>
                <w:rFonts w:ascii="Verdana" w:hAnsi="Verdana"/>
                <w:b/>
              </w:rPr>
            </w:pPr>
            <w:r w:rsidRPr="00623DDA">
              <w:rPr>
                <w:rFonts w:ascii="Verdana" w:hAnsi="Verdana"/>
                <w:b/>
              </w:rPr>
              <w:t>Who is eligible to shop in an individual exchange?</w:t>
            </w:r>
          </w:p>
        </w:tc>
        <w:tc>
          <w:tcPr>
            <w:tcW w:w="3508" w:type="pct"/>
          </w:tcPr>
          <w:p w14:paraId="1525AF90" w14:textId="77777777" w:rsidR="00D86BAE" w:rsidRPr="00F72F8F" w:rsidRDefault="00D86BAE" w:rsidP="0037394E">
            <w:pPr>
              <w:spacing w:before="120" w:after="120"/>
              <w:rPr>
                <w:rFonts w:ascii="Verdana" w:hAnsi="Verdana"/>
              </w:rPr>
            </w:pPr>
            <w:r w:rsidRPr="00F72F8F">
              <w:rPr>
                <w:rFonts w:ascii="Verdana" w:hAnsi="Verdana"/>
              </w:rPr>
              <w:t>To be eligible to shop on an individual exchange, the following criteria</w:t>
            </w:r>
            <w:r w:rsidR="00184DFB">
              <w:rPr>
                <w:rFonts w:ascii="Verdana" w:hAnsi="Verdana"/>
              </w:rPr>
              <w:t xml:space="preserve"> must be met</w:t>
            </w:r>
            <w:r w:rsidRPr="00F72F8F">
              <w:rPr>
                <w:rFonts w:ascii="Verdana" w:hAnsi="Verdana"/>
              </w:rPr>
              <w:t>:</w:t>
            </w:r>
          </w:p>
          <w:p w14:paraId="61CCF0AA" w14:textId="77777777" w:rsidR="00D86BAE" w:rsidRPr="00F72F8F" w:rsidRDefault="00D86BAE" w:rsidP="0037394E">
            <w:pPr>
              <w:numPr>
                <w:ilvl w:val="0"/>
                <w:numId w:val="27"/>
              </w:numPr>
              <w:spacing w:before="120" w:after="120"/>
              <w:rPr>
                <w:rFonts w:ascii="Verdana" w:hAnsi="Verdana"/>
              </w:rPr>
            </w:pPr>
            <w:r w:rsidRPr="00F72F8F">
              <w:rPr>
                <w:rFonts w:ascii="Verdana" w:hAnsi="Verdana"/>
              </w:rPr>
              <w:t>US citizen or legal alien</w:t>
            </w:r>
          </w:p>
          <w:p w14:paraId="0E39A34B" w14:textId="77777777" w:rsidR="00D86BAE" w:rsidRPr="00F72F8F" w:rsidRDefault="00D86BAE" w:rsidP="0037394E">
            <w:pPr>
              <w:numPr>
                <w:ilvl w:val="0"/>
                <w:numId w:val="27"/>
              </w:numPr>
              <w:spacing w:before="120" w:after="120"/>
              <w:rPr>
                <w:rFonts w:ascii="Verdana" w:hAnsi="Verdana"/>
              </w:rPr>
            </w:pPr>
            <w:r w:rsidRPr="00F72F8F">
              <w:rPr>
                <w:rFonts w:ascii="Verdana" w:hAnsi="Verdana"/>
              </w:rPr>
              <w:t>Not incarcerated</w:t>
            </w:r>
          </w:p>
          <w:p w14:paraId="543A3F8C" w14:textId="77777777" w:rsidR="00385170" w:rsidRPr="00F72F8F" w:rsidRDefault="00D86BAE" w:rsidP="0037394E">
            <w:pPr>
              <w:numPr>
                <w:ilvl w:val="0"/>
                <w:numId w:val="27"/>
              </w:numPr>
              <w:spacing w:before="120" w:after="120"/>
              <w:rPr>
                <w:rFonts w:ascii="Verdana" w:hAnsi="Verdana"/>
              </w:rPr>
            </w:pPr>
            <w:r w:rsidRPr="00F72F8F">
              <w:rPr>
                <w:rFonts w:ascii="Verdana" w:hAnsi="Verdana"/>
              </w:rPr>
              <w:t>Resident of the state in which exchange is based</w:t>
            </w:r>
          </w:p>
        </w:tc>
      </w:tr>
      <w:tr w:rsidR="00D86BAE" w:rsidRPr="00F72F8F" w14:paraId="5E36BE05" w14:textId="77777777" w:rsidTr="00184DFB">
        <w:tc>
          <w:tcPr>
            <w:tcW w:w="1492" w:type="pct"/>
          </w:tcPr>
          <w:p w14:paraId="224FDB5C" w14:textId="4935F627" w:rsidR="00D86BAE" w:rsidRPr="00623DDA" w:rsidRDefault="00D86BAE" w:rsidP="0037394E">
            <w:pPr>
              <w:spacing w:before="120" w:after="120"/>
              <w:rPr>
                <w:rFonts w:ascii="Verdana" w:hAnsi="Verdana"/>
                <w:b/>
              </w:rPr>
            </w:pPr>
            <w:r w:rsidRPr="00623DDA">
              <w:rPr>
                <w:rFonts w:ascii="Verdana" w:hAnsi="Verdana"/>
                <w:b/>
              </w:rPr>
              <w:t xml:space="preserve">Who is eligible to shop on </w:t>
            </w:r>
            <w:r w:rsidR="00370B4A">
              <w:rPr>
                <w:rFonts w:ascii="Verdana" w:hAnsi="Verdana"/>
                <w:b/>
              </w:rPr>
              <w:t>the</w:t>
            </w:r>
            <w:r w:rsidRPr="00623DDA">
              <w:rPr>
                <w:rFonts w:ascii="Verdana" w:hAnsi="Verdana"/>
                <w:b/>
              </w:rPr>
              <w:t xml:space="preserve"> small group exchange?</w:t>
            </w:r>
          </w:p>
        </w:tc>
        <w:tc>
          <w:tcPr>
            <w:tcW w:w="3508" w:type="pct"/>
          </w:tcPr>
          <w:p w14:paraId="6C9F2AB1" w14:textId="77777777" w:rsidR="00D86BAE" w:rsidRPr="00F72F8F" w:rsidRDefault="00D86BAE" w:rsidP="0037394E">
            <w:pPr>
              <w:spacing w:before="120" w:after="120"/>
              <w:rPr>
                <w:rFonts w:ascii="Verdana" w:hAnsi="Verdana"/>
              </w:rPr>
            </w:pPr>
            <w:r w:rsidRPr="00F72F8F">
              <w:rPr>
                <w:rFonts w:ascii="Verdana" w:hAnsi="Verdana"/>
              </w:rPr>
              <w:t>SHOP (Small Business Health Options Program) is the exchange where small group employers may purchase coverage for their employees, and where their employees then will go to shop for their coverage. Eligibility for SHOP includes:</w:t>
            </w:r>
          </w:p>
          <w:p w14:paraId="3135B313" w14:textId="0A71A7F1" w:rsidR="00D86BAE" w:rsidRPr="00F72F8F" w:rsidRDefault="00D86BAE" w:rsidP="0037394E">
            <w:pPr>
              <w:numPr>
                <w:ilvl w:val="0"/>
                <w:numId w:val="28"/>
              </w:numPr>
              <w:spacing w:before="120" w:after="120"/>
              <w:rPr>
                <w:rFonts w:ascii="Verdana" w:hAnsi="Verdana"/>
              </w:rPr>
            </w:pPr>
            <w:r w:rsidRPr="00F72F8F">
              <w:rPr>
                <w:rFonts w:ascii="Verdana" w:hAnsi="Verdana"/>
              </w:rPr>
              <w:t>Full-time employees of small businesses from 2</w:t>
            </w:r>
            <w:r w:rsidR="00DB146C">
              <w:rPr>
                <w:rFonts w:ascii="Verdana" w:hAnsi="Verdana"/>
              </w:rPr>
              <w:t xml:space="preserve"> (two)</w:t>
            </w:r>
            <w:r w:rsidRPr="00F72F8F">
              <w:rPr>
                <w:rFonts w:ascii="Verdana" w:hAnsi="Verdana"/>
              </w:rPr>
              <w:t xml:space="preserve"> to 100 employees</w:t>
            </w:r>
          </w:p>
          <w:p w14:paraId="7423B398" w14:textId="157634ED" w:rsidR="00D86BAE" w:rsidRPr="00F72F8F" w:rsidRDefault="00D86BAE" w:rsidP="0037394E">
            <w:pPr>
              <w:numPr>
                <w:ilvl w:val="0"/>
                <w:numId w:val="28"/>
              </w:numPr>
              <w:spacing w:before="120" w:after="120"/>
              <w:rPr>
                <w:rFonts w:ascii="Verdana" w:hAnsi="Verdana"/>
              </w:rPr>
            </w:pPr>
            <w:r w:rsidRPr="00F72F8F">
              <w:rPr>
                <w:rFonts w:ascii="Verdana" w:hAnsi="Verdana"/>
              </w:rPr>
              <w:t xml:space="preserve">States have the option to </w:t>
            </w:r>
            <w:r w:rsidR="00370B4A" w:rsidRPr="00F72F8F">
              <w:rPr>
                <w:rFonts w:ascii="Verdana" w:hAnsi="Verdana"/>
              </w:rPr>
              <w:t>limit</w:t>
            </w:r>
            <w:r w:rsidRPr="00F72F8F">
              <w:rPr>
                <w:rFonts w:ascii="Verdana" w:hAnsi="Verdana"/>
              </w:rPr>
              <w:t xml:space="preserve"> businesses of 50 or less until 2016</w:t>
            </w:r>
          </w:p>
          <w:p w14:paraId="18ADCA4D" w14:textId="1C167074" w:rsidR="00385170" w:rsidRPr="00F72F8F" w:rsidRDefault="00D86BAE" w:rsidP="0037394E">
            <w:pPr>
              <w:numPr>
                <w:ilvl w:val="0"/>
                <w:numId w:val="28"/>
              </w:numPr>
              <w:spacing w:before="120" w:after="120"/>
              <w:rPr>
                <w:rFonts w:ascii="Verdana" w:hAnsi="Verdana"/>
              </w:rPr>
            </w:pPr>
            <w:r w:rsidRPr="00F72F8F">
              <w:rPr>
                <w:rFonts w:ascii="Verdana" w:hAnsi="Verdana"/>
              </w:rPr>
              <w:t xml:space="preserve">Beginning in 2017, states </w:t>
            </w:r>
            <w:r w:rsidR="00E703CB">
              <w:rPr>
                <w:rFonts w:ascii="Verdana" w:hAnsi="Verdana"/>
              </w:rPr>
              <w:t>opened</w:t>
            </w:r>
            <w:r w:rsidRPr="00F72F8F">
              <w:rPr>
                <w:rFonts w:ascii="Verdana" w:hAnsi="Verdana"/>
              </w:rPr>
              <w:t xml:space="preserve"> the exchanges to large employers</w:t>
            </w:r>
          </w:p>
        </w:tc>
      </w:tr>
      <w:tr w:rsidR="00D86BAE" w:rsidRPr="00F72F8F" w14:paraId="6B3903A6" w14:textId="77777777" w:rsidTr="00184DFB">
        <w:tc>
          <w:tcPr>
            <w:tcW w:w="1492" w:type="pct"/>
          </w:tcPr>
          <w:p w14:paraId="75249BAE" w14:textId="0DAE7E22" w:rsidR="00D86BAE" w:rsidRPr="00623DDA" w:rsidRDefault="00D86BAE" w:rsidP="0037394E">
            <w:pPr>
              <w:spacing w:before="120" w:after="120"/>
              <w:rPr>
                <w:rFonts w:ascii="Verdana" w:hAnsi="Verdana"/>
                <w:b/>
              </w:rPr>
            </w:pPr>
            <w:r w:rsidRPr="00623DDA">
              <w:rPr>
                <w:rFonts w:ascii="Verdana" w:hAnsi="Verdana"/>
                <w:b/>
              </w:rPr>
              <w:t xml:space="preserve">Are states required to offer both </w:t>
            </w:r>
            <w:r w:rsidR="00F2582E" w:rsidRPr="00623DDA">
              <w:rPr>
                <w:rFonts w:ascii="Verdana" w:hAnsi="Verdana"/>
                <w:b/>
              </w:rPr>
              <w:t>individual</w:t>
            </w:r>
            <w:r w:rsidRPr="00623DDA">
              <w:rPr>
                <w:rFonts w:ascii="Verdana" w:hAnsi="Verdana"/>
                <w:b/>
              </w:rPr>
              <w:t xml:space="preserve"> and SHOP exchanges?</w:t>
            </w:r>
          </w:p>
        </w:tc>
        <w:tc>
          <w:tcPr>
            <w:tcW w:w="3508" w:type="pct"/>
          </w:tcPr>
          <w:p w14:paraId="1875688F" w14:textId="30C4C0C0" w:rsidR="00385170" w:rsidRPr="00F72F8F" w:rsidRDefault="00AA438D" w:rsidP="0037394E">
            <w:pPr>
              <w:spacing w:before="120" w:after="120"/>
              <w:rPr>
                <w:rFonts w:ascii="Verdana" w:hAnsi="Verdana"/>
              </w:rPr>
            </w:pPr>
            <w:r w:rsidRPr="00F72F8F">
              <w:rPr>
                <w:rFonts w:ascii="Verdana" w:hAnsi="Verdana"/>
              </w:rPr>
              <w:t>Yes,</w:t>
            </w:r>
            <w:r w:rsidR="00D86BAE" w:rsidRPr="00F72F8F">
              <w:rPr>
                <w:rFonts w:ascii="Verdana" w:hAnsi="Verdana"/>
              </w:rPr>
              <w:t xml:space="preserve"> </w:t>
            </w:r>
            <w:r w:rsidR="00786573">
              <w:rPr>
                <w:rFonts w:ascii="Verdana" w:hAnsi="Verdana"/>
              </w:rPr>
              <w:t xml:space="preserve">all </w:t>
            </w:r>
            <w:r w:rsidR="00D86BAE" w:rsidRPr="00F72F8F">
              <w:rPr>
                <w:rFonts w:ascii="Verdana" w:hAnsi="Verdana"/>
              </w:rPr>
              <w:t xml:space="preserve">states </w:t>
            </w:r>
            <w:r w:rsidR="00786573">
              <w:rPr>
                <w:rFonts w:ascii="Verdana" w:hAnsi="Verdana"/>
              </w:rPr>
              <w:t>have both an Individual and a SHOP exchange</w:t>
            </w:r>
            <w:r w:rsidR="00D86BAE">
              <w:rPr>
                <w:rFonts w:ascii="Verdana" w:hAnsi="Verdana"/>
              </w:rPr>
              <w:t>.</w:t>
            </w:r>
            <w:r w:rsidR="00786573">
              <w:rPr>
                <w:rFonts w:ascii="Verdana" w:hAnsi="Verdana"/>
              </w:rPr>
              <w:t xml:space="preserve"> It is provided by either the state’s government, or the federal government on behalf of the state, if they did not build one (or both) of these exchanges themselves.</w:t>
            </w:r>
          </w:p>
        </w:tc>
      </w:tr>
      <w:tr w:rsidR="00D86BAE" w:rsidRPr="00F72F8F" w14:paraId="3BBC2ED6" w14:textId="77777777" w:rsidTr="00184DFB">
        <w:tc>
          <w:tcPr>
            <w:tcW w:w="1492" w:type="pct"/>
          </w:tcPr>
          <w:p w14:paraId="054DDF02" w14:textId="77777777" w:rsidR="00D86BAE" w:rsidRPr="00623DDA" w:rsidRDefault="00EA6374" w:rsidP="0037394E">
            <w:pPr>
              <w:spacing w:before="120" w:after="120"/>
              <w:rPr>
                <w:rFonts w:ascii="Verdana" w:hAnsi="Verdana"/>
                <w:b/>
              </w:rPr>
            </w:pPr>
            <w:r>
              <w:rPr>
                <w:rFonts w:ascii="Verdana" w:hAnsi="Verdana"/>
                <w:b/>
              </w:rPr>
              <w:t>Can</w:t>
            </w:r>
            <w:r w:rsidRPr="00623DDA">
              <w:rPr>
                <w:rFonts w:ascii="Verdana" w:hAnsi="Verdana"/>
                <w:b/>
              </w:rPr>
              <w:t xml:space="preserve"> </w:t>
            </w:r>
            <w:r w:rsidR="00D86BAE" w:rsidRPr="00623DDA">
              <w:rPr>
                <w:rFonts w:ascii="Verdana" w:hAnsi="Verdana"/>
                <w:b/>
              </w:rPr>
              <w:t>individuals purchase insurance on a public exchange anytime they want?</w:t>
            </w:r>
          </w:p>
        </w:tc>
        <w:tc>
          <w:tcPr>
            <w:tcW w:w="3508" w:type="pct"/>
          </w:tcPr>
          <w:p w14:paraId="17711231" w14:textId="223FED55" w:rsidR="00CC19CF" w:rsidRDefault="00CC19CF" w:rsidP="0037394E">
            <w:pPr>
              <w:spacing w:before="120" w:after="120"/>
              <w:rPr>
                <w:rFonts w:ascii="Verdana" w:hAnsi="Verdana"/>
              </w:rPr>
            </w:pPr>
            <w:r>
              <w:rPr>
                <w:rFonts w:ascii="Verdana" w:hAnsi="Verdana"/>
              </w:rPr>
              <w:t>Open enrollment generally begins November 1st of each year. January 1</w:t>
            </w:r>
            <w:r w:rsidRPr="003C135F">
              <w:rPr>
                <w:rFonts w:ascii="Verdana" w:hAnsi="Verdana"/>
                <w:vertAlign w:val="superscript"/>
              </w:rPr>
              <w:t>st</w:t>
            </w:r>
            <w:r>
              <w:rPr>
                <w:rFonts w:ascii="Verdana" w:hAnsi="Verdana"/>
              </w:rPr>
              <w:t xml:space="preserve"> is the first date coverage can begin </w:t>
            </w:r>
            <w:r w:rsidR="00F2582E">
              <w:rPr>
                <w:rFonts w:ascii="Verdana" w:hAnsi="Verdana"/>
              </w:rPr>
              <w:t>unless they qualify</w:t>
            </w:r>
            <w:r>
              <w:rPr>
                <w:rFonts w:ascii="Verdana" w:hAnsi="Verdana"/>
              </w:rPr>
              <w:t xml:space="preserve"> for coverage through a Special Enrollment Period or they qualify for CHIP. The last day of open enrollment may vary year </w:t>
            </w:r>
            <w:r w:rsidR="00F2582E">
              <w:rPr>
                <w:rFonts w:ascii="Verdana" w:hAnsi="Verdana"/>
              </w:rPr>
              <w:t>by</w:t>
            </w:r>
            <w:r>
              <w:rPr>
                <w:rFonts w:ascii="Verdana" w:hAnsi="Verdana"/>
              </w:rPr>
              <w:t xml:space="preserve"> year.</w:t>
            </w:r>
          </w:p>
          <w:p w14:paraId="67D399B2" w14:textId="77777777" w:rsidR="00CC19CF" w:rsidRPr="00F72F8F" w:rsidRDefault="00184DFB" w:rsidP="00184DFB">
            <w:pPr>
              <w:spacing w:before="120" w:after="120"/>
              <w:rPr>
                <w:rFonts w:ascii="Verdana" w:hAnsi="Verdana"/>
              </w:rPr>
            </w:pPr>
            <w:r w:rsidRPr="00184DFB">
              <w:rPr>
                <w:rFonts w:ascii="Verdana" w:hAnsi="Verdana"/>
                <w:b/>
                <w:bCs/>
                <w:color w:val="000000"/>
              </w:rPr>
              <w:t>CCR:</w:t>
            </w:r>
            <w:r>
              <w:rPr>
                <w:rFonts w:ascii="Verdana" w:hAnsi="Verdana"/>
                <w:color w:val="000000"/>
              </w:rPr>
              <w:t xml:space="preserve">  </w:t>
            </w:r>
            <w:r w:rsidR="00CC19CF">
              <w:rPr>
                <w:rFonts w:ascii="Verdana" w:hAnsi="Verdana"/>
                <w:color w:val="000000"/>
              </w:rPr>
              <w:t>If it is not an open enrollment period, provide this website</w:t>
            </w:r>
            <w:r w:rsidR="00CC19CF" w:rsidRPr="00786573">
              <w:rPr>
                <w:rFonts w:ascii="Verdana" w:hAnsi="Verdana"/>
                <w:color w:val="000000"/>
              </w:rPr>
              <w:t xml:space="preserve">: </w:t>
            </w:r>
            <w:hyperlink r:id="rId29" w:history="1">
              <w:r w:rsidR="00CC19CF" w:rsidRPr="00786573">
                <w:rPr>
                  <w:rStyle w:val="Hyperlink"/>
                  <w:rFonts w:ascii="Verdana" w:hAnsi="Verdana"/>
                </w:rPr>
                <w:t>www.healthcare.gov/get-coverage/</w:t>
              </w:r>
            </w:hyperlink>
            <w:r w:rsidR="00CC19CF">
              <w:rPr>
                <w:rFonts w:ascii="Verdana" w:hAnsi="Verdana"/>
              </w:rPr>
              <w:t xml:space="preserve"> to help determine if someone qualifies outside of open enrollment.</w:t>
            </w:r>
          </w:p>
        </w:tc>
      </w:tr>
      <w:tr w:rsidR="00D86BAE" w:rsidRPr="00F72F8F" w14:paraId="00926170" w14:textId="77777777" w:rsidTr="00184DFB">
        <w:tc>
          <w:tcPr>
            <w:tcW w:w="1492" w:type="pct"/>
          </w:tcPr>
          <w:p w14:paraId="3D5D942B" w14:textId="77777777" w:rsidR="00D86BAE" w:rsidRPr="00623DDA" w:rsidRDefault="00D86BAE" w:rsidP="0037394E">
            <w:pPr>
              <w:spacing w:before="120" w:after="120"/>
              <w:rPr>
                <w:rFonts w:ascii="Verdana" w:hAnsi="Verdana"/>
                <w:b/>
              </w:rPr>
            </w:pPr>
            <w:r w:rsidRPr="00623DDA">
              <w:rPr>
                <w:rFonts w:ascii="Verdana" w:hAnsi="Verdana"/>
                <w:b/>
              </w:rPr>
              <w:t>Who runs the public exchanges?</w:t>
            </w:r>
          </w:p>
        </w:tc>
        <w:tc>
          <w:tcPr>
            <w:tcW w:w="3508" w:type="pct"/>
          </w:tcPr>
          <w:p w14:paraId="4A0A19F3" w14:textId="77777777" w:rsidR="00CC19CF" w:rsidRPr="00F72F8F" w:rsidRDefault="00D86BAE" w:rsidP="00184DFB">
            <w:pPr>
              <w:spacing w:before="120" w:after="120"/>
              <w:rPr>
                <w:rFonts w:ascii="Verdana" w:hAnsi="Verdana"/>
              </w:rPr>
            </w:pPr>
            <w:r w:rsidRPr="00F72F8F">
              <w:rPr>
                <w:rFonts w:ascii="Verdana" w:hAnsi="Verdana"/>
              </w:rPr>
              <w:t xml:space="preserve">Each state </w:t>
            </w:r>
            <w:r w:rsidR="00EA6374" w:rsidRPr="00F72F8F">
              <w:rPr>
                <w:rFonts w:ascii="Verdana" w:hAnsi="Verdana"/>
              </w:rPr>
              <w:t>ha</w:t>
            </w:r>
            <w:r w:rsidR="00EA6374">
              <w:rPr>
                <w:rFonts w:ascii="Verdana" w:hAnsi="Verdana"/>
              </w:rPr>
              <w:t>d</w:t>
            </w:r>
            <w:r w:rsidR="00EA6374" w:rsidRPr="00F72F8F">
              <w:rPr>
                <w:rFonts w:ascii="Verdana" w:hAnsi="Verdana"/>
              </w:rPr>
              <w:t xml:space="preserve"> </w:t>
            </w:r>
            <w:r w:rsidRPr="00F72F8F">
              <w:rPr>
                <w:rFonts w:ascii="Verdana" w:hAnsi="Verdana"/>
              </w:rPr>
              <w:t>the option to create and operate its own exchange.</w:t>
            </w:r>
            <w:r w:rsidR="00184DFB">
              <w:rPr>
                <w:rFonts w:ascii="Verdana" w:hAnsi="Verdana"/>
              </w:rPr>
              <w:t xml:space="preserve"> </w:t>
            </w:r>
            <w:r w:rsidRPr="00F72F8F">
              <w:rPr>
                <w:rFonts w:ascii="Verdana" w:hAnsi="Verdana"/>
              </w:rPr>
              <w:t xml:space="preserve">If the state </w:t>
            </w:r>
            <w:r w:rsidR="00EA6374" w:rsidRPr="00F72F8F">
              <w:rPr>
                <w:rFonts w:ascii="Verdana" w:hAnsi="Verdana"/>
              </w:rPr>
              <w:t>opt</w:t>
            </w:r>
            <w:r w:rsidR="00EA6374">
              <w:rPr>
                <w:rFonts w:ascii="Verdana" w:hAnsi="Verdana"/>
              </w:rPr>
              <w:t>ed</w:t>
            </w:r>
            <w:r w:rsidR="00EA6374" w:rsidRPr="00F72F8F">
              <w:rPr>
                <w:rFonts w:ascii="Verdana" w:hAnsi="Verdana"/>
              </w:rPr>
              <w:t xml:space="preserve"> </w:t>
            </w:r>
            <w:r w:rsidRPr="00F72F8F">
              <w:rPr>
                <w:rFonts w:ascii="Verdana" w:hAnsi="Verdana"/>
              </w:rPr>
              <w:t xml:space="preserve">not to offer an exchange, a federal exchange </w:t>
            </w:r>
            <w:r w:rsidR="00EA6374">
              <w:rPr>
                <w:rFonts w:ascii="Verdana" w:hAnsi="Verdana"/>
              </w:rPr>
              <w:t>is</w:t>
            </w:r>
            <w:r w:rsidRPr="00F72F8F">
              <w:rPr>
                <w:rFonts w:ascii="Verdana" w:hAnsi="Verdana"/>
              </w:rPr>
              <w:t xml:space="preserve"> available.</w:t>
            </w:r>
            <w:r w:rsidR="00184DFB">
              <w:rPr>
                <w:rFonts w:ascii="Verdana" w:hAnsi="Verdana"/>
              </w:rPr>
              <w:t xml:space="preserve"> </w:t>
            </w:r>
            <w:r w:rsidR="00EA6374">
              <w:rPr>
                <w:rFonts w:ascii="Verdana" w:hAnsi="Verdana"/>
              </w:rPr>
              <w:t>P</w:t>
            </w:r>
            <w:r w:rsidR="00EA6374" w:rsidRPr="00F72F8F">
              <w:rPr>
                <w:rFonts w:ascii="Verdana" w:hAnsi="Verdana"/>
              </w:rPr>
              <w:t xml:space="preserve">rivate </w:t>
            </w:r>
            <w:r w:rsidRPr="00F72F8F">
              <w:rPr>
                <w:rFonts w:ascii="Verdana" w:hAnsi="Verdana"/>
              </w:rPr>
              <w:t xml:space="preserve">exchanges also </w:t>
            </w:r>
            <w:r w:rsidR="00184DFB" w:rsidRPr="00F72F8F">
              <w:rPr>
                <w:rFonts w:ascii="Verdana" w:hAnsi="Verdana"/>
              </w:rPr>
              <w:t>exist</w:t>
            </w:r>
            <w:r w:rsidR="00184DFB">
              <w:rPr>
                <w:rFonts w:ascii="Verdana" w:hAnsi="Verdana"/>
              </w:rPr>
              <w:t>;</w:t>
            </w:r>
            <w:r w:rsidR="00EA6374">
              <w:rPr>
                <w:rFonts w:ascii="Verdana" w:hAnsi="Verdana"/>
              </w:rPr>
              <w:t xml:space="preserve"> </w:t>
            </w:r>
            <w:r w:rsidR="00184DFB">
              <w:rPr>
                <w:rFonts w:ascii="Verdana" w:hAnsi="Verdana"/>
              </w:rPr>
              <w:t>however,</w:t>
            </w:r>
            <w:r w:rsidR="00EA6374">
              <w:rPr>
                <w:rFonts w:ascii="Verdana" w:hAnsi="Verdana"/>
              </w:rPr>
              <w:t xml:space="preserve"> a member would only have access to them if their employer </w:t>
            </w:r>
            <w:r w:rsidR="00184DFB">
              <w:rPr>
                <w:rFonts w:ascii="Verdana" w:hAnsi="Verdana"/>
              </w:rPr>
              <w:t>opted in.</w:t>
            </w:r>
          </w:p>
        </w:tc>
      </w:tr>
      <w:tr w:rsidR="00D86BAE" w:rsidRPr="00F72F8F" w14:paraId="78793B31" w14:textId="77777777" w:rsidTr="00184DFB">
        <w:tc>
          <w:tcPr>
            <w:tcW w:w="1492" w:type="pct"/>
          </w:tcPr>
          <w:p w14:paraId="0AB0B738" w14:textId="77777777" w:rsidR="00D86BAE" w:rsidRPr="00623DDA" w:rsidRDefault="00EA6374" w:rsidP="0037394E">
            <w:pPr>
              <w:spacing w:before="120" w:after="120"/>
              <w:rPr>
                <w:rFonts w:ascii="Verdana" w:hAnsi="Verdana"/>
                <w:b/>
              </w:rPr>
            </w:pPr>
            <w:r>
              <w:rPr>
                <w:rFonts w:ascii="Verdana" w:hAnsi="Verdana"/>
                <w:b/>
              </w:rPr>
              <w:t>Does</w:t>
            </w:r>
            <w:r w:rsidRPr="00623DDA">
              <w:rPr>
                <w:rFonts w:ascii="Verdana" w:hAnsi="Verdana"/>
                <w:b/>
              </w:rPr>
              <w:t xml:space="preserve"> </w:t>
            </w:r>
            <w:r w:rsidR="00D86BAE" w:rsidRPr="00623DDA">
              <w:rPr>
                <w:rFonts w:ascii="Verdana" w:hAnsi="Verdana"/>
                <w:b/>
              </w:rPr>
              <w:t>every state offer a public exchange?</w:t>
            </w:r>
          </w:p>
        </w:tc>
        <w:tc>
          <w:tcPr>
            <w:tcW w:w="3508" w:type="pct"/>
          </w:tcPr>
          <w:p w14:paraId="3871954B" w14:textId="77777777" w:rsidR="00CC19CF" w:rsidRPr="00F72F8F" w:rsidRDefault="00D86BAE" w:rsidP="00184DFB">
            <w:pPr>
              <w:spacing w:before="120" w:after="120"/>
              <w:rPr>
                <w:rFonts w:ascii="Verdana" w:hAnsi="Verdana"/>
              </w:rPr>
            </w:pPr>
            <w:r w:rsidRPr="00F72F8F">
              <w:rPr>
                <w:rFonts w:ascii="Verdana" w:hAnsi="Verdana"/>
              </w:rPr>
              <w:t xml:space="preserve">Every state </w:t>
            </w:r>
            <w:r w:rsidR="00EA6374">
              <w:rPr>
                <w:rFonts w:ascii="Verdana" w:hAnsi="Verdana"/>
              </w:rPr>
              <w:t>has</w:t>
            </w:r>
            <w:r w:rsidRPr="00F72F8F">
              <w:rPr>
                <w:rFonts w:ascii="Verdana" w:hAnsi="Verdana"/>
              </w:rPr>
              <w:t xml:space="preserve"> a public exchange available to its residents. What will vary is who operates the exchange – the state or federal government.</w:t>
            </w:r>
          </w:p>
        </w:tc>
      </w:tr>
      <w:tr w:rsidR="00D86BAE" w:rsidRPr="00F72F8F" w14:paraId="26867922" w14:textId="77777777" w:rsidTr="00184DFB">
        <w:tc>
          <w:tcPr>
            <w:tcW w:w="1492" w:type="pct"/>
          </w:tcPr>
          <w:p w14:paraId="5DE0C055" w14:textId="26A5F141" w:rsidR="00D86BAE" w:rsidRPr="00623DDA" w:rsidRDefault="0052249F" w:rsidP="0037394E">
            <w:pPr>
              <w:spacing w:before="120" w:after="120"/>
              <w:rPr>
                <w:rFonts w:ascii="Verdana" w:hAnsi="Verdana"/>
                <w:b/>
              </w:rPr>
            </w:pPr>
            <w:r w:rsidRPr="00623DDA">
              <w:rPr>
                <w:rFonts w:ascii="Verdana" w:hAnsi="Verdana"/>
                <w:b/>
              </w:rPr>
              <w:t>What is</w:t>
            </w:r>
            <w:r w:rsidR="00D86BAE" w:rsidRPr="00623DDA">
              <w:rPr>
                <w:rFonts w:ascii="Verdana" w:hAnsi="Verdana"/>
                <w:b/>
              </w:rPr>
              <w:t xml:space="preserve"> the difference between </w:t>
            </w:r>
            <w:r w:rsidR="00F2582E" w:rsidRPr="00623DDA">
              <w:rPr>
                <w:rFonts w:ascii="Verdana" w:hAnsi="Verdana"/>
                <w:b/>
              </w:rPr>
              <w:t>public</w:t>
            </w:r>
            <w:r w:rsidR="00D86BAE" w:rsidRPr="00623DDA">
              <w:rPr>
                <w:rFonts w:ascii="Verdana" w:hAnsi="Verdana"/>
                <w:b/>
              </w:rPr>
              <w:t xml:space="preserve"> and private exchange?</w:t>
            </w:r>
          </w:p>
        </w:tc>
        <w:tc>
          <w:tcPr>
            <w:tcW w:w="3508" w:type="pct"/>
          </w:tcPr>
          <w:p w14:paraId="123F6EB3" w14:textId="77777777" w:rsidR="00CC19CF" w:rsidRPr="00F72F8F" w:rsidRDefault="00D86BAE" w:rsidP="00184DFB">
            <w:pPr>
              <w:spacing w:before="120" w:after="120"/>
              <w:rPr>
                <w:rFonts w:ascii="Verdana" w:hAnsi="Verdana"/>
              </w:rPr>
            </w:pPr>
            <w:r w:rsidRPr="00F72F8F">
              <w:rPr>
                <w:rFonts w:ascii="Verdana" w:hAnsi="Verdana"/>
              </w:rPr>
              <w:t>The major difference is who operates the exchange. A public exchange is operated by the state or federal government</w:t>
            </w:r>
            <w:r w:rsidR="00100A57">
              <w:rPr>
                <w:rFonts w:ascii="Verdana" w:hAnsi="Verdana"/>
              </w:rPr>
              <w:t>, for the public to buy insurance</w:t>
            </w:r>
            <w:r w:rsidRPr="00F72F8F">
              <w:rPr>
                <w:rFonts w:ascii="Verdana" w:hAnsi="Verdana"/>
              </w:rPr>
              <w:t>. Private exchanges are operated by third parties, like consulting houses and health insurance carriers</w:t>
            </w:r>
            <w:r w:rsidR="00100A57">
              <w:rPr>
                <w:rFonts w:ascii="Verdana" w:hAnsi="Verdana"/>
              </w:rPr>
              <w:t>, for employers to make available to their employees</w:t>
            </w:r>
            <w:r w:rsidRPr="00F72F8F">
              <w:rPr>
                <w:rFonts w:ascii="Verdana" w:hAnsi="Verdana"/>
              </w:rPr>
              <w:t>.</w:t>
            </w:r>
          </w:p>
        </w:tc>
      </w:tr>
      <w:tr w:rsidR="00D86BAE" w:rsidRPr="00F72F8F" w14:paraId="3DFB58FF" w14:textId="77777777" w:rsidTr="00184DFB">
        <w:tc>
          <w:tcPr>
            <w:tcW w:w="1492" w:type="pct"/>
          </w:tcPr>
          <w:p w14:paraId="0FE1D85C" w14:textId="77777777" w:rsidR="00385170" w:rsidRPr="00623DDA" w:rsidRDefault="00D86BAE" w:rsidP="00184DFB">
            <w:pPr>
              <w:spacing w:before="120" w:after="120"/>
              <w:rPr>
                <w:rFonts w:ascii="Verdana" w:hAnsi="Verdana"/>
                <w:b/>
              </w:rPr>
            </w:pPr>
            <w:r w:rsidRPr="00623DDA">
              <w:rPr>
                <w:rFonts w:ascii="Verdana" w:hAnsi="Verdana"/>
                <w:b/>
              </w:rPr>
              <w:t>Can individuals get subsidies if they shop on a private exchange?</w:t>
            </w:r>
          </w:p>
        </w:tc>
        <w:tc>
          <w:tcPr>
            <w:tcW w:w="3508" w:type="pct"/>
          </w:tcPr>
          <w:p w14:paraId="6635EE14" w14:textId="77777777" w:rsidR="00D86BAE" w:rsidRPr="00F72F8F" w:rsidRDefault="00D86BAE" w:rsidP="0037394E">
            <w:pPr>
              <w:spacing w:before="120" w:after="120"/>
              <w:rPr>
                <w:rFonts w:ascii="Verdana" w:hAnsi="Verdana"/>
              </w:rPr>
            </w:pPr>
            <w:r w:rsidRPr="00F72F8F">
              <w:rPr>
                <w:rFonts w:ascii="Verdana" w:hAnsi="Verdana"/>
              </w:rPr>
              <w:t>No, subsidies are only available via the public exchanges.</w:t>
            </w:r>
          </w:p>
        </w:tc>
      </w:tr>
      <w:tr w:rsidR="00D86BAE" w:rsidRPr="00F72F8F" w14:paraId="3B25AD65" w14:textId="77777777" w:rsidTr="00184DFB">
        <w:tc>
          <w:tcPr>
            <w:tcW w:w="1492" w:type="pct"/>
          </w:tcPr>
          <w:p w14:paraId="6E91FF68" w14:textId="77777777" w:rsidR="00385170" w:rsidRPr="00623DDA" w:rsidRDefault="00D86BAE" w:rsidP="00184DFB">
            <w:pPr>
              <w:spacing w:before="120" w:after="120"/>
              <w:rPr>
                <w:rFonts w:ascii="Verdana" w:hAnsi="Verdana"/>
                <w:b/>
              </w:rPr>
            </w:pPr>
            <w:r w:rsidRPr="00623DDA">
              <w:rPr>
                <w:rFonts w:ascii="Verdana" w:hAnsi="Verdana"/>
                <w:b/>
              </w:rPr>
              <w:t>Where can members get more information about public exchanges?</w:t>
            </w:r>
          </w:p>
        </w:tc>
        <w:tc>
          <w:tcPr>
            <w:tcW w:w="3508" w:type="pct"/>
          </w:tcPr>
          <w:p w14:paraId="720031A3" w14:textId="77777777" w:rsidR="00D86BAE" w:rsidRPr="00F72F8F" w:rsidRDefault="00D86BAE" w:rsidP="0037394E">
            <w:pPr>
              <w:spacing w:before="120" w:after="120"/>
              <w:rPr>
                <w:rFonts w:ascii="Verdana" w:hAnsi="Verdana"/>
              </w:rPr>
            </w:pPr>
            <w:r>
              <w:rPr>
                <w:rFonts w:ascii="Verdana" w:hAnsi="Verdana"/>
              </w:rPr>
              <w:t>Members can obtain more information on w</w:t>
            </w:r>
            <w:r w:rsidRPr="00F72F8F">
              <w:rPr>
                <w:rFonts w:ascii="Verdana" w:hAnsi="Verdana"/>
              </w:rPr>
              <w:t>ww.healthcare.gov</w:t>
            </w:r>
            <w:r>
              <w:rPr>
                <w:rFonts w:ascii="Verdana" w:hAnsi="Verdana"/>
              </w:rPr>
              <w:t>.</w:t>
            </w:r>
          </w:p>
          <w:p w14:paraId="0C7D39F9" w14:textId="77777777" w:rsidR="00D86BAE" w:rsidRPr="00F72F8F" w:rsidRDefault="00D86BAE" w:rsidP="0037394E">
            <w:pPr>
              <w:spacing w:before="120" w:after="120"/>
              <w:rPr>
                <w:rFonts w:ascii="Verdana" w:hAnsi="Verdana"/>
              </w:rPr>
            </w:pPr>
          </w:p>
        </w:tc>
      </w:tr>
      <w:tr w:rsidR="00D86BAE" w:rsidRPr="00F72F8F" w14:paraId="1B79510B" w14:textId="77777777" w:rsidTr="00184DFB">
        <w:tc>
          <w:tcPr>
            <w:tcW w:w="1492" w:type="pct"/>
          </w:tcPr>
          <w:p w14:paraId="2F79CE6A" w14:textId="77777777" w:rsidR="00D86BAE" w:rsidRPr="00E376B3" w:rsidRDefault="00D86BAE" w:rsidP="00184DFB">
            <w:pPr>
              <w:tabs>
                <w:tab w:val="left" w:pos="930"/>
              </w:tabs>
              <w:spacing w:before="120" w:after="120"/>
              <w:rPr>
                <w:rFonts w:ascii="Verdana" w:hAnsi="Verdana"/>
                <w:b/>
              </w:rPr>
            </w:pPr>
            <w:r w:rsidRPr="00E376B3">
              <w:rPr>
                <w:rFonts w:ascii="Verdana" w:hAnsi="Verdana"/>
                <w:b/>
              </w:rPr>
              <w:t xml:space="preserve">Who is running the Health Insurance </w:t>
            </w:r>
            <w:r w:rsidR="006A6EC3">
              <w:rPr>
                <w:rFonts w:ascii="Verdana" w:hAnsi="Verdana"/>
                <w:b/>
              </w:rPr>
              <w:t xml:space="preserve">Exchange </w:t>
            </w:r>
            <w:r w:rsidRPr="00E376B3">
              <w:rPr>
                <w:rFonts w:ascii="Verdana" w:hAnsi="Verdana"/>
                <w:b/>
              </w:rPr>
              <w:t>Marketplace Call Center (for federally facilitated exchanges</w:t>
            </w:r>
            <w:r w:rsidR="00100A57">
              <w:rPr>
                <w:rFonts w:ascii="Verdana" w:hAnsi="Verdana"/>
                <w:b/>
              </w:rPr>
              <w:t>)</w:t>
            </w:r>
            <w:r w:rsidRPr="00E376B3">
              <w:rPr>
                <w:rFonts w:ascii="Verdana" w:hAnsi="Verdana"/>
                <w:b/>
              </w:rPr>
              <w:t xml:space="preserve">? </w:t>
            </w:r>
          </w:p>
        </w:tc>
        <w:tc>
          <w:tcPr>
            <w:tcW w:w="3508" w:type="pct"/>
          </w:tcPr>
          <w:p w14:paraId="6EF0805D" w14:textId="413BA090" w:rsidR="00D86BAE" w:rsidRPr="00E376B3" w:rsidRDefault="00D24F93" w:rsidP="00184DFB">
            <w:pPr>
              <w:tabs>
                <w:tab w:val="left" w:pos="930"/>
              </w:tabs>
              <w:spacing w:before="120" w:after="120"/>
              <w:rPr>
                <w:rFonts w:ascii="Verdana" w:hAnsi="Verdana"/>
              </w:rPr>
            </w:pPr>
            <w:r w:rsidRPr="00E376B3">
              <w:rPr>
                <w:rFonts w:ascii="Verdana" w:hAnsi="Verdana"/>
              </w:rPr>
              <w:t>CMS (Centers for Medicare and Medicaid Services) is operating the Marketplace call center</w:t>
            </w:r>
            <w:r w:rsidR="00D86BAE" w:rsidRPr="00E376B3">
              <w:rPr>
                <w:rFonts w:ascii="Verdana" w:hAnsi="Verdana"/>
              </w:rPr>
              <w:t xml:space="preserve">. </w:t>
            </w:r>
            <w:r w:rsidR="00D86BAE" w:rsidRPr="00E376B3">
              <w:rPr>
                <w:b/>
              </w:rPr>
              <w:t xml:space="preserve"> </w:t>
            </w:r>
            <w:r w:rsidR="00D86BAE" w:rsidRPr="00E376B3">
              <w:rPr>
                <w:rFonts w:ascii="Verdana" w:hAnsi="Verdana"/>
              </w:rPr>
              <w:t>1-800-318-2596, (TTY: 1-855-889-4325)</w:t>
            </w:r>
          </w:p>
        </w:tc>
      </w:tr>
    </w:tbl>
    <w:p w14:paraId="1826E425" w14:textId="77777777" w:rsidR="008B43A6" w:rsidRDefault="008B43A6" w:rsidP="008B43A6">
      <w:pPr>
        <w:jc w:val="center"/>
        <w:rPr>
          <w:rFonts w:ascii="Verdana" w:hAnsi="Verdana"/>
          <w:b/>
          <w:color w:val="000000"/>
          <w:sz w:val="16"/>
          <w:szCs w:val="16"/>
        </w:rPr>
      </w:pPr>
    </w:p>
    <w:p w14:paraId="270B2E6B" w14:textId="77777777" w:rsidR="008B43A6" w:rsidRDefault="008B43A6" w:rsidP="008B43A6">
      <w:pPr>
        <w:jc w:val="right"/>
        <w:rPr>
          <w:rFonts w:ascii="Verdana" w:hAnsi="Verdana"/>
        </w:rPr>
      </w:pPr>
      <w:hyperlink w:anchor="_top" w:history="1">
        <w:r w:rsidRPr="008B69C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8B43A6" w:rsidRPr="0064267B" w14:paraId="75C4B442" w14:textId="77777777" w:rsidTr="009327C8">
        <w:tc>
          <w:tcPr>
            <w:tcW w:w="5000" w:type="pct"/>
            <w:shd w:val="clear" w:color="auto" w:fill="C0C0C0"/>
          </w:tcPr>
          <w:p w14:paraId="73008394" w14:textId="77777777" w:rsidR="008B43A6" w:rsidRPr="00F13F27" w:rsidRDefault="008B43A6" w:rsidP="0037394E">
            <w:pPr>
              <w:pStyle w:val="Heading2"/>
              <w:spacing w:before="120" w:after="120"/>
              <w:rPr>
                <w:rFonts w:ascii="Verdana" w:hAnsi="Verdana"/>
                <w:i w:val="0"/>
              </w:rPr>
            </w:pPr>
            <w:bookmarkStart w:id="25" w:name="_Toc181254534"/>
            <w:r w:rsidRPr="00F13F27">
              <w:rPr>
                <w:rFonts w:ascii="Verdana" w:hAnsi="Verdana"/>
                <w:i w:val="0"/>
              </w:rPr>
              <w:t>Related Documents</w:t>
            </w:r>
            <w:bookmarkEnd w:id="25"/>
          </w:p>
        </w:tc>
      </w:tr>
    </w:tbl>
    <w:p w14:paraId="16442C9C" w14:textId="633D10C5" w:rsidR="008B43A6" w:rsidRDefault="00DB146C" w:rsidP="00184DFB">
      <w:pPr>
        <w:spacing w:before="120" w:after="120"/>
        <w:rPr>
          <w:rFonts w:ascii="Verdana" w:hAnsi="Verdana"/>
        </w:rPr>
      </w:pPr>
      <w:hyperlink r:id="rId30" w:anchor="!/view?docid=c1f1028b-e42c-4b4f-a4cf-cc0b42c91606" w:history="1">
        <w:r>
          <w:rPr>
            <w:rStyle w:val="Hyperlink"/>
            <w:rFonts w:ascii="Verdana" w:hAnsi="Verdana"/>
          </w:rPr>
          <w:t>Customer Care Abbreviations, Definitions and Terms Index (017428)</w:t>
        </w:r>
      </w:hyperlink>
      <w:r w:rsidR="00184DFB" w:rsidRPr="00184DFB">
        <w:rPr>
          <w:rStyle w:val="Hyperlink"/>
          <w:rFonts w:ascii="Verdana" w:hAnsi="Verdana"/>
          <w:u w:val="none"/>
        </w:rPr>
        <w:t xml:space="preserve">   </w:t>
      </w:r>
    </w:p>
    <w:p w14:paraId="50700E0D" w14:textId="77777777" w:rsidR="008B43A6" w:rsidRDefault="008B43A6" w:rsidP="008B43A6">
      <w:pPr>
        <w:jc w:val="right"/>
        <w:rPr>
          <w:rFonts w:ascii="Verdana" w:hAnsi="Verdana"/>
        </w:rPr>
      </w:pPr>
      <w:hyperlink w:anchor="_top" w:history="1">
        <w:r w:rsidRPr="008B69C1">
          <w:rPr>
            <w:rStyle w:val="Hyperlink"/>
            <w:rFonts w:ascii="Verdana" w:hAnsi="Verdana"/>
          </w:rPr>
          <w:t>Top of the Document</w:t>
        </w:r>
      </w:hyperlink>
    </w:p>
    <w:p w14:paraId="75D7D718" w14:textId="77777777" w:rsidR="008B43A6" w:rsidRDefault="008B43A6" w:rsidP="008B43A6">
      <w:pPr>
        <w:jc w:val="center"/>
        <w:rPr>
          <w:rFonts w:ascii="Verdana" w:hAnsi="Verdana"/>
          <w:sz w:val="16"/>
          <w:szCs w:val="16"/>
        </w:rPr>
      </w:pPr>
    </w:p>
    <w:p w14:paraId="7463B3C5" w14:textId="77777777" w:rsidR="008B43A6" w:rsidRPr="00C247CB" w:rsidRDefault="008B43A6" w:rsidP="008B43A6">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2FF476BE" w14:textId="77777777" w:rsidR="008B43A6" w:rsidRPr="00C247CB" w:rsidRDefault="008B43A6" w:rsidP="008B43A6">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Pr>
          <w:rFonts w:ascii="Verdana" w:hAnsi="Verdana"/>
          <w:b/>
          <w:color w:val="000000"/>
          <w:sz w:val="16"/>
          <w:szCs w:val="16"/>
        </w:rPr>
        <w:t>/</w:t>
      </w:r>
      <w:r w:rsidRPr="00C247CB">
        <w:rPr>
          <w:rFonts w:ascii="Verdana" w:hAnsi="Verdana"/>
          <w:b/>
          <w:color w:val="000000"/>
          <w:sz w:val="16"/>
          <w:szCs w:val="16"/>
        </w:rPr>
        <w:t xml:space="preserve"> PAPER COPY </w:t>
      </w:r>
      <w:r>
        <w:rPr>
          <w:rFonts w:ascii="Verdana" w:hAnsi="Verdana"/>
          <w:b/>
          <w:color w:val="000000"/>
          <w:sz w:val="16"/>
          <w:szCs w:val="16"/>
        </w:rPr>
        <w:t>=</w:t>
      </w:r>
      <w:r w:rsidRPr="00C247CB">
        <w:rPr>
          <w:rFonts w:ascii="Verdana" w:hAnsi="Verdana"/>
          <w:b/>
          <w:color w:val="000000"/>
          <w:sz w:val="16"/>
          <w:szCs w:val="16"/>
        </w:rPr>
        <w:t xml:space="preserve"> INFORMATIONAL ONLY</w:t>
      </w:r>
    </w:p>
    <w:p w14:paraId="507C1956" w14:textId="77777777" w:rsidR="008B43A6" w:rsidRPr="00C247CB" w:rsidRDefault="008B43A6" w:rsidP="008B43A6">
      <w:pPr>
        <w:jc w:val="center"/>
        <w:rPr>
          <w:rFonts w:ascii="Verdana" w:hAnsi="Verdana"/>
          <w:sz w:val="16"/>
          <w:szCs w:val="16"/>
        </w:rPr>
      </w:pPr>
    </w:p>
    <w:p w14:paraId="43E4C891" w14:textId="77777777" w:rsidR="008B43A6" w:rsidRPr="00C247CB" w:rsidRDefault="008B43A6" w:rsidP="008B43A6">
      <w:pPr>
        <w:jc w:val="center"/>
        <w:rPr>
          <w:rFonts w:ascii="Verdana" w:hAnsi="Verdana"/>
          <w:b/>
          <w:color w:val="000000"/>
          <w:sz w:val="16"/>
          <w:szCs w:val="16"/>
        </w:rPr>
      </w:pPr>
    </w:p>
    <w:p w14:paraId="3AEF31BA" w14:textId="77777777" w:rsidR="008B43A6" w:rsidRPr="00C247CB" w:rsidRDefault="008B43A6" w:rsidP="008B43A6">
      <w:pPr>
        <w:jc w:val="center"/>
        <w:rPr>
          <w:rFonts w:ascii="Verdana" w:hAnsi="Verdana"/>
          <w:sz w:val="16"/>
          <w:szCs w:val="16"/>
        </w:rPr>
      </w:pPr>
    </w:p>
    <w:p w14:paraId="05537840" w14:textId="77777777" w:rsidR="005A64DA" w:rsidRPr="00C247CB" w:rsidRDefault="005A64DA" w:rsidP="008B43A6">
      <w:pPr>
        <w:jc w:val="right"/>
        <w:rPr>
          <w:rFonts w:ascii="Verdana" w:hAnsi="Verdana"/>
          <w:sz w:val="16"/>
          <w:szCs w:val="16"/>
        </w:rPr>
      </w:pPr>
    </w:p>
    <w:sectPr w:rsidR="005A64DA" w:rsidRPr="00C247CB" w:rsidSect="00EB1F94">
      <w:footerReference w:type="default" r:id="rId31"/>
      <w:headerReference w:type="first" r:id="rId32"/>
      <w:footerReference w:type="first" r:id="rId33"/>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118DDD" w14:textId="77777777" w:rsidR="000179B3" w:rsidRDefault="000179B3">
      <w:r>
        <w:separator/>
      </w:r>
    </w:p>
  </w:endnote>
  <w:endnote w:type="continuationSeparator" w:id="0">
    <w:p w14:paraId="45A18D6B" w14:textId="77777777" w:rsidR="000179B3" w:rsidRDefault="000179B3">
      <w:r>
        <w:continuationSeparator/>
      </w:r>
    </w:p>
  </w:endnote>
  <w:endnote w:type="continuationNotice" w:id="1">
    <w:p w14:paraId="60A497FD" w14:textId="77777777" w:rsidR="000179B3" w:rsidRDefault="000179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BF8FA" w14:textId="77777777" w:rsidR="00BB3A13" w:rsidRPr="00C32D18" w:rsidRDefault="00A21675" w:rsidP="00C32D18">
    <w:pPr>
      <w:pStyle w:val="Footer"/>
      <w:jc w:val="right"/>
      <w:rPr>
        <w:szCs w:val="18"/>
      </w:rPr>
    </w:pPr>
    <w:r>
      <w:rPr>
        <w:rStyle w:val="PageNumber"/>
      </w:rPr>
      <w:fldChar w:fldCharType="begin"/>
    </w:r>
    <w:r w:rsidR="00BB3A13">
      <w:rPr>
        <w:rStyle w:val="PageNumber"/>
      </w:rPr>
      <w:instrText xml:space="preserve"> PAGE </w:instrText>
    </w:r>
    <w:r>
      <w:rPr>
        <w:rStyle w:val="PageNumber"/>
      </w:rPr>
      <w:fldChar w:fldCharType="separate"/>
    </w:r>
    <w:r w:rsidR="006A6EC3">
      <w:rPr>
        <w:rStyle w:val="PageNumber"/>
        <w:noProof/>
      </w:rPr>
      <w:t>22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FB291" w14:textId="77777777" w:rsidR="00BB3A13" w:rsidRPr="00CD2229" w:rsidRDefault="00BB3A13">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855E8" w14:textId="77777777" w:rsidR="000179B3" w:rsidRDefault="000179B3">
      <w:r>
        <w:separator/>
      </w:r>
    </w:p>
  </w:footnote>
  <w:footnote w:type="continuationSeparator" w:id="0">
    <w:p w14:paraId="008AAB6A" w14:textId="77777777" w:rsidR="000179B3" w:rsidRDefault="000179B3">
      <w:r>
        <w:continuationSeparator/>
      </w:r>
    </w:p>
  </w:footnote>
  <w:footnote w:type="continuationNotice" w:id="1">
    <w:p w14:paraId="12E38F78" w14:textId="77777777" w:rsidR="000179B3" w:rsidRDefault="000179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1C087" w14:textId="77777777" w:rsidR="00BB3A13" w:rsidRDefault="00BB3A13">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00F49"/>
    <w:multiLevelType w:val="hybridMultilevel"/>
    <w:tmpl w:val="33E8C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E04073"/>
    <w:multiLevelType w:val="hybridMultilevel"/>
    <w:tmpl w:val="6B16B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1E17C3"/>
    <w:multiLevelType w:val="hybridMultilevel"/>
    <w:tmpl w:val="A4B080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453DD6"/>
    <w:multiLevelType w:val="hybridMultilevel"/>
    <w:tmpl w:val="EE90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5" w15:restartNumberingAfterBreak="0">
    <w:nsid w:val="0FDD4582"/>
    <w:multiLevelType w:val="hybridMultilevel"/>
    <w:tmpl w:val="7FD20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1B01B0"/>
    <w:multiLevelType w:val="hybridMultilevel"/>
    <w:tmpl w:val="CDFE117E"/>
    <w:lvl w:ilvl="0" w:tplc="A21A51A0">
      <w:numFmt w:val="bullet"/>
      <w:lvlText w:val="•"/>
      <w:lvlJc w:val="left"/>
      <w:pPr>
        <w:ind w:left="1080" w:hanging="72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D66150"/>
    <w:multiLevelType w:val="hybridMultilevel"/>
    <w:tmpl w:val="EA6A8E48"/>
    <w:lvl w:ilvl="0" w:tplc="FDFA02D4">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067D53"/>
    <w:multiLevelType w:val="hybridMultilevel"/>
    <w:tmpl w:val="4956F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295D85"/>
    <w:multiLevelType w:val="hybridMultilevel"/>
    <w:tmpl w:val="ED1AB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D4DA2"/>
    <w:multiLevelType w:val="hybridMultilevel"/>
    <w:tmpl w:val="B230762C"/>
    <w:lvl w:ilvl="0" w:tplc="5BDC6794">
      <w:start w:val="1"/>
      <w:numFmt w:val="decimal"/>
      <w:lvlText w:val="%1."/>
      <w:lvlJc w:val="left"/>
      <w:pPr>
        <w:ind w:left="720" w:hanging="360"/>
      </w:pPr>
      <w:rPr>
        <w:rFonts w:ascii="Verdana" w:hAnsi="Verdana" w:hint="default"/>
        <w:b w:val="0"/>
        <w:i w:val="0"/>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6D53E5"/>
    <w:multiLevelType w:val="hybridMultilevel"/>
    <w:tmpl w:val="7B04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C55F5D"/>
    <w:multiLevelType w:val="hybridMultilevel"/>
    <w:tmpl w:val="F5ECF624"/>
    <w:lvl w:ilvl="0" w:tplc="A21A51A0">
      <w:numFmt w:val="bullet"/>
      <w:lvlText w:val="•"/>
      <w:lvlJc w:val="left"/>
      <w:pPr>
        <w:ind w:left="1080" w:hanging="72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B109A6"/>
    <w:multiLevelType w:val="hybridMultilevel"/>
    <w:tmpl w:val="920AF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B2571F"/>
    <w:multiLevelType w:val="hybridMultilevel"/>
    <w:tmpl w:val="74EADA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BE4125"/>
    <w:multiLevelType w:val="hybridMultilevel"/>
    <w:tmpl w:val="F526604E"/>
    <w:lvl w:ilvl="0" w:tplc="FDFA02D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F61C6F"/>
    <w:multiLevelType w:val="hybridMultilevel"/>
    <w:tmpl w:val="0F381974"/>
    <w:lvl w:ilvl="0" w:tplc="FDFA02D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C10CAC"/>
    <w:multiLevelType w:val="hybridMultilevel"/>
    <w:tmpl w:val="5EDEDD9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34914C35"/>
    <w:multiLevelType w:val="hybridMultilevel"/>
    <w:tmpl w:val="ADAC2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A90FB1"/>
    <w:multiLevelType w:val="hybridMultilevel"/>
    <w:tmpl w:val="6406C5AE"/>
    <w:lvl w:ilvl="0" w:tplc="04090001">
      <w:start w:val="1"/>
      <w:numFmt w:val="bullet"/>
      <w:lvlText w:val=""/>
      <w:lvlJc w:val="left"/>
      <w:pPr>
        <w:ind w:left="974" w:hanging="360"/>
      </w:pPr>
      <w:rPr>
        <w:rFonts w:ascii="Symbol" w:hAnsi="Symbol" w:hint="default"/>
      </w:rPr>
    </w:lvl>
    <w:lvl w:ilvl="1" w:tplc="04090003" w:tentative="1">
      <w:start w:val="1"/>
      <w:numFmt w:val="bullet"/>
      <w:lvlText w:val="o"/>
      <w:lvlJc w:val="left"/>
      <w:pPr>
        <w:ind w:left="1694" w:hanging="360"/>
      </w:pPr>
      <w:rPr>
        <w:rFonts w:ascii="Courier New" w:hAnsi="Courier New" w:cs="Courier New" w:hint="default"/>
      </w:rPr>
    </w:lvl>
    <w:lvl w:ilvl="2" w:tplc="04090005" w:tentative="1">
      <w:start w:val="1"/>
      <w:numFmt w:val="bullet"/>
      <w:lvlText w:val=""/>
      <w:lvlJc w:val="left"/>
      <w:pPr>
        <w:ind w:left="2414" w:hanging="360"/>
      </w:pPr>
      <w:rPr>
        <w:rFonts w:ascii="Wingdings" w:hAnsi="Wingdings" w:hint="default"/>
      </w:rPr>
    </w:lvl>
    <w:lvl w:ilvl="3" w:tplc="04090001" w:tentative="1">
      <w:start w:val="1"/>
      <w:numFmt w:val="bullet"/>
      <w:lvlText w:val=""/>
      <w:lvlJc w:val="left"/>
      <w:pPr>
        <w:ind w:left="3134" w:hanging="360"/>
      </w:pPr>
      <w:rPr>
        <w:rFonts w:ascii="Symbol" w:hAnsi="Symbol" w:hint="default"/>
      </w:rPr>
    </w:lvl>
    <w:lvl w:ilvl="4" w:tplc="04090003" w:tentative="1">
      <w:start w:val="1"/>
      <w:numFmt w:val="bullet"/>
      <w:lvlText w:val="o"/>
      <w:lvlJc w:val="left"/>
      <w:pPr>
        <w:ind w:left="3854" w:hanging="360"/>
      </w:pPr>
      <w:rPr>
        <w:rFonts w:ascii="Courier New" w:hAnsi="Courier New" w:cs="Courier New" w:hint="default"/>
      </w:rPr>
    </w:lvl>
    <w:lvl w:ilvl="5" w:tplc="04090005" w:tentative="1">
      <w:start w:val="1"/>
      <w:numFmt w:val="bullet"/>
      <w:lvlText w:val=""/>
      <w:lvlJc w:val="left"/>
      <w:pPr>
        <w:ind w:left="4574" w:hanging="360"/>
      </w:pPr>
      <w:rPr>
        <w:rFonts w:ascii="Wingdings" w:hAnsi="Wingdings" w:hint="default"/>
      </w:rPr>
    </w:lvl>
    <w:lvl w:ilvl="6" w:tplc="04090001" w:tentative="1">
      <w:start w:val="1"/>
      <w:numFmt w:val="bullet"/>
      <w:lvlText w:val=""/>
      <w:lvlJc w:val="left"/>
      <w:pPr>
        <w:ind w:left="5294" w:hanging="360"/>
      </w:pPr>
      <w:rPr>
        <w:rFonts w:ascii="Symbol" w:hAnsi="Symbol" w:hint="default"/>
      </w:rPr>
    </w:lvl>
    <w:lvl w:ilvl="7" w:tplc="04090003" w:tentative="1">
      <w:start w:val="1"/>
      <w:numFmt w:val="bullet"/>
      <w:lvlText w:val="o"/>
      <w:lvlJc w:val="left"/>
      <w:pPr>
        <w:ind w:left="6014" w:hanging="360"/>
      </w:pPr>
      <w:rPr>
        <w:rFonts w:ascii="Courier New" w:hAnsi="Courier New" w:cs="Courier New" w:hint="default"/>
      </w:rPr>
    </w:lvl>
    <w:lvl w:ilvl="8" w:tplc="04090005" w:tentative="1">
      <w:start w:val="1"/>
      <w:numFmt w:val="bullet"/>
      <w:lvlText w:val=""/>
      <w:lvlJc w:val="left"/>
      <w:pPr>
        <w:ind w:left="6734" w:hanging="360"/>
      </w:pPr>
      <w:rPr>
        <w:rFonts w:ascii="Wingdings" w:hAnsi="Wingdings" w:hint="default"/>
      </w:rPr>
    </w:lvl>
  </w:abstractNum>
  <w:abstractNum w:abstractNumId="20" w15:restartNumberingAfterBreak="0">
    <w:nsid w:val="43474F26"/>
    <w:multiLevelType w:val="hybridMultilevel"/>
    <w:tmpl w:val="7548B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E1794D"/>
    <w:multiLevelType w:val="hybridMultilevel"/>
    <w:tmpl w:val="ABB2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803E4C"/>
    <w:multiLevelType w:val="hybridMultilevel"/>
    <w:tmpl w:val="36EC4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7EA2F3B"/>
    <w:multiLevelType w:val="hybridMultilevel"/>
    <w:tmpl w:val="3F145220"/>
    <w:lvl w:ilvl="0" w:tplc="FDFA02D4">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E46C55"/>
    <w:multiLevelType w:val="hybridMultilevel"/>
    <w:tmpl w:val="DB6EA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962898"/>
    <w:multiLevelType w:val="hybridMultilevel"/>
    <w:tmpl w:val="F3ACA4C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1FB4504"/>
    <w:multiLevelType w:val="hybridMultilevel"/>
    <w:tmpl w:val="F5A0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1349D1"/>
    <w:multiLevelType w:val="hybridMultilevel"/>
    <w:tmpl w:val="265AC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8A7542"/>
    <w:multiLevelType w:val="hybridMultilevel"/>
    <w:tmpl w:val="5FA253E4"/>
    <w:lvl w:ilvl="0" w:tplc="FDFA02D4">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111A63"/>
    <w:multiLevelType w:val="hybridMultilevel"/>
    <w:tmpl w:val="11F0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8709A1"/>
    <w:multiLevelType w:val="hybridMultilevel"/>
    <w:tmpl w:val="2E8C190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5C2553B3"/>
    <w:multiLevelType w:val="hybridMultilevel"/>
    <w:tmpl w:val="59BE3B8C"/>
    <w:lvl w:ilvl="0" w:tplc="CB922304">
      <w:start w:val="1"/>
      <w:numFmt w:val="bullet"/>
      <w:lvlText w:val=""/>
      <w:lvlJc w:val="left"/>
      <w:pPr>
        <w:ind w:left="720" w:hanging="360"/>
      </w:pPr>
      <w:rPr>
        <w:rFonts w:ascii="Symbol" w:hAnsi="Symbol" w:hint="default"/>
        <w:b w:val="0"/>
        <w:i w:val="0"/>
        <w:color w:val="000000" w:themeColor="text1"/>
        <w:sz w:val="24"/>
      </w:rPr>
    </w:lvl>
    <w:lvl w:ilvl="1" w:tplc="F36C2EEC">
      <w:start w:val="1"/>
      <w:numFmt w:val="bullet"/>
      <w:lvlText w:val="o"/>
      <w:lvlJc w:val="left"/>
      <w:pPr>
        <w:ind w:left="1440" w:hanging="360"/>
      </w:pPr>
      <w:rPr>
        <w:rFonts w:ascii="Courier New" w:hAnsi="Courier New" w:hint="default"/>
        <w:b w:val="0"/>
        <w:i w:val="0"/>
        <w:color w:val="000000" w:themeColor="text1"/>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3E773E"/>
    <w:multiLevelType w:val="hybridMultilevel"/>
    <w:tmpl w:val="89F2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E77F47"/>
    <w:multiLevelType w:val="hybridMultilevel"/>
    <w:tmpl w:val="3354AB30"/>
    <w:lvl w:ilvl="0" w:tplc="FDFA02D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5F2693"/>
    <w:multiLevelType w:val="hybridMultilevel"/>
    <w:tmpl w:val="312A8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3373805">
    <w:abstractNumId w:val="4"/>
  </w:num>
  <w:num w:numId="2" w16cid:durableId="1010567633">
    <w:abstractNumId w:val="7"/>
  </w:num>
  <w:num w:numId="3" w16cid:durableId="1075518294">
    <w:abstractNumId w:val="24"/>
  </w:num>
  <w:num w:numId="4" w16cid:durableId="292752627">
    <w:abstractNumId w:val="14"/>
  </w:num>
  <w:num w:numId="5" w16cid:durableId="1295716754">
    <w:abstractNumId w:val="18"/>
  </w:num>
  <w:num w:numId="6" w16cid:durableId="1868517368">
    <w:abstractNumId w:val="9"/>
  </w:num>
  <w:num w:numId="7" w16cid:durableId="107244503">
    <w:abstractNumId w:val="34"/>
  </w:num>
  <w:num w:numId="8" w16cid:durableId="1734739749">
    <w:abstractNumId w:val="6"/>
  </w:num>
  <w:num w:numId="9" w16cid:durableId="638458438">
    <w:abstractNumId w:val="12"/>
  </w:num>
  <w:num w:numId="10" w16cid:durableId="1999528263">
    <w:abstractNumId w:val="17"/>
  </w:num>
  <w:num w:numId="11" w16cid:durableId="330255804">
    <w:abstractNumId w:val="16"/>
  </w:num>
  <w:num w:numId="12" w16cid:durableId="248579952">
    <w:abstractNumId w:val="33"/>
  </w:num>
  <w:num w:numId="13" w16cid:durableId="2035182643">
    <w:abstractNumId w:val="13"/>
  </w:num>
  <w:num w:numId="14" w16cid:durableId="1338652062">
    <w:abstractNumId w:val="32"/>
  </w:num>
  <w:num w:numId="15" w16cid:durableId="1353799728">
    <w:abstractNumId w:val="3"/>
  </w:num>
  <w:num w:numId="16" w16cid:durableId="1019895014">
    <w:abstractNumId w:val="15"/>
  </w:num>
  <w:num w:numId="17" w16cid:durableId="346762050">
    <w:abstractNumId w:val="20"/>
  </w:num>
  <w:num w:numId="18" w16cid:durableId="1665165185">
    <w:abstractNumId w:val="28"/>
  </w:num>
  <w:num w:numId="19" w16cid:durableId="2040810408">
    <w:abstractNumId w:val="23"/>
  </w:num>
  <w:num w:numId="20" w16cid:durableId="549004305">
    <w:abstractNumId w:val="30"/>
  </w:num>
  <w:num w:numId="21" w16cid:durableId="1136026412">
    <w:abstractNumId w:val="2"/>
  </w:num>
  <w:num w:numId="22" w16cid:durableId="37629993">
    <w:abstractNumId w:val="26"/>
  </w:num>
  <w:num w:numId="23" w16cid:durableId="507986310">
    <w:abstractNumId w:val="11"/>
  </w:num>
  <w:num w:numId="24" w16cid:durableId="68356435">
    <w:abstractNumId w:val="21"/>
  </w:num>
  <w:num w:numId="25" w16cid:durableId="1627080258">
    <w:abstractNumId w:val="0"/>
  </w:num>
  <w:num w:numId="26" w16cid:durableId="1819566577">
    <w:abstractNumId w:val="5"/>
  </w:num>
  <w:num w:numId="27" w16cid:durableId="1448815567">
    <w:abstractNumId w:val="22"/>
  </w:num>
  <w:num w:numId="28" w16cid:durableId="582492611">
    <w:abstractNumId w:val="1"/>
  </w:num>
  <w:num w:numId="29" w16cid:durableId="850409059">
    <w:abstractNumId w:val="8"/>
  </w:num>
  <w:num w:numId="30" w16cid:durableId="672798950">
    <w:abstractNumId w:val="29"/>
  </w:num>
  <w:num w:numId="31" w16cid:durableId="620378886">
    <w:abstractNumId w:val="27"/>
  </w:num>
  <w:num w:numId="32" w16cid:durableId="1661108121">
    <w:abstractNumId w:val="31"/>
  </w:num>
  <w:num w:numId="33" w16cid:durableId="443186584">
    <w:abstractNumId w:val="25"/>
  </w:num>
  <w:num w:numId="34" w16cid:durableId="2092576466">
    <w:abstractNumId w:val="10"/>
  </w:num>
  <w:num w:numId="35" w16cid:durableId="15473273">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1044D"/>
    <w:rsid w:val="00010903"/>
    <w:rsid w:val="00011F34"/>
    <w:rsid w:val="00013564"/>
    <w:rsid w:val="00013A75"/>
    <w:rsid w:val="00015A2E"/>
    <w:rsid w:val="000179B3"/>
    <w:rsid w:val="000224A9"/>
    <w:rsid w:val="00031E70"/>
    <w:rsid w:val="0003480A"/>
    <w:rsid w:val="00035BED"/>
    <w:rsid w:val="00045DD7"/>
    <w:rsid w:val="00055D22"/>
    <w:rsid w:val="00061AD2"/>
    <w:rsid w:val="00063EAB"/>
    <w:rsid w:val="00064E70"/>
    <w:rsid w:val="000657D6"/>
    <w:rsid w:val="00071AFF"/>
    <w:rsid w:val="00077C20"/>
    <w:rsid w:val="00080731"/>
    <w:rsid w:val="0008426D"/>
    <w:rsid w:val="000863D4"/>
    <w:rsid w:val="0008665F"/>
    <w:rsid w:val="00093738"/>
    <w:rsid w:val="00095AB5"/>
    <w:rsid w:val="000A5BDB"/>
    <w:rsid w:val="000A6B88"/>
    <w:rsid w:val="000B3C4C"/>
    <w:rsid w:val="000B656F"/>
    <w:rsid w:val="000B72DF"/>
    <w:rsid w:val="000C09F3"/>
    <w:rsid w:val="000C2BC3"/>
    <w:rsid w:val="000D1870"/>
    <w:rsid w:val="000D2BF8"/>
    <w:rsid w:val="000D4BA2"/>
    <w:rsid w:val="000D6714"/>
    <w:rsid w:val="000E10CF"/>
    <w:rsid w:val="000E2F84"/>
    <w:rsid w:val="000F0D1B"/>
    <w:rsid w:val="000F54AF"/>
    <w:rsid w:val="00100A57"/>
    <w:rsid w:val="00104CDE"/>
    <w:rsid w:val="00105604"/>
    <w:rsid w:val="00106EE4"/>
    <w:rsid w:val="001102A3"/>
    <w:rsid w:val="00115944"/>
    <w:rsid w:val="00117228"/>
    <w:rsid w:val="0012092A"/>
    <w:rsid w:val="0012373E"/>
    <w:rsid w:val="00127C04"/>
    <w:rsid w:val="001310A1"/>
    <w:rsid w:val="00135DDA"/>
    <w:rsid w:val="001360A5"/>
    <w:rsid w:val="00152210"/>
    <w:rsid w:val="00153790"/>
    <w:rsid w:val="0016273A"/>
    <w:rsid w:val="00166D40"/>
    <w:rsid w:val="00170A99"/>
    <w:rsid w:val="00181B1A"/>
    <w:rsid w:val="00184DFB"/>
    <w:rsid w:val="0019130B"/>
    <w:rsid w:val="0019785F"/>
    <w:rsid w:val="001A3B4C"/>
    <w:rsid w:val="001A4E09"/>
    <w:rsid w:val="001A5256"/>
    <w:rsid w:val="001B1E12"/>
    <w:rsid w:val="001B3879"/>
    <w:rsid w:val="001C3F9F"/>
    <w:rsid w:val="001C4A03"/>
    <w:rsid w:val="001D717F"/>
    <w:rsid w:val="001E67FD"/>
    <w:rsid w:val="001E7746"/>
    <w:rsid w:val="001F0774"/>
    <w:rsid w:val="001F118C"/>
    <w:rsid w:val="001F1218"/>
    <w:rsid w:val="001F38D6"/>
    <w:rsid w:val="001F52C5"/>
    <w:rsid w:val="001F5947"/>
    <w:rsid w:val="002016B4"/>
    <w:rsid w:val="002055CF"/>
    <w:rsid w:val="00210AF6"/>
    <w:rsid w:val="00225D82"/>
    <w:rsid w:val="00227F8C"/>
    <w:rsid w:val="0024159E"/>
    <w:rsid w:val="00241A05"/>
    <w:rsid w:val="00241D27"/>
    <w:rsid w:val="0024211F"/>
    <w:rsid w:val="00243EBB"/>
    <w:rsid w:val="00245940"/>
    <w:rsid w:val="00245BBB"/>
    <w:rsid w:val="0025592D"/>
    <w:rsid w:val="00255C6B"/>
    <w:rsid w:val="00262536"/>
    <w:rsid w:val="00265D86"/>
    <w:rsid w:val="00272271"/>
    <w:rsid w:val="002750DC"/>
    <w:rsid w:val="002816C0"/>
    <w:rsid w:val="0028601B"/>
    <w:rsid w:val="002860A7"/>
    <w:rsid w:val="00286B94"/>
    <w:rsid w:val="00291CE8"/>
    <w:rsid w:val="00296127"/>
    <w:rsid w:val="00296765"/>
    <w:rsid w:val="002A17E8"/>
    <w:rsid w:val="002B593E"/>
    <w:rsid w:val="002D3FB0"/>
    <w:rsid w:val="002D49A0"/>
    <w:rsid w:val="002D5E10"/>
    <w:rsid w:val="002E6E58"/>
    <w:rsid w:val="002F1F92"/>
    <w:rsid w:val="002F3DF4"/>
    <w:rsid w:val="002F6F9E"/>
    <w:rsid w:val="003015E3"/>
    <w:rsid w:val="00301820"/>
    <w:rsid w:val="003049A5"/>
    <w:rsid w:val="003232FD"/>
    <w:rsid w:val="00327B6A"/>
    <w:rsid w:val="0033143E"/>
    <w:rsid w:val="00334A9C"/>
    <w:rsid w:val="003357F5"/>
    <w:rsid w:val="00336C68"/>
    <w:rsid w:val="003378C1"/>
    <w:rsid w:val="0034318F"/>
    <w:rsid w:val="0034552B"/>
    <w:rsid w:val="0035620C"/>
    <w:rsid w:val="00363542"/>
    <w:rsid w:val="00370B4A"/>
    <w:rsid w:val="003725A1"/>
    <w:rsid w:val="0037394E"/>
    <w:rsid w:val="00374FAE"/>
    <w:rsid w:val="0037543C"/>
    <w:rsid w:val="0038295D"/>
    <w:rsid w:val="00385170"/>
    <w:rsid w:val="003868A2"/>
    <w:rsid w:val="00390950"/>
    <w:rsid w:val="003909EB"/>
    <w:rsid w:val="00390C36"/>
    <w:rsid w:val="00392A5B"/>
    <w:rsid w:val="003A5820"/>
    <w:rsid w:val="003A6D70"/>
    <w:rsid w:val="003B1F86"/>
    <w:rsid w:val="003B59D8"/>
    <w:rsid w:val="003C4627"/>
    <w:rsid w:val="003C4C30"/>
    <w:rsid w:val="003C6F63"/>
    <w:rsid w:val="003D0758"/>
    <w:rsid w:val="003E034D"/>
    <w:rsid w:val="003E53CB"/>
    <w:rsid w:val="003E6C1A"/>
    <w:rsid w:val="003F778E"/>
    <w:rsid w:val="003F7EEE"/>
    <w:rsid w:val="004012F7"/>
    <w:rsid w:val="0040640A"/>
    <w:rsid w:val="00406DB5"/>
    <w:rsid w:val="00417BB0"/>
    <w:rsid w:val="00420D54"/>
    <w:rsid w:val="0042336D"/>
    <w:rsid w:val="004245BB"/>
    <w:rsid w:val="00457EAE"/>
    <w:rsid w:val="00460891"/>
    <w:rsid w:val="00465E56"/>
    <w:rsid w:val="0047105D"/>
    <w:rsid w:val="00474719"/>
    <w:rsid w:val="004768BE"/>
    <w:rsid w:val="00477F73"/>
    <w:rsid w:val="0048355A"/>
    <w:rsid w:val="00484781"/>
    <w:rsid w:val="00486108"/>
    <w:rsid w:val="004911A6"/>
    <w:rsid w:val="004B3EC8"/>
    <w:rsid w:val="004B7A9A"/>
    <w:rsid w:val="004D0AF2"/>
    <w:rsid w:val="004D19A5"/>
    <w:rsid w:val="004D3C53"/>
    <w:rsid w:val="004D639B"/>
    <w:rsid w:val="004D658B"/>
    <w:rsid w:val="004E201E"/>
    <w:rsid w:val="004F12C6"/>
    <w:rsid w:val="004F3756"/>
    <w:rsid w:val="004F7F34"/>
    <w:rsid w:val="005015A9"/>
    <w:rsid w:val="005028B7"/>
    <w:rsid w:val="00505588"/>
    <w:rsid w:val="00506E8B"/>
    <w:rsid w:val="00512486"/>
    <w:rsid w:val="00515614"/>
    <w:rsid w:val="005160A8"/>
    <w:rsid w:val="005160BE"/>
    <w:rsid w:val="0052008F"/>
    <w:rsid w:val="00520917"/>
    <w:rsid w:val="0052249F"/>
    <w:rsid w:val="00523F5B"/>
    <w:rsid w:val="0052465B"/>
    <w:rsid w:val="00524CDD"/>
    <w:rsid w:val="00533A55"/>
    <w:rsid w:val="00540627"/>
    <w:rsid w:val="005417CA"/>
    <w:rsid w:val="00542A7A"/>
    <w:rsid w:val="00547C68"/>
    <w:rsid w:val="00553685"/>
    <w:rsid w:val="00555584"/>
    <w:rsid w:val="00560E01"/>
    <w:rsid w:val="00565A58"/>
    <w:rsid w:val="00577909"/>
    <w:rsid w:val="00582E85"/>
    <w:rsid w:val="005830EB"/>
    <w:rsid w:val="00587EE4"/>
    <w:rsid w:val="005910B5"/>
    <w:rsid w:val="005A4176"/>
    <w:rsid w:val="005A6118"/>
    <w:rsid w:val="005A64DA"/>
    <w:rsid w:val="005A6C57"/>
    <w:rsid w:val="005B446E"/>
    <w:rsid w:val="005B7BF6"/>
    <w:rsid w:val="005C0142"/>
    <w:rsid w:val="005C1D83"/>
    <w:rsid w:val="005C48FA"/>
    <w:rsid w:val="005D0846"/>
    <w:rsid w:val="005D6436"/>
    <w:rsid w:val="005E650E"/>
    <w:rsid w:val="005F0ABF"/>
    <w:rsid w:val="005F105A"/>
    <w:rsid w:val="005F66F6"/>
    <w:rsid w:val="006043B1"/>
    <w:rsid w:val="00610CCE"/>
    <w:rsid w:val="00620CAB"/>
    <w:rsid w:val="00622D77"/>
    <w:rsid w:val="00624253"/>
    <w:rsid w:val="00627F34"/>
    <w:rsid w:val="00636B18"/>
    <w:rsid w:val="00637CA1"/>
    <w:rsid w:val="00641F08"/>
    <w:rsid w:val="00646A50"/>
    <w:rsid w:val="00647945"/>
    <w:rsid w:val="00647CDD"/>
    <w:rsid w:val="00653EF2"/>
    <w:rsid w:val="006541AD"/>
    <w:rsid w:val="00660C7F"/>
    <w:rsid w:val="00662334"/>
    <w:rsid w:val="0066617F"/>
    <w:rsid w:val="006678A3"/>
    <w:rsid w:val="00674A16"/>
    <w:rsid w:val="00680CCF"/>
    <w:rsid w:val="00683555"/>
    <w:rsid w:val="00684152"/>
    <w:rsid w:val="00691E10"/>
    <w:rsid w:val="006A0481"/>
    <w:rsid w:val="006A54DC"/>
    <w:rsid w:val="006A6BFA"/>
    <w:rsid w:val="006A6E2E"/>
    <w:rsid w:val="006A6EC3"/>
    <w:rsid w:val="006B4114"/>
    <w:rsid w:val="006C653F"/>
    <w:rsid w:val="006E1AA4"/>
    <w:rsid w:val="006E5BDD"/>
    <w:rsid w:val="006E7593"/>
    <w:rsid w:val="006F02D5"/>
    <w:rsid w:val="006F1E37"/>
    <w:rsid w:val="006F7DFC"/>
    <w:rsid w:val="00700B82"/>
    <w:rsid w:val="007018DA"/>
    <w:rsid w:val="00704AF2"/>
    <w:rsid w:val="0070776C"/>
    <w:rsid w:val="00710E68"/>
    <w:rsid w:val="007147D2"/>
    <w:rsid w:val="00714BA0"/>
    <w:rsid w:val="0072113E"/>
    <w:rsid w:val="00721B1B"/>
    <w:rsid w:val="007248C1"/>
    <w:rsid w:val="00725B82"/>
    <w:rsid w:val="007269B6"/>
    <w:rsid w:val="00726E7A"/>
    <w:rsid w:val="0073294A"/>
    <w:rsid w:val="00732CAD"/>
    <w:rsid w:val="00732E52"/>
    <w:rsid w:val="007344C4"/>
    <w:rsid w:val="00736607"/>
    <w:rsid w:val="007378FE"/>
    <w:rsid w:val="00743967"/>
    <w:rsid w:val="00752801"/>
    <w:rsid w:val="00761B6B"/>
    <w:rsid w:val="00765EB9"/>
    <w:rsid w:val="00773CB4"/>
    <w:rsid w:val="00780DA0"/>
    <w:rsid w:val="00785118"/>
    <w:rsid w:val="00785C47"/>
    <w:rsid w:val="00786573"/>
    <w:rsid w:val="00786BEB"/>
    <w:rsid w:val="00794B86"/>
    <w:rsid w:val="007A045A"/>
    <w:rsid w:val="007A34C6"/>
    <w:rsid w:val="007A403E"/>
    <w:rsid w:val="007A75EA"/>
    <w:rsid w:val="007B21C3"/>
    <w:rsid w:val="007B4321"/>
    <w:rsid w:val="007B57CA"/>
    <w:rsid w:val="007B581D"/>
    <w:rsid w:val="007C25E7"/>
    <w:rsid w:val="007C4BEC"/>
    <w:rsid w:val="007C6354"/>
    <w:rsid w:val="007C6798"/>
    <w:rsid w:val="007C77DD"/>
    <w:rsid w:val="007D5BBA"/>
    <w:rsid w:val="007E1365"/>
    <w:rsid w:val="007E3EA6"/>
    <w:rsid w:val="007F04AB"/>
    <w:rsid w:val="00801F7E"/>
    <w:rsid w:val="00803AE3"/>
    <w:rsid w:val="008042E1"/>
    <w:rsid w:val="00804D63"/>
    <w:rsid w:val="00806B9D"/>
    <w:rsid w:val="00812777"/>
    <w:rsid w:val="0081632A"/>
    <w:rsid w:val="00822166"/>
    <w:rsid w:val="008230FA"/>
    <w:rsid w:val="00827365"/>
    <w:rsid w:val="00831386"/>
    <w:rsid w:val="00832A6C"/>
    <w:rsid w:val="008337C5"/>
    <w:rsid w:val="0083693E"/>
    <w:rsid w:val="00836B9D"/>
    <w:rsid w:val="0084129E"/>
    <w:rsid w:val="00841AB1"/>
    <w:rsid w:val="00843390"/>
    <w:rsid w:val="00846373"/>
    <w:rsid w:val="00846ECB"/>
    <w:rsid w:val="00850F71"/>
    <w:rsid w:val="008565CF"/>
    <w:rsid w:val="008568AE"/>
    <w:rsid w:val="00860590"/>
    <w:rsid w:val="00861088"/>
    <w:rsid w:val="00861316"/>
    <w:rsid w:val="008614E8"/>
    <w:rsid w:val="00864335"/>
    <w:rsid w:val="008669F0"/>
    <w:rsid w:val="00867EDF"/>
    <w:rsid w:val="008729A3"/>
    <w:rsid w:val="008734D7"/>
    <w:rsid w:val="00875F0D"/>
    <w:rsid w:val="00877414"/>
    <w:rsid w:val="008825E7"/>
    <w:rsid w:val="00892349"/>
    <w:rsid w:val="0089624E"/>
    <w:rsid w:val="008A03B7"/>
    <w:rsid w:val="008B43A6"/>
    <w:rsid w:val="008C0687"/>
    <w:rsid w:val="008C2197"/>
    <w:rsid w:val="008C2A1F"/>
    <w:rsid w:val="008C3493"/>
    <w:rsid w:val="008C5410"/>
    <w:rsid w:val="008D11A6"/>
    <w:rsid w:val="008D1F7B"/>
    <w:rsid w:val="008D2D64"/>
    <w:rsid w:val="008E21BE"/>
    <w:rsid w:val="008E3B5C"/>
    <w:rsid w:val="00902E07"/>
    <w:rsid w:val="00903BE6"/>
    <w:rsid w:val="00905433"/>
    <w:rsid w:val="009118EA"/>
    <w:rsid w:val="00913B1B"/>
    <w:rsid w:val="00916663"/>
    <w:rsid w:val="009169C4"/>
    <w:rsid w:val="00925000"/>
    <w:rsid w:val="00927861"/>
    <w:rsid w:val="009327C8"/>
    <w:rsid w:val="009346C9"/>
    <w:rsid w:val="00937EA0"/>
    <w:rsid w:val="0094148C"/>
    <w:rsid w:val="00942283"/>
    <w:rsid w:val="00947783"/>
    <w:rsid w:val="00950C3A"/>
    <w:rsid w:val="00954FE8"/>
    <w:rsid w:val="00962AA1"/>
    <w:rsid w:val="00966C37"/>
    <w:rsid w:val="009726E0"/>
    <w:rsid w:val="009865F4"/>
    <w:rsid w:val="009867A6"/>
    <w:rsid w:val="00990822"/>
    <w:rsid w:val="00994F04"/>
    <w:rsid w:val="009B0837"/>
    <w:rsid w:val="009B2608"/>
    <w:rsid w:val="009C4A31"/>
    <w:rsid w:val="009C648F"/>
    <w:rsid w:val="009C68A6"/>
    <w:rsid w:val="009D3558"/>
    <w:rsid w:val="009E00C2"/>
    <w:rsid w:val="009F6FD2"/>
    <w:rsid w:val="009F71AD"/>
    <w:rsid w:val="009F7259"/>
    <w:rsid w:val="009F78D3"/>
    <w:rsid w:val="00A0640C"/>
    <w:rsid w:val="00A16B63"/>
    <w:rsid w:val="00A21675"/>
    <w:rsid w:val="00A22388"/>
    <w:rsid w:val="00A27D2D"/>
    <w:rsid w:val="00A37D8F"/>
    <w:rsid w:val="00A441C5"/>
    <w:rsid w:val="00A471A8"/>
    <w:rsid w:val="00A4732A"/>
    <w:rsid w:val="00A531AE"/>
    <w:rsid w:val="00A57D26"/>
    <w:rsid w:val="00A61C9D"/>
    <w:rsid w:val="00A7166B"/>
    <w:rsid w:val="00A72DEB"/>
    <w:rsid w:val="00A801D6"/>
    <w:rsid w:val="00A816B8"/>
    <w:rsid w:val="00A83BA0"/>
    <w:rsid w:val="00A84F18"/>
    <w:rsid w:val="00A85045"/>
    <w:rsid w:val="00A93907"/>
    <w:rsid w:val="00A95738"/>
    <w:rsid w:val="00A957FE"/>
    <w:rsid w:val="00A97B7D"/>
    <w:rsid w:val="00AA2252"/>
    <w:rsid w:val="00AA438D"/>
    <w:rsid w:val="00AA4825"/>
    <w:rsid w:val="00AB0E63"/>
    <w:rsid w:val="00AB33E1"/>
    <w:rsid w:val="00AB4746"/>
    <w:rsid w:val="00AC4214"/>
    <w:rsid w:val="00AC6E70"/>
    <w:rsid w:val="00AD1646"/>
    <w:rsid w:val="00AD7AB4"/>
    <w:rsid w:val="00AE40C2"/>
    <w:rsid w:val="00AF038B"/>
    <w:rsid w:val="00AF78FA"/>
    <w:rsid w:val="00B078BF"/>
    <w:rsid w:val="00B078F6"/>
    <w:rsid w:val="00B20315"/>
    <w:rsid w:val="00B2502D"/>
    <w:rsid w:val="00B25A24"/>
    <w:rsid w:val="00B26045"/>
    <w:rsid w:val="00B37541"/>
    <w:rsid w:val="00B37F52"/>
    <w:rsid w:val="00B4320F"/>
    <w:rsid w:val="00B44C55"/>
    <w:rsid w:val="00B45446"/>
    <w:rsid w:val="00B46A95"/>
    <w:rsid w:val="00B5114C"/>
    <w:rsid w:val="00B5123C"/>
    <w:rsid w:val="00B521CC"/>
    <w:rsid w:val="00B53794"/>
    <w:rsid w:val="00B544C2"/>
    <w:rsid w:val="00B5566F"/>
    <w:rsid w:val="00B630A6"/>
    <w:rsid w:val="00B6615B"/>
    <w:rsid w:val="00B70CC4"/>
    <w:rsid w:val="00B7357F"/>
    <w:rsid w:val="00B743EC"/>
    <w:rsid w:val="00B847E1"/>
    <w:rsid w:val="00B8558B"/>
    <w:rsid w:val="00B937E8"/>
    <w:rsid w:val="00B938E5"/>
    <w:rsid w:val="00BA4131"/>
    <w:rsid w:val="00BA74E8"/>
    <w:rsid w:val="00BB02DE"/>
    <w:rsid w:val="00BB191F"/>
    <w:rsid w:val="00BB281A"/>
    <w:rsid w:val="00BB371A"/>
    <w:rsid w:val="00BB3A13"/>
    <w:rsid w:val="00BB40A7"/>
    <w:rsid w:val="00BC4A76"/>
    <w:rsid w:val="00BC6BE9"/>
    <w:rsid w:val="00BC74A9"/>
    <w:rsid w:val="00BD4DF4"/>
    <w:rsid w:val="00BD5E06"/>
    <w:rsid w:val="00BD62C9"/>
    <w:rsid w:val="00BD71F5"/>
    <w:rsid w:val="00BD7B25"/>
    <w:rsid w:val="00BD7E38"/>
    <w:rsid w:val="00BE1AFF"/>
    <w:rsid w:val="00BF2579"/>
    <w:rsid w:val="00BF2971"/>
    <w:rsid w:val="00BF74E9"/>
    <w:rsid w:val="00C117D4"/>
    <w:rsid w:val="00C1467D"/>
    <w:rsid w:val="00C17569"/>
    <w:rsid w:val="00C20ED7"/>
    <w:rsid w:val="00C247CB"/>
    <w:rsid w:val="00C32D18"/>
    <w:rsid w:val="00C360BD"/>
    <w:rsid w:val="00C43717"/>
    <w:rsid w:val="00C45F75"/>
    <w:rsid w:val="00C476E1"/>
    <w:rsid w:val="00C51E6D"/>
    <w:rsid w:val="00C52E77"/>
    <w:rsid w:val="00C566B3"/>
    <w:rsid w:val="00C57B1A"/>
    <w:rsid w:val="00C65249"/>
    <w:rsid w:val="00C67B32"/>
    <w:rsid w:val="00C72007"/>
    <w:rsid w:val="00C733D3"/>
    <w:rsid w:val="00C73A20"/>
    <w:rsid w:val="00C75C83"/>
    <w:rsid w:val="00C837BA"/>
    <w:rsid w:val="00C8737F"/>
    <w:rsid w:val="00C90667"/>
    <w:rsid w:val="00C93E58"/>
    <w:rsid w:val="00C95346"/>
    <w:rsid w:val="00CA3B23"/>
    <w:rsid w:val="00CA3EB9"/>
    <w:rsid w:val="00CA62F6"/>
    <w:rsid w:val="00CB013E"/>
    <w:rsid w:val="00CB0C1D"/>
    <w:rsid w:val="00CB31B4"/>
    <w:rsid w:val="00CB6981"/>
    <w:rsid w:val="00CC19CF"/>
    <w:rsid w:val="00CC5AA2"/>
    <w:rsid w:val="00CC721A"/>
    <w:rsid w:val="00CD0963"/>
    <w:rsid w:val="00CD5C71"/>
    <w:rsid w:val="00CD70FB"/>
    <w:rsid w:val="00CE3D42"/>
    <w:rsid w:val="00CE53E6"/>
    <w:rsid w:val="00CE66B6"/>
    <w:rsid w:val="00CF1691"/>
    <w:rsid w:val="00CF539A"/>
    <w:rsid w:val="00CF56D8"/>
    <w:rsid w:val="00CF6131"/>
    <w:rsid w:val="00CF6844"/>
    <w:rsid w:val="00D0005D"/>
    <w:rsid w:val="00D05FF6"/>
    <w:rsid w:val="00D06EAA"/>
    <w:rsid w:val="00D24F93"/>
    <w:rsid w:val="00D36733"/>
    <w:rsid w:val="00D471B5"/>
    <w:rsid w:val="00D50A86"/>
    <w:rsid w:val="00D55B49"/>
    <w:rsid w:val="00D571DB"/>
    <w:rsid w:val="00D61EAF"/>
    <w:rsid w:val="00D64500"/>
    <w:rsid w:val="00D65555"/>
    <w:rsid w:val="00D6774D"/>
    <w:rsid w:val="00D75191"/>
    <w:rsid w:val="00D75855"/>
    <w:rsid w:val="00D80929"/>
    <w:rsid w:val="00D85254"/>
    <w:rsid w:val="00D86BAE"/>
    <w:rsid w:val="00D92DB5"/>
    <w:rsid w:val="00D92FCF"/>
    <w:rsid w:val="00D94712"/>
    <w:rsid w:val="00D96DAF"/>
    <w:rsid w:val="00DA69E4"/>
    <w:rsid w:val="00DB146C"/>
    <w:rsid w:val="00DB4E7F"/>
    <w:rsid w:val="00DC4871"/>
    <w:rsid w:val="00DC4FFC"/>
    <w:rsid w:val="00DD20FF"/>
    <w:rsid w:val="00DD3529"/>
    <w:rsid w:val="00DD7576"/>
    <w:rsid w:val="00DE68E4"/>
    <w:rsid w:val="00DE79F7"/>
    <w:rsid w:val="00DF469F"/>
    <w:rsid w:val="00DF4B71"/>
    <w:rsid w:val="00DF65F7"/>
    <w:rsid w:val="00DF6BE4"/>
    <w:rsid w:val="00E157BC"/>
    <w:rsid w:val="00E17E02"/>
    <w:rsid w:val="00E22C0B"/>
    <w:rsid w:val="00E316AE"/>
    <w:rsid w:val="00E32A0E"/>
    <w:rsid w:val="00E3732E"/>
    <w:rsid w:val="00E40CA7"/>
    <w:rsid w:val="00E414EC"/>
    <w:rsid w:val="00E50E4A"/>
    <w:rsid w:val="00E650D0"/>
    <w:rsid w:val="00E703CB"/>
    <w:rsid w:val="00E839F4"/>
    <w:rsid w:val="00E91F5F"/>
    <w:rsid w:val="00E9291D"/>
    <w:rsid w:val="00E95940"/>
    <w:rsid w:val="00EA1ED0"/>
    <w:rsid w:val="00EA278E"/>
    <w:rsid w:val="00EA6374"/>
    <w:rsid w:val="00EB12DD"/>
    <w:rsid w:val="00EB153E"/>
    <w:rsid w:val="00EB1F94"/>
    <w:rsid w:val="00EB3053"/>
    <w:rsid w:val="00EB57EB"/>
    <w:rsid w:val="00EC2513"/>
    <w:rsid w:val="00EC42DB"/>
    <w:rsid w:val="00EC6D53"/>
    <w:rsid w:val="00EC73C3"/>
    <w:rsid w:val="00ED2F73"/>
    <w:rsid w:val="00ED50CF"/>
    <w:rsid w:val="00EE0DED"/>
    <w:rsid w:val="00EE2589"/>
    <w:rsid w:val="00EE7D52"/>
    <w:rsid w:val="00EF2EF7"/>
    <w:rsid w:val="00EF74AD"/>
    <w:rsid w:val="00EF7B70"/>
    <w:rsid w:val="00F0109D"/>
    <w:rsid w:val="00F05295"/>
    <w:rsid w:val="00F0555E"/>
    <w:rsid w:val="00F1152F"/>
    <w:rsid w:val="00F14C1A"/>
    <w:rsid w:val="00F17B7F"/>
    <w:rsid w:val="00F207B3"/>
    <w:rsid w:val="00F210F2"/>
    <w:rsid w:val="00F247BC"/>
    <w:rsid w:val="00F24CA6"/>
    <w:rsid w:val="00F2582E"/>
    <w:rsid w:val="00F329F1"/>
    <w:rsid w:val="00F43AC7"/>
    <w:rsid w:val="00F45940"/>
    <w:rsid w:val="00F4753D"/>
    <w:rsid w:val="00F5486B"/>
    <w:rsid w:val="00F62BC4"/>
    <w:rsid w:val="00F658E0"/>
    <w:rsid w:val="00F81783"/>
    <w:rsid w:val="00F850CE"/>
    <w:rsid w:val="00F859B7"/>
    <w:rsid w:val="00F877B4"/>
    <w:rsid w:val="00F90479"/>
    <w:rsid w:val="00F90EA3"/>
    <w:rsid w:val="00F91968"/>
    <w:rsid w:val="00FA7FD5"/>
    <w:rsid w:val="00FB0924"/>
    <w:rsid w:val="00FB2D67"/>
    <w:rsid w:val="00FB3DBC"/>
    <w:rsid w:val="00FB5FA7"/>
    <w:rsid w:val="00FC1C44"/>
    <w:rsid w:val="00FC6551"/>
    <w:rsid w:val="00FD6CFA"/>
    <w:rsid w:val="00FF636B"/>
    <w:rsid w:val="00FF75CE"/>
    <w:rsid w:val="01158BA9"/>
    <w:rsid w:val="0168E587"/>
    <w:rsid w:val="01BE261E"/>
    <w:rsid w:val="028F583A"/>
    <w:rsid w:val="0351B1C1"/>
    <w:rsid w:val="0445F050"/>
    <w:rsid w:val="05D58850"/>
    <w:rsid w:val="070DBA16"/>
    <w:rsid w:val="0B1D47B3"/>
    <w:rsid w:val="0DF32BA3"/>
    <w:rsid w:val="0DF41FD3"/>
    <w:rsid w:val="0F0AB7CC"/>
    <w:rsid w:val="0F3A7745"/>
    <w:rsid w:val="105BF25B"/>
    <w:rsid w:val="123D94C0"/>
    <w:rsid w:val="137CD6A5"/>
    <w:rsid w:val="1DC09DE0"/>
    <w:rsid w:val="1E374E5B"/>
    <w:rsid w:val="21FF17D2"/>
    <w:rsid w:val="22E8E887"/>
    <w:rsid w:val="24225B75"/>
    <w:rsid w:val="2477C317"/>
    <w:rsid w:val="2AE0281D"/>
    <w:rsid w:val="2E147C40"/>
    <w:rsid w:val="2E749F69"/>
    <w:rsid w:val="2FCA74DC"/>
    <w:rsid w:val="34D62753"/>
    <w:rsid w:val="35DA81AD"/>
    <w:rsid w:val="3A7E0E26"/>
    <w:rsid w:val="3BCFCB19"/>
    <w:rsid w:val="3BF6AFC1"/>
    <w:rsid w:val="3C104A74"/>
    <w:rsid w:val="3D4E5E35"/>
    <w:rsid w:val="3D74D309"/>
    <w:rsid w:val="3FE5EB07"/>
    <w:rsid w:val="4275E620"/>
    <w:rsid w:val="42BA2E91"/>
    <w:rsid w:val="43E0A8B2"/>
    <w:rsid w:val="4487550D"/>
    <w:rsid w:val="451D624A"/>
    <w:rsid w:val="4584CC7C"/>
    <w:rsid w:val="46684BFB"/>
    <w:rsid w:val="47DFDE5F"/>
    <w:rsid w:val="48032997"/>
    <w:rsid w:val="4B146EA4"/>
    <w:rsid w:val="4F597D84"/>
    <w:rsid w:val="544FAFAA"/>
    <w:rsid w:val="56D732AA"/>
    <w:rsid w:val="581954FF"/>
    <w:rsid w:val="59D2F685"/>
    <w:rsid w:val="5B0F6EA9"/>
    <w:rsid w:val="61CE0C4A"/>
    <w:rsid w:val="65485700"/>
    <w:rsid w:val="65EB7D33"/>
    <w:rsid w:val="69C8B2C0"/>
    <w:rsid w:val="6B38D17C"/>
    <w:rsid w:val="6BBDA7BD"/>
    <w:rsid w:val="6F512327"/>
    <w:rsid w:val="71A8DC25"/>
    <w:rsid w:val="74483AA9"/>
    <w:rsid w:val="74DEB9FC"/>
    <w:rsid w:val="767B0B5C"/>
    <w:rsid w:val="77973970"/>
    <w:rsid w:val="780623F0"/>
    <w:rsid w:val="7F408034"/>
    <w:rsid w:val="7FAF1E19"/>
    <w:rsid w:val="7FDB9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AF4FAF"/>
  <w15:chartTrackingRefBased/>
  <w15:docId w15:val="{A7789624-8860-48DA-B1A8-B705DA1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uiPriority w:val="9"/>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rFonts w:ascii="Verdana" w:hAnsi="Verdana"/>
      <w:snapToGrid w:val="0"/>
      <w:szCs w:val="20"/>
    </w:rPr>
  </w:style>
  <w:style w:type="character" w:customStyle="1" w:styleId="Heading2Char">
    <w:name w:val="Heading 2 Char"/>
    <w:link w:val="Heading2"/>
    <w:uiPriority w:val="9"/>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ListParagraph">
    <w:name w:val="List Paragraph"/>
    <w:basedOn w:val="Normal"/>
    <w:uiPriority w:val="34"/>
    <w:qFormat/>
    <w:rsid w:val="00EF7B70"/>
    <w:pPr>
      <w:spacing w:after="200" w:line="276" w:lineRule="auto"/>
      <w:ind w:left="720"/>
      <w:contextualSpacing/>
    </w:pPr>
    <w:rPr>
      <w:rFonts w:ascii="Calibri" w:eastAsia="Calibri" w:hAnsi="Calibri"/>
      <w:sz w:val="22"/>
      <w:szCs w:val="22"/>
    </w:rPr>
  </w:style>
  <w:style w:type="paragraph" w:customStyle="1" w:styleId="Outlinetitle">
    <w:name w:val="Outline title"/>
    <w:basedOn w:val="Normal"/>
    <w:rsid w:val="007C25E7"/>
    <w:pPr>
      <w:spacing w:after="360"/>
      <w:jc w:val="center"/>
    </w:pPr>
    <w:rPr>
      <w:rFonts w:eastAsia="Calibri"/>
      <w:b/>
      <w:bCs/>
      <w:sz w:val="72"/>
      <w:szCs w:val="72"/>
    </w:rPr>
  </w:style>
  <w:style w:type="paragraph" w:styleId="BalloonText">
    <w:name w:val="Balloon Text"/>
    <w:basedOn w:val="Normal"/>
    <w:link w:val="BalloonTextChar"/>
    <w:rsid w:val="00C17569"/>
    <w:rPr>
      <w:rFonts w:ascii="Tahoma" w:hAnsi="Tahoma" w:cs="Tahoma"/>
      <w:sz w:val="16"/>
      <w:szCs w:val="16"/>
    </w:rPr>
  </w:style>
  <w:style w:type="character" w:customStyle="1" w:styleId="BalloonTextChar">
    <w:name w:val="Balloon Text Char"/>
    <w:link w:val="BalloonText"/>
    <w:rsid w:val="00C17569"/>
    <w:rPr>
      <w:rFonts w:ascii="Tahoma" w:hAnsi="Tahoma" w:cs="Tahoma"/>
      <w:sz w:val="16"/>
      <w:szCs w:val="16"/>
    </w:rPr>
  </w:style>
  <w:style w:type="character" w:styleId="CommentReference">
    <w:name w:val="annotation reference"/>
    <w:rsid w:val="00620CAB"/>
    <w:rPr>
      <w:sz w:val="16"/>
      <w:szCs w:val="16"/>
    </w:rPr>
  </w:style>
  <w:style w:type="paragraph" w:styleId="CommentText">
    <w:name w:val="annotation text"/>
    <w:basedOn w:val="Normal"/>
    <w:link w:val="CommentTextChar"/>
    <w:rsid w:val="00620CAB"/>
    <w:rPr>
      <w:sz w:val="20"/>
      <w:szCs w:val="20"/>
    </w:rPr>
  </w:style>
  <w:style w:type="character" w:customStyle="1" w:styleId="CommentTextChar">
    <w:name w:val="Comment Text Char"/>
    <w:basedOn w:val="DefaultParagraphFont"/>
    <w:link w:val="CommentText"/>
    <w:rsid w:val="00620CAB"/>
  </w:style>
  <w:style w:type="paragraph" w:styleId="CommentSubject">
    <w:name w:val="annotation subject"/>
    <w:basedOn w:val="CommentText"/>
    <w:next w:val="CommentText"/>
    <w:link w:val="CommentSubjectChar"/>
    <w:rsid w:val="00620CAB"/>
    <w:rPr>
      <w:b/>
      <w:bCs/>
    </w:rPr>
  </w:style>
  <w:style w:type="character" w:customStyle="1" w:styleId="CommentSubjectChar">
    <w:name w:val="Comment Subject Char"/>
    <w:link w:val="CommentSubject"/>
    <w:rsid w:val="00620CAB"/>
    <w:rPr>
      <w:b/>
      <w:bCs/>
    </w:rPr>
  </w:style>
  <w:style w:type="character" w:customStyle="1" w:styleId="apple-converted-space">
    <w:name w:val="apple-converted-space"/>
    <w:basedOn w:val="DefaultParagraphFont"/>
    <w:rsid w:val="00EA6374"/>
  </w:style>
  <w:style w:type="paragraph" w:styleId="Revision">
    <w:name w:val="Revision"/>
    <w:hidden/>
    <w:uiPriority w:val="99"/>
    <w:semiHidden/>
    <w:rsid w:val="001F52C5"/>
    <w:rPr>
      <w:sz w:val="24"/>
      <w:szCs w:val="24"/>
    </w:rPr>
  </w:style>
  <w:style w:type="paragraph" w:styleId="TOC2">
    <w:name w:val="toc 2"/>
    <w:basedOn w:val="Normal"/>
    <w:next w:val="Normal"/>
    <w:autoRedefine/>
    <w:uiPriority w:val="39"/>
    <w:rsid w:val="00D55B49"/>
    <w:pPr>
      <w:tabs>
        <w:tab w:val="right" w:leader="dot" w:pos="12950"/>
      </w:tabs>
    </w:pPr>
  </w:style>
  <w:style w:type="character" w:styleId="UnresolvedMention">
    <w:name w:val="Unresolved Mention"/>
    <w:basedOn w:val="DefaultParagraphFont"/>
    <w:uiPriority w:val="99"/>
    <w:semiHidden/>
    <w:unhideWhenUsed/>
    <w:rsid w:val="00FF75CE"/>
    <w:rPr>
      <w:color w:val="605E5C"/>
      <w:shd w:val="clear" w:color="auto" w:fill="E1DFDD"/>
    </w:rPr>
  </w:style>
  <w:style w:type="character" w:styleId="Mention">
    <w:name w:val="Mention"/>
    <w:basedOn w:val="DefaultParagraphFont"/>
    <w:uiPriority w:val="99"/>
    <w:unhideWhenUsed/>
    <w:rsid w:val="005160A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26289712">
      <w:bodyDiv w:val="1"/>
      <w:marLeft w:val="0"/>
      <w:marRight w:val="0"/>
      <w:marTop w:val="0"/>
      <w:marBottom w:val="0"/>
      <w:divBdr>
        <w:top w:val="none" w:sz="0" w:space="0" w:color="auto"/>
        <w:left w:val="none" w:sz="0" w:space="0" w:color="auto"/>
        <w:bottom w:val="none" w:sz="0" w:space="0" w:color="auto"/>
        <w:right w:val="none" w:sz="0" w:space="0" w:color="auto"/>
      </w:divBdr>
    </w:div>
    <w:div w:id="284971860">
      <w:bodyDiv w:val="1"/>
      <w:marLeft w:val="0"/>
      <w:marRight w:val="0"/>
      <w:marTop w:val="0"/>
      <w:marBottom w:val="0"/>
      <w:divBdr>
        <w:top w:val="none" w:sz="0" w:space="0" w:color="auto"/>
        <w:left w:val="none" w:sz="0" w:space="0" w:color="auto"/>
        <w:bottom w:val="none" w:sz="0" w:space="0" w:color="auto"/>
        <w:right w:val="none" w:sz="0" w:space="0" w:color="auto"/>
      </w:divBdr>
      <w:divsChild>
        <w:div w:id="470442501">
          <w:marLeft w:val="1080"/>
          <w:marRight w:val="0"/>
          <w:marTop w:val="120"/>
          <w:marBottom w:val="0"/>
          <w:divBdr>
            <w:top w:val="none" w:sz="0" w:space="0" w:color="auto"/>
            <w:left w:val="none" w:sz="0" w:space="0" w:color="auto"/>
            <w:bottom w:val="none" w:sz="0" w:space="0" w:color="auto"/>
            <w:right w:val="none" w:sz="0" w:space="0" w:color="auto"/>
          </w:divBdr>
        </w:div>
        <w:div w:id="892345895">
          <w:marLeft w:val="547"/>
          <w:marRight w:val="0"/>
          <w:marTop w:val="120"/>
          <w:marBottom w:val="0"/>
          <w:divBdr>
            <w:top w:val="none" w:sz="0" w:space="0" w:color="auto"/>
            <w:left w:val="none" w:sz="0" w:space="0" w:color="auto"/>
            <w:bottom w:val="none" w:sz="0" w:space="0" w:color="auto"/>
            <w:right w:val="none" w:sz="0" w:space="0" w:color="auto"/>
          </w:divBdr>
        </w:div>
        <w:div w:id="1502159635">
          <w:marLeft w:val="1080"/>
          <w:marRight w:val="0"/>
          <w:marTop w:val="120"/>
          <w:marBottom w:val="0"/>
          <w:divBdr>
            <w:top w:val="none" w:sz="0" w:space="0" w:color="auto"/>
            <w:left w:val="none" w:sz="0" w:space="0" w:color="auto"/>
            <w:bottom w:val="none" w:sz="0" w:space="0" w:color="auto"/>
            <w:right w:val="none" w:sz="0" w:space="0" w:color="auto"/>
          </w:divBdr>
        </w:div>
      </w:divsChild>
    </w:div>
    <w:div w:id="437330627">
      <w:bodyDiv w:val="1"/>
      <w:marLeft w:val="0"/>
      <w:marRight w:val="0"/>
      <w:marTop w:val="0"/>
      <w:marBottom w:val="0"/>
      <w:divBdr>
        <w:top w:val="none" w:sz="0" w:space="0" w:color="auto"/>
        <w:left w:val="none" w:sz="0" w:space="0" w:color="auto"/>
        <w:bottom w:val="none" w:sz="0" w:space="0" w:color="auto"/>
        <w:right w:val="none" w:sz="0" w:space="0" w:color="auto"/>
      </w:divBdr>
      <w:divsChild>
        <w:div w:id="1270895422">
          <w:marLeft w:val="1080"/>
          <w:marRight w:val="0"/>
          <w:marTop w:val="120"/>
          <w:marBottom w:val="0"/>
          <w:divBdr>
            <w:top w:val="none" w:sz="0" w:space="0" w:color="auto"/>
            <w:left w:val="none" w:sz="0" w:space="0" w:color="auto"/>
            <w:bottom w:val="none" w:sz="0" w:space="0" w:color="auto"/>
            <w:right w:val="none" w:sz="0" w:space="0" w:color="auto"/>
          </w:divBdr>
        </w:div>
        <w:div w:id="1786385219">
          <w:marLeft w:val="547"/>
          <w:marRight w:val="0"/>
          <w:marTop w:val="120"/>
          <w:marBottom w:val="0"/>
          <w:divBdr>
            <w:top w:val="none" w:sz="0" w:space="0" w:color="auto"/>
            <w:left w:val="none" w:sz="0" w:space="0" w:color="auto"/>
            <w:bottom w:val="none" w:sz="0" w:space="0" w:color="auto"/>
            <w:right w:val="none" w:sz="0" w:space="0" w:color="auto"/>
          </w:divBdr>
        </w:div>
        <w:div w:id="1938906968">
          <w:marLeft w:val="1080"/>
          <w:marRight w:val="0"/>
          <w:marTop w:val="120"/>
          <w:marBottom w:val="0"/>
          <w:divBdr>
            <w:top w:val="none" w:sz="0" w:space="0" w:color="auto"/>
            <w:left w:val="none" w:sz="0" w:space="0" w:color="auto"/>
            <w:bottom w:val="none" w:sz="0" w:space="0" w:color="auto"/>
            <w:right w:val="none" w:sz="0" w:space="0" w:color="auto"/>
          </w:divBdr>
        </w:div>
      </w:divsChild>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690649898">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058894957">
      <w:bodyDiv w:val="1"/>
      <w:marLeft w:val="0"/>
      <w:marRight w:val="0"/>
      <w:marTop w:val="0"/>
      <w:marBottom w:val="0"/>
      <w:divBdr>
        <w:top w:val="none" w:sz="0" w:space="0" w:color="auto"/>
        <w:left w:val="none" w:sz="0" w:space="0" w:color="auto"/>
        <w:bottom w:val="none" w:sz="0" w:space="0" w:color="auto"/>
        <w:right w:val="none" w:sz="0" w:space="0" w:color="auto"/>
      </w:divBdr>
    </w:div>
    <w:div w:id="1138304930">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334381157">
      <w:bodyDiv w:val="1"/>
      <w:marLeft w:val="0"/>
      <w:marRight w:val="0"/>
      <w:marTop w:val="0"/>
      <w:marBottom w:val="0"/>
      <w:divBdr>
        <w:top w:val="none" w:sz="0" w:space="0" w:color="auto"/>
        <w:left w:val="none" w:sz="0" w:space="0" w:color="auto"/>
        <w:bottom w:val="none" w:sz="0" w:space="0" w:color="auto"/>
        <w:right w:val="none" w:sz="0" w:space="0" w:color="auto"/>
      </w:divBdr>
    </w:div>
    <w:div w:id="1340307834">
      <w:bodyDiv w:val="1"/>
      <w:marLeft w:val="0"/>
      <w:marRight w:val="0"/>
      <w:marTop w:val="0"/>
      <w:marBottom w:val="0"/>
      <w:divBdr>
        <w:top w:val="none" w:sz="0" w:space="0" w:color="auto"/>
        <w:left w:val="none" w:sz="0" w:space="0" w:color="auto"/>
        <w:bottom w:val="none" w:sz="0" w:space="0" w:color="auto"/>
        <w:right w:val="none" w:sz="0" w:space="0" w:color="auto"/>
      </w:divBdr>
    </w:div>
    <w:div w:id="143393421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22902671">
      <w:bodyDiv w:val="1"/>
      <w:marLeft w:val="0"/>
      <w:marRight w:val="0"/>
      <w:marTop w:val="0"/>
      <w:marBottom w:val="0"/>
      <w:divBdr>
        <w:top w:val="none" w:sz="0" w:space="0" w:color="auto"/>
        <w:left w:val="none" w:sz="0" w:space="0" w:color="auto"/>
        <w:bottom w:val="none" w:sz="0" w:space="0" w:color="auto"/>
        <w:right w:val="none" w:sz="0" w:space="0" w:color="auto"/>
      </w:divBdr>
    </w:div>
    <w:div w:id="1829832236">
      <w:bodyDiv w:val="1"/>
      <w:marLeft w:val="0"/>
      <w:marRight w:val="0"/>
      <w:marTop w:val="0"/>
      <w:marBottom w:val="0"/>
      <w:divBdr>
        <w:top w:val="none" w:sz="0" w:space="0" w:color="auto"/>
        <w:left w:val="none" w:sz="0" w:space="0" w:color="auto"/>
        <w:bottom w:val="none" w:sz="0" w:space="0" w:color="auto"/>
        <w:right w:val="none" w:sz="0" w:space="0" w:color="auto"/>
      </w:divBdr>
    </w:div>
    <w:div w:id="2031173973">
      <w:bodyDiv w:val="1"/>
      <w:marLeft w:val="0"/>
      <w:marRight w:val="0"/>
      <w:marTop w:val="0"/>
      <w:marBottom w:val="0"/>
      <w:divBdr>
        <w:top w:val="none" w:sz="0" w:space="0" w:color="auto"/>
        <w:left w:val="none" w:sz="0" w:space="0" w:color="auto"/>
        <w:bottom w:val="none" w:sz="0" w:space="0" w:color="auto"/>
        <w:right w:val="none" w:sz="0" w:space="0" w:color="auto"/>
      </w:divBdr>
    </w:div>
    <w:div w:id="2102143895">
      <w:bodyDiv w:val="1"/>
      <w:marLeft w:val="0"/>
      <w:marRight w:val="0"/>
      <w:marTop w:val="0"/>
      <w:marBottom w:val="0"/>
      <w:divBdr>
        <w:top w:val="none" w:sz="0" w:space="0" w:color="auto"/>
        <w:left w:val="none" w:sz="0" w:space="0" w:color="auto"/>
        <w:bottom w:val="none" w:sz="0" w:space="0" w:color="auto"/>
        <w:right w:val="none" w:sz="0" w:space="0" w:color="auto"/>
      </w:divBdr>
    </w:div>
    <w:div w:id="213825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image" Target="media/image3.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image" Target="media/image2.png"/><Relationship Id="rId25" Type="http://schemas.openxmlformats.org/officeDocument/2006/relationships/hyperlink" Target="https://thesource.cvshealth.com/nuxeo/thesource/"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www.healthcare.gov/get-coverag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image" Target="media/image7.png"/><Relationship Id="rId28" Type="http://schemas.openxmlformats.org/officeDocument/2006/relationships/hyperlink" Target="http://www.healthcare.gov/get-coverage/"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www.healthcare.gov/get-coverage/" TargetMode="External"/><Relationship Id="rId30" Type="http://schemas.openxmlformats.org/officeDocument/2006/relationships/hyperlink" Target="https://thesource.cvshealth.com/nuxeo/thesource/"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5b4efb-3be6-4b39-a776-8a7d43adc0ca">
      <Terms xmlns="http://schemas.microsoft.com/office/infopath/2007/PartnerControls"/>
    </lcf76f155ced4ddcb4097134ff3c332f>
    <TaxCatchAll xmlns="c3b1ca30-2eb1-4a7b-bdb7-8ec24a269858"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13" ma:contentTypeDescription="Create a new document." ma:contentTypeScope="" ma:versionID="c82a4c7a2de90141a70b338a4045ba53">
  <xsd:schema xmlns:xsd="http://www.w3.org/2001/XMLSchema" xmlns:xs="http://www.w3.org/2001/XMLSchema" xmlns:p="http://schemas.microsoft.com/office/2006/metadata/properties" xmlns:ns2="105b4efb-3be6-4b39-a776-8a7d43adc0ca" xmlns:ns3="c3b1ca30-2eb1-4a7b-bdb7-8ec24a269858" targetNamespace="http://schemas.microsoft.com/office/2006/metadata/properties" ma:root="true" ma:fieldsID="5ae03433158953222c8205a2ce6981a3" ns2:_="" ns3:_="">
    <xsd:import namespace="105b4efb-3be6-4b39-a776-8a7d43adc0ca"/>
    <xsd:import namespace="c3b1ca30-2eb1-4a7b-bdb7-8ec24a2698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1ca30-2eb1-4a7b-bdb7-8ec24a2698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a3c050b-2e66-47aa-9da7-d15fa225ee29}" ma:internalName="TaxCatchAll" ma:showField="CatchAllData" ma:web="c3b1ca30-2eb1-4a7b-bdb7-8ec24a2698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394227-056A-4C53-9C32-7105CE9BD77B}">
  <ds:schemaRefs>
    <ds:schemaRef ds:uri="http://schemas.microsoft.com/office/2006/metadata/properties"/>
    <ds:schemaRef ds:uri="http://schemas.microsoft.com/office/infopath/2007/PartnerControls"/>
    <ds:schemaRef ds:uri="105b4efb-3be6-4b39-a776-8a7d43adc0ca"/>
    <ds:schemaRef ds:uri="c3b1ca30-2eb1-4a7b-bdb7-8ec24a269858"/>
  </ds:schemaRefs>
</ds:datastoreItem>
</file>

<file path=customXml/itemProps2.xml><?xml version="1.0" encoding="utf-8"?>
<ds:datastoreItem xmlns:ds="http://schemas.openxmlformats.org/officeDocument/2006/customXml" ds:itemID="{823E9E32-3154-428B-85AE-FC452E0B7EF9}">
  <ds:schemaRefs>
    <ds:schemaRef ds:uri="http://schemas.openxmlformats.org/officeDocument/2006/bibliography"/>
  </ds:schemaRefs>
</ds:datastoreItem>
</file>

<file path=customXml/itemProps3.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4.xml><?xml version="1.0" encoding="utf-8"?>
<ds:datastoreItem xmlns:ds="http://schemas.openxmlformats.org/officeDocument/2006/customXml" ds:itemID="{767A7388-DCBD-4227-8947-5804AB232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c3b1ca30-2eb1-4a7b-bdb7-8ec24a26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26</TotalTime>
  <Pages>1</Pages>
  <Words>3825</Words>
  <Characters>21803</Characters>
  <Application>Microsoft Office Word</Application>
  <DocSecurity>2</DocSecurity>
  <Lines>181</Lines>
  <Paragraphs>51</Paragraphs>
  <ScaleCrop>false</ScaleCrop>
  <Company>Caremark RX</Company>
  <LinksUpToDate>false</LinksUpToDate>
  <CharactersWithSpaces>25577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Document Management Team</dc:creator>
  <cp:keywords/>
  <cp:lastModifiedBy>Davis, David P.</cp:lastModifiedBy>
  <cp:revision>27</cp:revision>
  <cp:lastPrinted>2007-01-03T21:56:00Z</cp:lastPrinted>
  <dcterms:created xsi:type="dcterms:W3CDTF">2024-10-31T12:54:00Z</dcterms:created>
  <dcterms:modified xsi:type="dcterms:W3CDTF">2024-10-31T13:33:00Z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2022-06-08T11:55:54Z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2590d426-e0c3-4331-a94b-e6b5b04c14c4</vt:lpwstr>
  </property>
  <property fmtid="{D5CDD505-2E9C-101B-9397-08002B2CF9AE}" pid="8" name="MSIP_Label_67599526-06ca-49cc-9fa9-5307800a949a_ContentBits">
    <vt:lpwstr>0</vt:lpwstr>
  </property>
  <property fmtid="{D5CDD505-2E9C-101B-9397-08002B2CF9AE}" pid="9" name="ContentTypeId">
    <vt:lpwstr>0x010100ACB49505AAF66544B3991E59A726D05A</vt:lpwstr>
  </property>
  <property fmtid="{D5CDD505-2E9C-101B-9397-08002B2CF9AE}" pid="10" name="MediaServiceImageTags">
    <vt:lpwstr/>
  </property>
</Properties>
</file>