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37C9B1E4" w:rsidR="00DE7A25" w:rsidRDefault="008424CC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TopoftheDocument"/>
      <w:bookmarkStart w:id="1" w:name="_top"/>
      <w:bookmarkEnd w:id="0"/>
      <w:bookmarkEnd w:id="1"/>
      <w:r>
        <w:rPr>
          <w:rFonts w:ascii="Verdana" w:hAnsi="Verdana"/>
          <w:color w:val="000000"/>
          <w:sz w:val="36"/>
          <w:szCs w:val="36"/>
        </w:rPr>
        <w:t>Formulary Change Document Index</w:t>
      </w:r>
    </w:p>
    <w:p w14:paraId="592F8C49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22D54B0" w14:textId="77777777" w:rsidR="00FC1983" w:rsidRDefault="00FC1983" w:rsidP="00FC1983">
      <w:pPr>
        <w:rPr>
          <w:rFonts w:ascii="Verdana" w:hAnsi="Verdana"/>
          <w:sz w:val="24"/>
          <w:szCs w:val="24"/>
        </w:rPr>
      </w:pPr>
    </w:p>
    <w:p w14:paraId="27ADD816" w14:textId="17466214" w:rsidR="00601799" w:rsidRPr="00FC1983" w:rsidRDefault="00DE7A25" w:rsidP="00FC1983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r w:rsidRPr="00FC1983">
        <w:rPr>
          <w:rFonts w:ascii="Verdana" w:hAnsi="Verdana"/>
          <w:sz w:val="24"/>
          <w:szCs w:val="24"/>
        </w:rPr>
        <w:fldChar w:fldCharType="begin"/>
      </w:r>
      <w:r w:rsidRPr="00FC1983">
        <w:rPr>
          <w:rFonts w:ascii="Verdana" w:hAnsi="Verdana"/>
          <w:sz w:val="24"/>
          <w:szCs w:val="24"/>
        </w:rPr>
        <w:instrText xml:space="preserve"> TOC \o "2-2" \n \p " " \h \z \u </w:instrText>
      </w:r>
      <w:r w:rsidRPr="00FC1983">
        <w:rPr>
          <w:rFonts w:ascii="Verdana" w:hAnsi="Verdana"/>
          <w:sz w:val="24"/>
          <w:szCs w:val="24"/>
        </w:rPr>
        <w:fldChar w:fldCharType="separate"/>
      </w:r>
      <w:hyperlink w:anchor="_Toc204256427" w:history="1">
        <w:r w:rsidR="00601799" w:rsidRPr="00FC1983">
          <w:rPr>
            <w:rStyle w:val="Hyperlink"/>
            <w:rFonts w:ascii="Verdana" w:hAnsi="Verdana"/>
            <w:noProof/>
            <w:sz w:val="24"/>
            <w:szCs w:val="24"/>
          </w:rPr>
          <w:t>Document List</w:t>
        </w:r>
      </w:hyperlink>
    </w:p>
    <w:p w14:paraId="53477E23" w14:textId="50E76A1C" w:rsidR="00601799" w:rsidRPr="00FC1983" w:rsidRDefault="00601799" w:rsidP="00FC1983">
      <w:pPr>
        <w:rPr>
          <w:rFonts w:ascii="Verdana" w:eastAsiaTheme="minorEastAsia" w:hAnsi="Verdana"/>
          <w:noProof/>
          <w:kern w:val="2"/>
          <w:sz w:val="24"/>
          <w:szCs w:val="24"/>
          <w14:ligatures w14:val="standardContextual"/>
        </w:rPr>
      </w:pPr>
      <w:hyperlink w:anchor="_Toc204256428" w:history="1">
        <w:r w:rsidRPr="00FC1983">
          <w:rPr>
            <w:rStyle w:val="Hyperlink"/>
            <w:rFonts w:ascii="Verdana" w:hAnsi="Verdana"/>
            <w:noProof/>
            <w:sz w:val="24"/>
            <w:szCs w:val="24"/>
          </w:rPr>
          <w:t>Related Documents</w:t>
        </w:r>
      </w:hyperlink>
    </w:p>
    <w:p w14:paraId="11E9FE03" w14:textId="654F2A67" w:rsidR="00033218" w:rsidRPr="003B05DB" w:rsidRDefault="00DE7A25" w:rsidP="00FC1983">
      <w:r w:rsidRPr="00FC1983">
        <w:rPr>
          <w:rFonts w:ascii="Verdana" w:hAnsi="Verdana"/>
          <w:sz w:val="24"/>
          <w:szCs w:val="24"/>
        </w:rPr>
        <w:fldChar w:fldCharType="end"/>
      </w:r>
      <w:r w:rsidR="003B05DB" w:rsidRPr="003B05DB">
        <w:t xml:space="preserve"> </w:t>
      </w:r>
    </w:p>
    <w:p w14:paraId="4988718A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2789ECB" w14:textId="50710C62" w:rsidR="00DE7A25" w:rsidRPr="00DE7A25" w:rsidRDefault="00DE7A25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bookmarkStart w:id="2" w:name="_Overview"/>
      <w:bookmarkEnd w:id="2"/>
      <w:r w:rsidRPr="00DE7A25">
        <w:rPr>
          <w:rFonts w:ascii="Verdana" w:hAnsi="Verdana"/>
          <w:b/>
          <w:sz w:val="24"/>
          <w:szCs w:val="24"/>
        </w:rPr>
        <w:t xml:space="preserve">Description:  </w:t>
      </w:r>
      <w:r w:rsidR="00601799">
        <w:rPr>
          <w:rFonts w:ascii="Verdana" w:hAnsi="Verdana"/>
          <w:sz w:val="24"/>
          <w:szCs w:val="24"/>
        </w:rPr>
        <w:t>P</w:t>
      </w:r>
      <w:r w:rsidR="00FF56F1" w:rsidRPr="00FF56F1">
        <w:rPr>
          <w:rFonts w:ascii="Verdana" w:hAnsi="Verdana"/>
          <w:sz w:val="24"/>
          <w:szCs w:val="24"/>
        </w:rPr>
        <w:t xml:space="preserve">rovides a </w:t>
      </w:r>
      <w:r w:rsidR="00DA7AD5">
        <w:rPr>
          <w:rFonts w:ascii="Verdana" w:hAnsi="Verdana"/>
          <w:sz w:val="24"/>
          <w:szCs w:val="24"/>
        </w:rPr>
        <w:t>centralized</w:t>
      </w:r>
      <w:r w:rsidR="002D505F">
        <w:rPr>
          <w:rFonts w:ascii="Verdana" w:hAnsi="Verdana"/>
          <w:sz w:val="24"/>
          <w:szCs w:val="24"/>
        </w:rPr>
        <w:t xml:space="preserve"> </w:t>
      </w:r>
      <w:r w:rsidR="00FF56F1" w:rsidRPr="00FF56F1">
        <w:rPr>
          <w:rFonts w:ascii="Verdana" w:hAnsi="Verdana"/>
          <w:sz w:val="24"/>
          <w:szCs w:val="24"/>
        </w:rPr>
        <w:t>list of related Formulary Change documents, including hyperlinks and descriptions.</w:t>
      </w:r>
    </w:p>
    <w:p w14:paraId="2C39D59D" w14:textId="77777777" w:rsidR="003E0D11" w:rsidRPr="00DE7A25" w:rsidRDefault="003E0D11" w:rsidP="00D65E5D">
      <w:pPr>
        <w:spacing w:after="0" w:line="240" w:lineRule="auto"/>
        <w:rPr>
          <w:rStyle w:val="Hyperlink"/>
          <w:rFonts w:ascii="Verdana" w:hAnsi="Verdana"/>
          <w:sz w:val="24"/>
          <w:szCs w:val="24"/>
        </w:rPr>
      </w:pPr>
      <w:bookmarkStart w:id="3" w:name="_Rationale"/>
      <w:bookmarkStart w:id="4" w:name="_Definitions"/>
      <w:bookmarkStart w:id="5" w:name="_Abbreviations/Definitions"/>
      <w:bookmarkStart w:id="6" w:name="_Log_Activity"/>
      <w:bookmarkEnd w:id="3"/>
      <w:bookmarkEnd w:id="4"/>
      <w:bookmarkEnd w:id="5"/>
      <w:bookmarkEnd w:id="6"/>
    </w:p>
    <w:p w14:paraId="4549C33E" w14:textId="20A15B08" w:rsidR="00DE7A25" w:rsidRPr="00DE7A25" w:rsidRDefault="00DE7A25" w:rsidP="008424CC">
      <w:pPr>
        <w:spacing w:after="0" w:line="240" w:lineRule="auto"/>
        <w:rPr>
          <w:rFonts w:ascii="Verdana" w:hAnsi="Verdana"/>
          <w:sz w:val="24"/>
          <w:szCs w:val="24"/>
        </w:rPr>
      </w:pPr>
      <w:bookmarkStart w:id="7" w:name="_Determining_if_an"/>
      <w:bookmarkStart w:id="8" w:name="_Qualifying_the_Call"/>
      <w:bookmarkStart w:id="9" w:name="_Various_Work_Instructions_1"/>
      <w:bookmarkStart w:id="10" w:name="_Various_Work_Instructions1"/>
      <w:bookmarkStart w:id="11" w:name="_Process"/>
      <w:bookmarkStart w:id="12" w:name="_Various_Work_Instructions"/>
      <w:bookmarkStart w:id="13" w:name="_Adding_a_PBO_1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15140850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40015" w14:textId="0EC91BC4" w:rsidR="00DE7A25" w:rsidRDefault="008424CC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4" w:name="DocumentList"/>
            <w:bookmarkStart w:id="15" w:name="_Toc204256427"/>
            <w:bookmarkEnd w:id="14"/>
            <w:r>
              <w:rPr>
                <w:rFonts w:ascii="Verdana" w:hAnsi="Verdana"/>
                <w:i w:val="0"/>
              </w:rPr>
              <w:t>Document List</w:t>
            </w:r>
            <w:bookmarkEnd w:id="15"/>
          </w:p>
        </w:tc>
      </w:tr>
    </w:tbl>
    <w:p w14:paraId="3066353D" w14:textId="77777777" w:rsidR="003E0D11" w:rsidRDefault="003E0D11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</w:p>
    <w:p w14:paraId="6D208930" w14:textId="08FC154A" w:rsidR="00DE7A25" w:rsidRPr="00DE7A25" w:rsidRDefault="00F75B8B" w:rsidP="00DE7A25">
      <w:pPr>
        <w:spacing w:after="0" w:line="240" w:lineRule="auto"/>
        <w:rPr>
          <w:rFonts w:ascii="Verdana" w:hAnsi="Verdana"/>
          <w:color w:val="000000"/>
          <w:sz w:val="24"/>
          <w:szCs w:val="24"/>
        </w:rPr>
      </w:pPr>
      <w:r w:rsidRPr="00F75B8B">
        <w:rPr>
          <w:rFonts w:ascii="Verdana" w:hAnsi="Verdana"/>
          <w:color w:val="000000"/>
          <w:sz w:val="24"/>
          <w:szCs w:val="24"/>
        </w:rPr>
        <w:t xml:space="preserve">All documents listed below can be viewed by clicking the hyperlinks </w:t>
      </w:r>
      <w:r w:rsidR="00FC1983">
        <w:rPr>
          <w:rFonts w:ascii="Verdana" w:hAnsi="Verdana"/>
          <w:color w:val="000000"/>
          <w:sz w:val="24"/>
          <w:szCs w:val="24"/>
        </w:rPr>
        <w:t>below the</w:t>
      </w:r>
      <w:r w:rsidRPr="00F75B8B">
        <w:rPr>
          <w:rFonts w:ascii="Verdana" w:hAnsi="Verdana"/>
          <w:color w:val="000000"/>
          <w:sz w:val="24"/>
          <w:szCs w:val="24"/>
        </w:rPr>
        <w:t xml:space="preserve"> titles</w:t>
      </w:r>
      <w:r w:rsidR="00610CBE">
        <w:rPr>
          <w:rFonts w:ascii="Verdana" w:hAnsi="Verdana"/>
          <w:color w:val="000000"/>
          <w:sz w:val="24"/>
          <w:szCs w:val="24"/>
        </w:rPr>
        <w:t xml:space="preserve">. </w:t>
      </w:r>
      <w:r w:rsidR="008424CC">
        <w:rPr>
          <w:rFonts w:ascii="Verdana" w:hAnsi="Verdana"/>
          <w:color w:val="000000"/>
          <w:sz w:val="24"/>
          <w:szCs w:val="24"/>
        </w:rPr>
        <w:t xml:space="preserve"> </w:t>
      </w:r>
    </w:p>
    <w:p w14:paraId="143BF0E0" w14:textId="77777777" w:rsidR="00DE7A25" w:rsidRPr="00DE7A25" w:rsidRDefault="00DE7A25" w:rsidP="00DE7A25">
      <w:pPr>
        <w:spacing w:after="0" w:line="240" w:lineRule="auto"/>
        <w:rPr>
          <w:rFonts w:ascii="Verdana" w:hAnsi="Verdana"/>
          <w:sz w:val="24"/>
          <w:szCs w:val="24"/>
        </w:rPr>
      </w:pPr>
    </w:p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578"/>
        <w:gridCol w:w="5765"/>
      </w:tblGrid>
      <w:tr w:rsidR="00601799" w:rsidRPr="00DE7A25" w14:paraId="6BCDE0F8" w14:textId="616A622B" w:rsidTr="00D65E5D">
        <w:trPr>
          <w:trHeight w:val="300"/>
        </w:trPr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42DCE" w14:textId="503FC565" w:rsidR="003B7554" w:rsidRPr="00DE7A25" w:rsidRDefault="003B7554" w:rsidP="00D65E5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Document Title</w:t>
            </w:r>
          </w:p>
        </w:tc>
        <w:tc>
          <w:tcPr>
            <w:tcW w:w="1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44FD70" w14:textId="23139908" w:rsidR="003B7554" w:rsidRPr="00DE7A25" w:rsidRDefault="003B7554" w:rsidP="00D65E5D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Description</w:t>
            </w:r>
          </w:p>
        </w:tc>
      </w:tr>
      <w:tr w:rsidR="00601799" w:rsidRPr="00DE7A25" w14:paraId="3CD6182E" w14:textId="76BB8827" w:rsidTr="00D65E5D">
        <w:trPr>
          <w:trHeight w:val="1216"/>
        </w:trPr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0604" w14:textId="5737EDA9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  <w:r w:rsidRPr="00D65E5D">
              <w:rPr>
                <w:rFonts w:ascii="Verdana" w:eastAsia="Aptos" w:hAnsi="Verdana" w:cs="Times New Roman"/>
                <w:b/>
                <w:bCs/>
                <w:sz w:val="24"/>
              </w:rPr>
              <w:t>Advanced Control Non-Specialty and Specialty Formulary Changes with Questions and Answers</w:t>
            </w:r>
          </w:p>
          <w:p w14:paraId="792E2DAB" w14:textId="39BCAE0D" w:rsidR="003B7554" w:rsidRPr="00D65E5D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  <w:hyperlink r:id="rId8" w:anchor="!/view?docid=18030a9d-2aa8-404a-8b68-007dbbcc33e1" w:history="1">
              <w:r w:rsidR="00D65E5D">
                <w:rPr>
                  <w:rStyle w:val="Hyperlink"/>
                  <w:rFonts w:ascii="Verdana" w:eastAsia="Aptos" w:hAnsi="Verdana" w:cs="Times New Roman"/>
                  <w:sz w:val="24"/>
                </w:rPr>
                <w:t>CMS-PRD1-116970</w:t>
              </w:r>
            </w:hyperlink>
          </w:p>
          <w:p w14:paraId="35F2BF86" w14:textId="77777777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2FF749C7" w14:textId="67E4E22C" w:rsidR="000946DC" w:rsidRPr="00DE7A25" w:rsidRDefault="000946DC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E3CA" w14:textId="77777777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864AEE">
              <w:rPr>
                <w:rFonts w:ascii="Verdana" w:hAnsi="Verdana"/>
                <w:sz w:val="24"/>
                <w:szCs w:val="24"/>
              </w:rPr>
              <w:t>Questions and answers for Advanced Control Non-Specialty and Specialty Formulary Changes.</w:t>
            </w:r>
          </w:p>
          <w:p w14:paraId="1363318A" w14:textId="52C25B0B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601799" w:rsidRPr="00DE7A25" w14:paraId="29806DBF" w14:textId="5F7027DD" w:rsidTr="00D65E5D">
        <w:trPr>
          <w:trHeight w:val="1475"/>
        </w:trPr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964D0" w14:textId="77777777" w:rsidR="003B7554" w:rsidRPr="00D65E5D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  <w:r w:rsidRPr="00D65E5D">
              <w:rPr>
                <w:rFonts w:ascii="Verdana" w:eastAsia="Aptos" w:hAnsi="Verdana" w:cs="Times New Roman"/>
                <w:b/>
                <w:bCs/>
                <w:sz w:val="24"/>
              </w:rPr>
              <w:t>Compass - Standard Formulary Changes</w:t>
            </w:r>
          </w:p>
          <w:p w14:paraId="2F483E23" w14:textId="7D0B8389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sz w:val="24"/>
              </w:rPr>
            </w:pPr>
            <w:hyperlink r:id="rId9" w:anchor="!/view?docid=eea2c64c-d61c-4cd5-a2ab-444fcde92964" w:history="1">
              <w:r w:rsidR="00D65E5D">
                <w:rPr>
                  <w:rStyle w:val="Hyperlink"/>
                  <w:rFonts w:ascii="Verdana" w:eastAsia="Aptos" w:hAnsi="Verdana" w:cs="Times New Roman"/>
                  <w:sz w:val="24"/>
                </w:rPr>
                <w:t>TSRC-PROD-065563</w:t>
              </w:r>
            </w:hyperlink>
          </w:p>
          <w:p w14:paraId="384AE9D7" w14:textId="77777777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14:paraId="08451241" w14:textId="42752FDF" w:rsidR="00540AB7" w:rsidRPr="00601799" w:rsidRDefault="00A71638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01799">
              <w:rPr>
                <w:rFonts w:ascii="Verdana" w:hAnsi="Verdana"/>
                <w:b/>
                <w:bCs/>
                <w:sz w:val="24"/>
                <w:szCs w:val="24"/>
              </w:rPr>
              <w:t xml:space="preserve">PeopleSafe - </w:t>
            </w:r>
            <w:r w:rsidR="00540AB7" w:rsidRPr="00601799">
              <w:rPr>
                <w:rFonts w:ascii="Verdana" w:hAnsi="Verdana"/>
                <w:b/>
                <w:bCs/>
                <w:sz w:val="24"/>
                <w:szCs w:val="24"/>
              </w:rPr>
              <w:t>Standard Formulary Changes</w:t>
            </w:r>
          </w:p>
          <w:p w14:paraId="1DE573D1" w14:textId="688DAEFD" w:rsidR="00540AB7" w:rsidRPr="00601799" w:rsidRDefault="00B62107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hyperlink r:id="rId10" w:anchor="!/view?docid=0afb51c4-054b-4d6e-b989-5aeefdb37145" w:history="1">
              <w:r w:rsidR="00D65E5D" w:rsidRPr="00601799">
                <w:rPr>
                  <w:rStyle w:val="Hyperlink"/>
                  <w:rFonts w:ascii="Verdana" w:hAnsi="Verdana"/>
                  <w:sz w:val="24"/>
                  <w:szCs w:val="24"/>
                </w:rPr>
                <w:t>CMS-PRD1-114719)</w:t>
              </w:r>
            </w:hyperlink>
          </w:p>
          <w:p w14:paraId="0C166317" w14:textId="77777777" w:rsidR="000946DC" w:rsidRPr="00540AB7" w:rsidRDefault="000946DC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  <w:p w14:paraId="1D0D7CFB" w14:textId="11CC1E75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39F9" w14:textId="77777777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950F8C">
              <w:rPr>
                <w:rFonts w:ascii="Verdana" w:hAnsi="Verdana"/>
                <w:sz w:val="24"/>
                <w:szCs w:val="24"/>
              </w:rPr>
              <w:t>Information regarding the Standard Formulary Options. They include Drug Removal Option (drug no longer covered), Prior Authorization Option (drug not covered unless a prior authorization is received) and Preferred Formulary Lists that are compiled by a panel of registered pharmacists and doctors working in coordination with PBM and the employer.</w:t>
            </w:r>
          </w:p>
          <w:p w14:paraId="6CB633FB" w14:textId="4E5D932A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601799" w:rsidRPr="00DE7A25" w14:paraId="29558122" w14:textId="24F51733" w:rsidTr="00D65E5D">
        <w:trPr>
          <w:trHeight w:val="980"/>
        </w:trPr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BA3" w14:textId="77777777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  <w:r w:rsidRPr="00D65E5D">
              <w:rPr>
                <w:rFonts w:ascii="Verdana" w:eastAsia="Aptos" w:hAnsi="Verdana" w:cs="Times New Roman"/>
                <w:b/>
                <w:bCs/>
                <w:sz w:val="24"/>
              </w:rPr>
              <w:t>Diabetic Test Strips Formulary Change</w:t>
            </w:r>
          </w:p>
          <w:p w14:paraId="52E42BF4" w14:textId="0E0418CE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sz w:val="24"/>
              </w:rPr>
            </w:pPr>
            <w:hyperlink r:id="rId11" w:anchor="!/view?docid=db096a28-c388-49f4-b535-76884ba26d91" w:history="1">
              <w:r w:rsidR="00D65E5D">
                <w:rPr>
                  <w:rStyle w:val="Hyperlink"/>
                  <w:rFonts w:ascii="Verdana" w:eastAsia="Aptos" w:hAnsi="Verdana" w:cs="Times New Roman"/>
                  <w:sz w:val="24"/>
                </w:rPr>
                <w:t>TSRC-PROD-015975</w:t>
              </w:r>
            </w:hyperlink>
          </w:p>
          <w:p w14:paraId="23BDBB04" w14:textId="77777777" w:rsidR="000946DC" w:rsidRPr="00D65E5D" w:rsidRDefault="000946DC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</w:p>
          <w:p w14:paraId="55D361A3" w14:textId="6B0AA702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  <w:tc>
          <w:tcPr>
            <w:tcW w:w="1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7D279" w14:textId="1CFDDE07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100A69">
              <w:rPr>
                <w:rFonts w:ascii="Verdana" w:hAnsi="Verdana"/>
                <w:color w:val="000000"/>
                <w:sz w:val="24"/>
                <w:szCs w:val="24"/>
              </w:rPr>
              <w:t>Provides information regarding the Diabetic supply formulary changes.</w:t>
            </w:r>
          </w:p>
        </w:tc>
      </w:tr>
      <w:tr w:rsidR="00F27F70" w:rsidRPr="00DE7A25" w14:paraId="6BD66C0A" w14:textId="77777777" w:rsidTr="00943629">
        <w:trPr>
          <w:trHeight w:val="25"/>
        </w:trPr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A513" w14:textId="77777777" w:rsidR="00F27F70" w:rsidRPr="009325A6" w:rsidRDefault="00F27F70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  <w:r w:rsidRPr="009325A6">
              <w:rPr>
                <w:rFonts w:ascii="Verdana" w:eastAsia="Aptos" w:hAnsi="Verdana" w:cs="Times New Roman"/>
                <w:b/>
                <w:bCs/>
                <w:sz w:val="24"/>
              </w:rPr>
              <w:t xml:space="preserve">Formulary and URL Address Locations </w:t>
            </w:r>
          </w:p>
          <w:p w14:paraId="7E856B7B" w14:textId="079F0F9F" w:rsidR="00F27F70" w:rsidRDefault="00F27F70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sz w:val="24"/>
              </w:rPr>
            </w:pPr>
            <w:hyperlink r:id="rId12" w:anchor="!/view?docid=b8695466-1ae2-4ef2-a88f-d7e5795efd1f" w:history="1">
              <w:r w:rsidR="00D65E5D">
                <w:rPr>
                  <w:rStyle w:val="Hyperlink"/>
                  <w:rFonts w:ascii="Verdana" w:eastAsia="Aptos" w:hAnsi="Verdana" w:cs="Times New Roman"/>
                  <w:sz w:val="24"/>
                </w:rPr>
                <w:t>TSRC-PROD-051617</w:t>
              </w:r>
            </w:hyperlink>
          </w:p>
          <w:p w14:paraId="6EE22334" w14:textId="77777777" w:rsidR="000946DC" w:rsidRDefault="000946DC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sz w:val="24"/>
              </w:rPr>
            </w:pPr>
          </w:p>
          <w:p w14:paraId="11D20D7E" w14:textId="1FA0AEAF" w:rsidR="00F27F70" w:rsidRPr="00F27F70" w:rsidRDefault="00F27F70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</w:p>
        </w:tc>
        <w:tc>
          <w:tcPr>
            <w:tcW w:w="1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5930" w14:textId="2BFC98CD" w:rsidR="00F27F70" w:rsidRPr="00100A69" w:rsidRDefault="00F27F70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383A94">
              <w:rPr>
                <w:rFonts w:ascii="Verdana" w:hAnsi="Verdana"/>
                <w:sz w:val="24"/>
                <w:szCs w:val="24"/>
              </w:rPr>
              <w:t>Information regarding the Formulary medications and the URL addresses where they can be found.</w:t>
            </w:r>
          </w:p>
        </w:tc>
      </w:tr>
      <w:tr w:rsidR="00601799" w:rsidRPr="00DE7A25" w14:paraId="72ED87F7" w14:textId="1AA248B9" w:rsidTr="00D65E5D">
        <w:trPr>
          <w:trHeight w:val="204"/>
        </w:trPr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700F" w14:textId="77777777" w:rsidR="003B7554" w:rsidRPr="00D65E5D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  <w:r w:rsidRPr="00D65E5D">
              <w:rPr>
                <w:rFonts w:ascii="Verdana" w:eastAsia="Aptos" w:hAnsi="Verdana" w:cs="Times New Roman"/>
                <w:b/>
                <w:bCs/>
                <w:sz w:val="24"/>
              </w:rPr>
              <w:t>Formulary Change in Diabetic Supply Coverage Starting July 1, 2025</w:t>
            </w:r>
          </w:p>
          <w:p w14:paraId="6C2F7021" w14:textId="34BD17BB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hyperlink r:id="rId13" w:anchor="!/view?docid=b6d9f3e2-1f09-48d9-82d9-f14b4fb9f55a" w:history="1">
              <w:r w:rsidR="00D65E5D">
                <w:rPr>
                  <w:rStyle w:val="Hyperlink"/>
                  <w:rFonts w:ascii="Verdana" w:eastAsia="Aptos" w:hAnsi="Verdana" w:cs="Times New Roman"/>
                  <w:sz w:val="24"/>
                </w:rPr>
                <w:t>TSRC-PROD-074825</w:t>
              </w:r>
            </w:hyperlink>
          </w:p>
        </w:tc>
        <w:tc>
          <w:tcPr>
            <w:tcW w:w="1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DD54" w14:textId="77777777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  <w:r w:rsidRPr="00BF6741">
              <w:rPr>
                <w:rFonts w:ascii="Verdana" w:hAnsi="Verdana"/>
                <w:color w:val="000000"/>
                <w:sz w:val="24"/>
                <w:szCs w:val="24"/>
              </w:rPr>
              <w:t>As of July 1, 2025, CVS Caremark will no longer cover One Touch test strips, lancets, diabetic testing meters, or any other One Touch diabetic supplies on select formularies (Caremark Standard/Choice formularies) but the change will not affect custom formularies. Instead, CVS Caremark will cover the Accu-Chek brand. This job aid provides essential information for customer care agents to assist members effectively during this transition.</w:t>
            </w:r>
          </w:p>
          <w:p w14:paraId="5ECC8FBC" w14:textId="2ABC6334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color w:val="000000"/>
                <w:sz w:val="24"/>
                <w:szCs w:val="24"/>
              </w:rPr>
            </w:pPr>
          </w:p>
        </w:tc>
      </w:tr>
      <w:tr w:rsidR="00601799" w:rsidRPr="00DE7A25" w14:paraId="1B362226" w14:textId="77777777" w:rsidTr="00D65E5D">
        <w:trPr>
          <w:trHeight w:val="1520"/>
        </w:trPr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E2A3A" w14:textId="77777777" w:rsidR="003B7554" w:rsidRPr="00D65E5D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  <w:r w:rsidRPr="00D65E5D">
              <w:rPr>
                <w:rFonts w:ascii="Verdana" w:eastAsia="Aptos" w:hAnsi="Verdana" w:cs="Times New Roman"/>
                <w:b/>
                <w:bCs/>
                <w:sz w:val="24"/>
              </w:rPr>
              <w:t>Formulary Changes Starting July 1st, 2025, for GLP-1 Weight Loss Medications</w:t>
            </w:r>
          </w:p>
          <w:p w14:paraId="46B5C6CC" w14:textId="7DFE80BB" w:rsidR="003B7554" w:rsidRPr="003B2509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sz w:val="24"/>
              </w:rPr>
            </w:pPr>
            <w:hyperlink r:id="rId14" w:anchor="!/view?docid=c746a1ed-5394-4841-8191-86f9724b2372" w:history="1">
              <w:r w:rsidR="00D65E5D">
                <w:rPr>
                  <w:rStyle w:val="Hyperlink"/>
                  <w:rFonts w:ascii="Verdana" w:eastAsia="Aptos" w:hAnsi="Verdana" w:cs="Times New Roman"/>
                  <w:sz w:val="24"/>
                </w:rPr>
                <w:t>TSRC-PROD-074827</w:t>
              </w:r>
            </w:hyperlink>
          </w:p>
        </w:tc>
        <w:tc>
          <w:tcPr>
            <w:tcW w:w="1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6D90" w14:textId="77777777" w:rsidR="003B7554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0F687C">
              <w:rPr>
                <w:rFonts w:ascii="Verdana" w:hAnsi="Verdana"/>
                <w:sz w:val="24"/>
                <w:szCs w:val="24"/>
              </w:rPr>
              <w:t>Information regarding the upcoming formulary change for GLP-1 preferred status, specifically the transition from Zepbound to Wegovy. It is important to note that these changes will only impact select formularies (Caremark Standard/Choice formularies) and will not affect custom formularies. Agents should review this information during calls regarding the formulary change to assist members effectively.</w:t>
            </w:r>
          </w:p>
          <w:p w14:paraId="5D46D661" w14:textId="07CA65EA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  <w:tr w:rsidR="00601799" w:rsidRPr="00DE7A25" w14:paraId="024A0BC5" w14:textId="77777777" w:rsidTr="00D65E5D">
        <w:trPr>
          <w:trHeight w:val="1817"/>
        </w:trPr>
        <w:tc>
          <w:tcPr>
            <w:tcW w:w="9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E361" w14:textId="77777777" w:rsidR="003B7554" w:rsidRPr="00D65E5D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b/>
                <w:bCs/>
                <w:sz w:val="24"/>
              </w:rPr>
            </w:pPr>
            <w:r w:rsidRPr="00D65E5D">
              <w:rPr>
                <w:rFonts w:ascii="Verdana" w:eastAsia="Aptos" w:hAnsi="Verdana" w:cs="Times New Roman"/>
                <w:b/>
                <w:bCs/>
                <w:sz w:val="24"/>
              </w:rPr>
              <w:t>Value Formulary Change - Medication Limits Before the Member is Responsible for the Full Cost</w:t>
            </w:r>
          </w:p>
          <w:p w14:paraId="0764544F" w14:textId="0B505E02" w:rsidR="003B7554" w:rsidRPr="003B2509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eastAsia="Aptos" w:hAnsi="Verdana" w:cs="Times New Roman"/>
                <w:sz w:val="24"/>
              </w:rPr>
            </w:pPr>
            <w:hyperlink r:id="rId15" w:anchor="!/view?docid=da529f49-4f66-4753-a92b-338639feb1ba" w:history="1">
              <w:r w:rsidR="00D65E5D">
                <w:rPr>
                  <w:rStyle w:val="Hyperlink"/>
                  <w:rFonts w:ascii="Verdana" w:eastAsia="Aptos" w:hAnsi="Verdana" w:cs="Times New Roman"/>
                  <w:sz w:val="24"/>
                </w:rPr>
                <w:t>TSRC-PROD-048777</w:t>
              </w:r>
            </w:hyperlink>
          </w:p>
        </w:tc>
        <w:tc>
          <w:tcPr>
            <w:tcW w:w="17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3A32" w14:textId="4899917E" w:rsidR="003B7554" w:rsidRPr="00DE7A25" w:rsidRDefault="003B7554" w:rsidP="00601799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C273AC">
              <w:rPr>
                <w:rFonts w:ascii="Verdana" w:hAnsi="Verdana"/>
                <w:sz w:val="24"/>
                <w:szCs w:val="24"/>
              </w:rPr>
              <w:t>Outlines the changes in the Value Formulary for clients receiving certain types of medications.  The Value Formulary for some medications is changing for some of our clients that places a limit on the amount of medication that can be dispensed and for what time period before the member becomes responsible for the full cost.  Each affected member will receive a letter with the effective date and changes.</w:t>
            </w:r>
          </w:p>
        </w:tc>
      </w:tr>
    </w:tbl>
    <w:p w14:paraId="3D4D17BE" w14:textId="77777777" w:rsidR="00A310E6" w:rsidRDefault="00A310E6">
      <w:pPr>
        <w:spacing w:after="0" w:line="240" w:lineRule="auto"/>
        <w:rPr>
          <w:rFonts w:ascii="Verdana" w:hAnsi="Verdana"/>
        </w:rPr>
      </w:pPr>
      <w:bookmarkStart w:id="16" w:name="_Hlk71552223"/>
      <w:bookmarkStart w:id="17" w:name="FAQs"/>
      <w:bookmarkStart w:id="18" w:name="_Frequently_Asked_Questions"/>
      <w:bookmarkEnd w:id="17"/>
      <w:bookmarkEnd w:id="18"/>
    </w:p>
    <w:p w14:paraId="13D8C198" w14:textId="49C96643" w:rsidR="00254294" w:rsidRDefault="00254294" w:rsidP="00254294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7171FD46" w14:textId="391DB467" w:rsidR="00A310E6" w:rsidRDefault="00FC1983" w:rsidP="00254294">
      <w:pPr>
        <w:spacing w:after="0" w:line="240" w:lineRule="auto"/>
        <w:jc w:val="right"/>
        <w:rPr>
          <w:rFonts w:ascii="Verdana" w:hAnsi="Verdana"/>
        </w:rPr>
      </w:pPr>
      <w:hyperlink w:anchor="_top" w:history="1">
        <w:r w:rsidRPr="00FC198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50"/>
      </w:tblGrid>
      <w:tr w:rsidR="00DE7A25" w14:paraId="32083267" w14:textId="77777777" w:rsidTr="00D65E5D">
        <w:trPr>
          <w:trHeight w:val="28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9" w:name="RelatedDocuments"/>
            <w:bookmarkStart w:id="20" w:name="_Related_Documents"/>
            <w:bookmarkStart w:id="21" w:name="_Toc525628632"/>
            <w:bookmarkStart w:id="22" w:name="_Toc109818683"/>
            <w:bookmarkStart w:id="23" w:name="_Toc204256428"/>
            <w:bookmarkEnd w:id="19"/>
            <w:bookmarkEnd w:id="20"/>
            <w:r>
              <w:rPr>
                <w:rFonts w:ascii="Verdana" w:hAnsi="Verdana"/>
                <w:i w:val="0"/>
              </w:rPr>
              <w:t>Related Document</w:t>
            </w:r>
            <w:bookmarkEnd w:id="21"/>
            <w:r>
              <w:rPr>
                <w:rFonts w:ascii="Verdana" w:hAnsi="Verdana"/>
                <w:i w:val="0"/>
              </w:rPr>
              <w:t>s</w:t>
            </w:r>
            <w:bookmarkEnd w:id="22"/>
            <w:bookmarkEnd w:id="23"/>
          </w:p>
        </w:tc>
      </w:tr>
    </w:tbl>
    <w:p w14:paraId="7F827414" w14:textId="77777777" w:rsidR="00DE7A25" w:rsidRDefault="00DE7A25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p w14:paraId="4113EBF6" w14:textId="7AE6D68B" w:rsidR="001E08E6" w:rsidRDefault="00C5277E" w:rsidP="0007331E">
      <w:pPr>
        <w:rPr>
          <w:rFonts w:ascii="Verdana" w:eastAsia="Aptos" w:hAnsi="Verdana" w:cs="Times New Roman"/>
          <w:sz w:val="24"/>
        </w:rPr>
      </w:pPr>
      <w:hyperlink r:id="rId16" w:anchor="!/view?docid=c1f1028b-e42c-4b4f-a4cf-cc0b42c91606" w:history="1">
        <w:r w:rsidRPr="00C5277E">
          <w:rPr>
            <w:rStyle w:val="Hyperlink"/>
            <w:rFonts w:ascii="Verdana" w:eastAsia="Aptos" w:hAnsi="Verdana" w:cs="Times New Roman"/>
            <w:sz w:val="24"/>
          </w:rPr>
          <w:t>Customer Care Abbreviations, Definitions, and Terms Index</w:t>
        </w:r>
        <w:r w:rsidR="001E08E6" w:rsidRPr="00C5277E">
          <w:rPr>
            <w:rStyle w:val="Hyperlink"/>
            <w:rFonts w:ascii="Verdana" w:eastAsia="Aptos" w:hAnsi="Verdana" w:cs="Times New Roman"/>
            <w:sz w:val="24"/>
          </w:rPr>
          <w:t xml:space="preserve"> (017428)</w:t>
        </w:r>
      </w:hyperlink>
    </w:p>
    <w:p w14:paraId="369A7C28" w14:textId="1688895A" w:rsidR="005054D0" w:rsidRDefault="005054D0" w:rsidP="0007331E">
      <w:pPr>
        <w:rPr>
          <w:rFonts w:ascii="Verdana" w:eastAsia="Aptos" w:hAnsi="Verdana" w:cs="Times New Roman"/>
          <w:sz w:val="24"/>
        </w:rPr>
      </w:pPr>
      <w:hyperlink r:id="rId17" w:anchor="!/view?docid=f7e2615b-bebe-40a6-a0e2-6c74609ff4c0" w:history="1">
        <w:r w:rsidRPr="00A00747">
          <w:rPr>
            <w:rStyle w:val="Hyperlink"/>
            <w:rFonts w:ascii="Verdana" w:eastAsia="Aptos" w:hAnsi="Verdana" w:cs="Times New Roman"/>
            <w:sz w:val="24"/>
          </w:rPr>
          <w:t>Compass - CVS Caremark Formulary Drug List Index (065725)</w:t>
        </w:r>
      </w:hyperlink>
    </w:p>
    <w:p w14:paraId="0815BC77" w14:textId="68FC76EE" w:rsidR="0007331E" w:rsidRDefault="00A00747" w:rsidP="0007331E">
      <w:pPr>
        <w:rPr>
          <w:rFonts w:ascii="Verdana" w:eastAsia="Aptos" w:hAnsi="Verdana" w:cs="Times New Roman"/>
          <w:sz w:val="24"/>
        </w:rPr>
      </w:pPr>
      <w:hyperlink r:id="rId18" w:anchor="!/view?docid=c559e3ac-63d0-46b5-a6e4-7b4f205c60c6" w:history="1">
        <w:r w:rsidR="00C5277E" w:rsidRPr="00A00747">
          <w:rPr>
            <w:rStyle w:val="Hyperlink"/>
            <w:rFonts w:ascii="Verdana" w:eastAsia="Aptos" w:hAnsi="Verdana" w:cs="Times New Roman"/>
            <w:sz w:val="24"/>
          </w:rPr>
          <w:t>Compass - Determining the Reason for Contracted Medication Price Changes</w:t>
        </w:r>
        <w:r w:rsidR="0007331E" w:rsidRPr="00A00747">
          <w:rPr>
            <w:rStyle w:val="Hyperlink"/>
            <w:rFonts w:ascii="Verdana" w:eastAsia="Aptos" w:hAnsi="Verdana" w:cs="Times New Roman"/>
            <w:sz w:val="24"/>
          </w:rPr>
          <w:t xml:space="preserve"> (067612)</w:t>
        </w:r>
      </w:hyperlink>
    </w:p>
    <w:p w14:paraId="20D619F0" w14:textId="2A1216F3" w:rsidR="00561DAA" w:rsidRDefault="00F07E18" w:rsidP="0007331E">
      <w:pPr>
        <w:rPr>
          <w:rFonts w:ascii="Verdana" w:eastAsia="Aptos" w:hAnsi="Verdana" w:cs="Times New Roman"/>
          <w:sz w:val="24"/>
        </w:rPr>
      </w:pPr>
      <w:hyperlink r:id="rId19" w:anchor="!/view?docid=929bcc87-3cc7-4084-9fcc-95ae8325fcc5" w:history="1">
        <w:r w:rsidR="00561DAA" w:rsidRPr="00F07E18">
          <w:rPr>
            <w:rStyle w:val="Hyperlink"/>
            <w:rFonts w:ascii="Verdana" w:eastAsia="Aptos" w:hAnsi="Verdana" w:cs="Times New Roman"/>
            <w:sz w:val="24"/>
          </w:rPr>
          <w:t>PeopleSafe - Determining the Reason for Contracted Medication Price Changes (064427)</w:t>
        </w:r>
      </w:hyperlink>
    </w:p>
    <w:p w14:paraId="31D81068" w14:textId="4D77130B" w:rsidR="008F42C8" w:rsidRDefault="008F42C8" w:rsidP="0007331E">
      <w:pPr>
        <w:rPr>
          <w:rFonts w:ascii="Verdana" w:eastAsia="Aptos" w:hAnsi="Verdana" w:cs="Times New Roman"/>
          <w:sz w:val="24"/>
        </w:rPr>
      </w:pPr>
      <w:hyperlink r:id="rId20" w:anchor="!/view?docid=aae1f2ff-c9bb-450e-bd66-0e95e9a365bb" w:history="1">
        <w:r w:rsidRPr="008F42C8">
          <w:rPr>
            <w:rStyle w:val="Hyperlink"/>
            <w:rFonts w:ascii="Verdana" w:eastAsia="Aptos" w:hAnsi="Verdana" w:cs="Times New Roman"/>
            <w:sz w:val="24"/>
          </w:rPr>
          <w:t>Compass - Drug Cost Quick Reference Guide (064340)</w:t>
        </w:r>
      </w:hyperlink>
    </w:p>
    <w:p w14:paraId="77C2E7EC" w14:textId="0BB62936" w:rsidR="008C1AE7" w:rsidRDefault="00F3208A" w:rsidP="0007331E">
      <w:pPr>
        <w:rPr>
          <w:rFonts w:ascii="Verdana" w:eastAsia="Aptos" w:hAnsi="Verdana" w:cs="Times New Roman"/>
          <w:sz w:val="24"/>
        </w:rPr>
      </w:pPr>
      <w:hyperlink r:id="rId21" w:anchor="!/view?docid=4ed2f1d5-650e-4757-8fa0-9ae6afc12268" w:history="1">
        <w:r w:rsidR="008C1AE7" w:rsidRPr="00F3208A">
          <w:rPr>
            <w:rStyle w:val="Hyperlink"/>
            <w:rFonts w:ascii="Verdana" w:eastAsia="Aptos" w:hAnsi="Verdana" w:cs="Times New Roman"/>
            <w:sz w:val="24"/>
          </w:rPr>
          <w:t>PeopleSafe - Drug Cost Quick Reference Guide (005115)</w:t>
        </w:r>
      </w:hyperlink>
    </w:p>
    <w:p w14:paraId="58E7693B" w14:textId="29656C3B" w:rsidR="00F6023D" w:rsidRDefault="002633C8" w:rsidP="0036701F">
      <w:pPr>
        <w:rPr>
          <w:rFonts w:ascii="Verdana" w:eastAsia="Aptos" w:hAnsi="Verdana" w:cs="Times New Roman"/>
          <w:sz w:val="24"/>
        </w:rPr>
      </w:pPr>
      <w:hyperlink r:id="rId22" w:anchor="!/view?docid=657ddfe3-27d1-4a21-8f51-8cbd3961001c" w:history="1">
        <w:r w:rsidR="00F6023D" w:rsidRPr="002633C8">
          <w:rPr>
            <w:rStyle w:val="Hyperlink"/>
            <w:rFonts w:ascii="Verdana" w:eastAsia="Aptos" w:hAnsi="Verdana" w:cs="Times New Roman"/>
            <w:sz w:val="24"/>
          </w:rPr>
          <w:t>Compass - Prior Authorization, Exceptions, Appeals Guide (063978)</w:t>
        </w:r>
      </w:hyperlink>
    </w:p>
    <w:p w14:paraId="7CF8769D" w14:textId="7069B8DF" w:rsidR="00185858" w:rsidRPr="0036701F" w:rsidRDefault="00F055DC" w:rsidP="0036701F">
      <w:pPr>
        <w:rPr>
          <w:rFonts w:ascii="Verdana" w:eastAsia="Aptos" w:hAnsi="Verdana" w:cs="Times New Roman"/>
          <w:sz w:val="24"/>
        </w:rPr>
      </w:pPr>
      <w:hyperlink r:id="rId23" w:anchor="!/view?docid=fb502149-98f6-43eb-935c-8d467702a50c" w:history="1">
        <w:r w:rsidR="00185858" w:rsidRPr="00F055DC">
          <w:rPr>
            <w:rStyle w:val="Hyperlink"/>
            <w:rFonts w:ascii="Verdana" w:eastAsia="Aptos" w:hAnsi="Verdana" w:cs="Times New Roman"/>
            <w:sz w:val="24"/>
          </w:rPr>
          <w:t>Prior Authorization and Clinical Exceptions Scenarios (063995)</w:t>
        </w:r>
      </w:hyperlink>
    </w:p>
    <w:p w14:paraId="218F5AA1" w14:textId="77777777" w:rsidR="00661CAF" w:rsidRDefault="00661CAF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p w14:paraId="56CE9872" w14:textId="77777777" w:rsidR="00661CAF" w:rsidRPr="00DE7A25" w:rsidRDefault="00661CAF" w:rsidP="00DE7A25">
      <w:pPr>
        <w:spacing w:after="0" w:line="240" w:lineRule="auto"/>
        <w:rPr>
          <w:rFonts w:ascii="Verdana" w:eastAsia="Times New Roman" w:hAnsi="Verdana"/>
          <w:b/>
          <w:sz w:val="24"/>
          <w:szCs w:val="24"/>
        </w:rPr>
      </w:pPr>
    </w:p>
    <w:bookmarkEnd w:id="16"/>
    <w:p w14:paraId="6E52515A" w14:textId="28F6D213" w:rsidR="00DE7A25" w:rsidRDefault="00FC1983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begin"/>
      </w:r>
      <w:r>
        <w:rPr>
          <w:rFonts w:ascii="Verdana" w:hAnsi="Verdana"/>
          <w:sz w:val="24"/>
          <w:szCs w:val="24"/>
        </w:rPr>
        <w:instrText>HYPERLINK  \l "_top"</w:instrText>
      </w:r>
      <w:r>
        <w:rPr>
          <w:rFonts w:ascii="Verdana" w:hAnsi="Verdana"/>
          <w:sz w:val="24"/>
          <w:szCs w:val="24"/>
        </w:rPr>
      </w:r>
      <w:r>
        <w:rPr>
          <w:rFonts w:ascii="Verdana" w:hAnsi="Verdana"/>
          <w:sz w:val="24"/>
          <w:szCs w:val="24"/>
        </w:rPr>
        <w:fldChar w:fldCharType="separate"/>
      </w:r>
      <w:r w:rsidRPr="00FC1983">
        <w:rPr>
          <w:rStyle w:val="Hyperlink"/>
          <w:rFonts w:ascii="Verdana" w:hAnsi="Verdana"/>
          <w:sz w:val="24"/>
          <w:szCs w:val="24"/>
        </w:rPr>
        <w:t>Top of the Document</w:t>
      </w:r>
      <w:r>
        <w:rPr>
          <w:rFonts w:ascii="Verdana" w:hAnsi="Verdana"/>
          <w:sz w:val="24"/>
          <w:szCs w:val="24"/>
        </w:rPr>
        <w:fldChar w:fldCharType="end"/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2DC7E" w14:textId="77777777" w:rsidR="00E42F74" w:rsidRDefault="00E42F74" w:rsidP="00DE7A25">
      <w:pPr>
        <w:spacing w:after="0" w:line="240" w:lineRule="auto"/>
      </w:pPr>
      <w:r>
        <w:separator/>
      </w:r>
    </w:p>
  </w:endnote>
  <w:endnote w:type="continuationSeparator" w:id="0">
    <w:p w14:paraId="772C1CB9" w14:textId="77777777" w:rsidR="00E42F74" w:rsidRDefault="00E42F74" w:rsidP="00DE7A25">
      <w:pPr>
        <w:spacing w:after="0" w:line="240" w:lineRule="auto"/>
      </w:pPr>
      <w:r>
        <w:continuationSeparator/>
      </w:r>
    </w:p>
  </w:endnote>
  <w:endnote w:type="continuationNotice" w:id="1">
    <w:p w14:paraId="091C30CC" w14:textId="77777777" w:rsidR="00E42F74" w:rsidRDefault="00E42F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3B5E2" w14:textId="77777777" w:rsidR="00E42F74" w:rsidRDefault="00E42F74" w:rsidP="00DE7A25">
      <w:pPr>
        <w:spacing w:after="0" w:line="240" w:lineRule="auto"/>
      </w:pPr>
      <w:r>
        <w:separator/>
      </w:r>
    </w:p>
  </w:footnote>
  <w:footnote w:type="continuationSeparator" w:id="0">
    <w:p w14:paraId="06B207BE" w14:textId="77777777" w:rsidR="00E42F74" w:rsidRDefault="00E42F74" w:rsidP="00DE7A25">
      <w:pPr>
        <w:spacing w:after="0" w:line="240" w:lineRule="auto"/>
      </w:pPr>
      <w:r>
        <w:continuationSeparator/>
      </w:r>
    </w:p>
  </w:footnote>
  <w:footnote w:type="continuationNotice" w:id="1">
    <w:p w14:paraId="01F69F80" w14:textId="77777777" w:rsidR="00E42F74" w:rsidRDefault="00E42F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.75pt;height:16.5pt;visibility:visible" o:bullet="t">
        <v:imagedata r:id="rId1" o:title=""/>
      </v:shape>
    </w:pict>
  </w:numPicBullet>
  <w:numPicBullet w:numPicBulletId="1">
    <w:pict>
      <v:shape id="_x0000_i1055" type="#_x0000_t75" style="width:18.75pt;height:16.5pt;visibility:visible" o:bullet="t">
        <v:imagedata r:id="rId2" o:title=""/>
      </v:shape>
    </w:pict>
  </w:numPicBullet>
  <w:abstractNum w:abstractNumId="0" w15:restartNumberingAfterBreak="0">
    <w:nsid w:val="386D7B8B"/>
    <w:multiLevelType w:val="multilevel"/>
    <w:tmpl w:val="BCA2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D54BBD"/>
    <w:multiLevelType w:val="multilevel"/>
    <w:tmpl w:val="A60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6162F3"/>
    <w:multiLevelType w:val="multilevel"/>
    <w:tmpl w:val="8C02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07E81"/>
    <w:multiLevelType w:val="multilevel"/>
    <w:tmpl w:val="C9C2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54302">
    <w:abstractNumId w:val="2"/>
  </w:num>
  <w:num w:numId="2" w16cid:durableId="247931118">
    <w:abstractNumId w:val="1"/>
  </w:num>
  <w:num w:numId="3" w16cid:durableId="1270359341">
    <w:abstractNumId w:val="0"/>
  </w:num>
  <w:num w:numId="4" w16cid:durableId="1266036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10511"/>
    <w:rsid w:val="00031105"/>
    <w:rsid w:val="00033218"/>
    <w:rsid w:val="00042A3A"/>
    <w:rsid w:val="0007331E"/>
    <w:rsid w:val="00074379"/>
    <w:rsid w:val="000927CE"/>
    <w:rsid w:val="000929AD"/>
    <w:rsid w:val="000941CE"/>
    <w:rsid w:val="000946DC"/>
    <w:rsid w:val="000C19EF"/>
    <w:rsid w:val="000C71C0"/>
    <w:rsid w:val="000D76EE"/>
    <w:rsid w:val="000E33FB"/>
    <w:rsid w:val="000F123D"/>
    <w:rsid w:val="000F30CB"/>
    <w:rsid w:val="000F687C"/>
    <w:rsid w:val="000F6A9D"/>
    <w:rsid w:val="00100A69"/>
    <w:rsid w:val="00130490"/>
    <w:rsid w:val="001359F8"/>
    <w:rsid w:val="00152DF7"/>
    <w:rsid w:val="00185858"/>
    <w:rsid w:val="001960E8"/>
    <w:rsid w:val="001B1ECA"/>
    <w:rsid w:val="001B4259"/>
    <w:rsid w:val="001B5120"/>
    <w:rsid w:val="001C01F6"/>
    <w:rsid w:val="001C1CFF"/>
    <w:rsid w:val="001D0A06"/>
    <w:rsid w:val="001E08E6"/>
    <w:rsid w:val="00203758"/>
    <w:rsid w:val="002238AA"/>
    <w:rsid w:val="002304E7"/>
    <w:rsid w:val="0025014E"/>
    <w:rsid w:val="00254294"/>
    <w:rsid w:val="002633C8"/>
    <w:rsid w:val="00265455"/>
    <w:rsid w:val="00277B5A"/>
    <w:rsid w:val="00284410"/>
    <w:rsid w:val="00291FC8"/>
    <w:rsid w:val="002C781F"/>
    <w:rsid w:val="002D505F"/>
    <w:rsid w:val="002E14ED"/>
    <w:rsid w:val="002E5CBC"/>
    <w:rsid w:val="002F1432"/>
    <w:rsid w:val="002F5C8D"/>
    <w:rsid w:val="002F7E36"/>
    <w:rsid w:val="003147E6"/>
    <w:rsid w:val="003207B3"/>
    <w:rsid w:val="00324A71"/>
    <w:rsid w:val="00335E5A"/>
    <w:rsid w:val="00346346"/>
    <w:rsid w:val="00357076"/>
    <w:rsid w:val="003627BC"/>
    <w:rsid w:val="0036701F"/>
    <w:rsid w:val="00383A94"/>
    <w:rsid w:val="00393A3D"/>
    <w:rsid w:val="003A2437"/>
    <w:rsid w:val="003B05DB"/>
    <w:rsid w:val="003B2509"/>
    <w:rsid w:val="003B7554"/>
    <w:rsid w:val="003C232E"/>
    <w:rsid w:val="003D466B"/>
    <w:rsid w:val="003E0D11"/>
    <w:rsid w:val="003E3709"/>
    <w:rsid w:val="003F3F21"/>
    <w:rsid w:val="0041394E"/>
    <w:rsid w:val="004367A3"/>
    <w:rsid w:val="004448C0"/>
    <w:rsid w:val="00455005"/>
    <w:rsid w:val="00466250"/>
    <w:rsid w:val="00472BDD"/>
    <w:rsid w:val="00484CFE"/>
    <w:rsid w:val="004B390F"/>
    <w:rsid w:val="004C50A0"/>
    <w:rsid w:val="004C638B"/>
    <w:rsid w:val="004D79E1"/>
    <w:rsid w:val="004E36B8"/>
    <w:rsid w:val="004F5AEF"/>
    <w:rsid w:val="004F7381"/>
    <w:rsid w:val="005012A1"/>
    <w:rsid w:val="005054D0"/>
    <w:rsid w:val="0052204C"/>
    <w:rsid w:val="0052245C"/>
    <w:rsid w:val="00534E97"/>
    <w:rsid w:val="00535581"/>
    <w:rsid w:val="00540AB7"/>
    <w:rsid w:val="00546C75"/>
    <w:rsid w:val="00561DAA"/>
    <w:rsid w:val="00562747"/>
    <w:rsid w:val="00576968"/>
    <w:rsid w:val="00595FC7"/>
    <w:rsid w:val="005C37CD"/>
    <w:rsid w:val="005D670C"/>
    <w:rsid w:val="005F1083"/>
    <w:rsid w:val="00601799"/>
    <w:rsid w:val="00610CBE"/>
    <w:rsid w:val="00611CD4"/>
    <w:rsid w:val="006352CA"/>
    <w:rsid w:val="00640BB4"/>
    <w:rsid w:val="00650DC9"/>
    <w:rsid w:val="00660BEC"/>
    <w:rsid w:val="00661CAF"/>
    <w:rsid w:val="0066435D"/>
    <w:rsid w:val="0067168B"/>
    <w:rsid w:val="00683FC0"/>
    <w:rsid w:val="006840F6"/>
    <w:rsid w:val="00684DCF"/>
    <w:rsid w:val="006A0737"/>
    <w:rsid w:val="006A60B7"/>
    <w:rsid w:val="006C5804"/>
    <w:rsid w:val="006D2FD4"/>
    <w:rsid w:val="007331ED"/>
    <w:rsid w:val="007410DF"/>
    <w:rsid w:val="0074668F"/>
    <w:rsid w:val="00747729"/>
    <w:rsid w:val="00763DFF"/>
    <w:rsid w:val="0078388A"/>
    <w:rsid w:val="007954A1"/>
    <w:rsid w:val="007A0432"/>
    <w:rsid w:val="007A6AC9"/>
    <w:rsid w:val="007B0C1E"/>
    <w:rsid w:val="007B0E05"/>
    <w:rsid w:val="007D186A"/>
    <w:rsid w:val="007D2058"/>
    <w:rsid w:val="007E2988"/>
    <w:rsid w:val="007E52D8"/>
    <w:rsid w:val="008125B4"/>
    <w:rsid w:val="008134E5"/>
    <w:rsid w:val="00823168"/>
    <w:rsid w:val="008424CC"/>
    <w:rsid w:val="00844762"/>
    <w:rsid w:val="008636C2"/>
    <w:rsid w:val="00864AEE"/>
    <w:rsid w:val="0086683D"/>
    <w:rsid w:val="008C1AE7"/>
    <w:rsid w:val="008C1BD0"/>
    <w:rsid w:val="008C7859"/>
    <w:rsid w:val="008D4E6E"/>
    <w:rsid w:val="008D6112"/>
    <w:rsid w:val="008F42C8"/>
    <w:rsid w:val="00916935"/>
    <w:rsid w:val="00924D4D"/>
    <w:rsid w:val="009325A6"/>
    <w:rsid w:val="00941854"/>
    <w:rsid w:val="00943629"/>
    <w:rsid w:val="00950F8C"/>
    <w:rsid w:val="00954117"/>
    <w:rsid w:val="009566B3"/>
    <w:rsid w:val="009646A5"/>
    <w:rsid w:val="00970D1A"/>
    <w:rsid w:val="00981E74"/>
    <w:rsid w:val="009C073A"/>
    <w:rsid w:val="00A00747"/>
    <w:rsid w:val="00A04CC6"/>
    <w:rsid w:val="00A12F52"/>
    <w:rsid w:val="00A222BF"/>
    <w:rsid w:val="00A26A0B"/>
    <w:rsid w:val="00A310E6"/>
    <w:rsid w:val="00A32096"/>
    <w:rsid w:val="00A409D3"/>
    <w:rsid w:val="00A56D10"/>
    <w:rsid w:val="00A65ABD"/>
    <w:rsid w:val="00A71638"/>
    <w:rsid w:val="00A74F66"/>
    <w:rsid w:val="00A95F8B"/>
    <w:rsid w:val="00AA3ACF"/>
    <w:rsid w:val="00AB4D19"/>
    <w:rsid w:val="00AC1309"/>
    <w:rsid w:val="00AE5293"/>
    <w:rsid w:val="00B03249"/>
    <w:rsid w:val="00B04794"/>
    <w:rsid w:val="00B2691A"/>
    <w:rsid w:val="00B33C8C"/>
    <w:rsid w:val="00B440AE"/>
    <w:rsid w:val="00B54573"/>
    <w:rsid w:val="00B62107"/>
    <w:rsid w:val="00B70C27"/>
    <w:rsid w:val="00B81927"/>
    <w:rsid w:val="00B8456C"/>
    <w:rsid w:val="00B86257"/>
    <w:rsid w:val="00BA2E94"/>
    <w:rsid w:val="00BC55B1"/>
    <w:rsid w:val="00BC74D4"/>
    <w:rsid w:val="00BD4C21"/>
    <w:rsid w:val="00BD55EB"/>
    <w:rsid w:val="00BF3228"/>
    <w:rsid w:val="00BF6741"/>
    <w:rsid w:val="00C0042C"/>
    <w:rsid w:val="00C03B77"/>
    <w:rsid w:val="00C10360"/>
    <w:rsid w:val="00C168F9"/>
    <w:rsid w:val="00C268E7"/>
    <w:rsid w:val="00C273AC"/>
    <w:rsid w:val="00C3334D"/>
    <w:rsid w:val="00C473B2"/>
    <w:rsid w:val="00C509F7"/>
    <w:rsid w:val="00C5277E"/>
    <w:rsid w:val="00C53B6C"/>
    <w:rsid w:val="00C56FC0"/>
    <w:rsid w:val="00C60B57"/>
    <w:rsid w:val="00C71B8A"/>
    <w:rsid w:val="00C83117"/>
    <w:rsid w:val="00C93A31"/>
    <w:rsid w:val="00C95847"/>
    <w:rsid w:val="00CC549B"/>
    <w:rsid w:val="00CC5F5C"/>
    <w:rsid w:val="00D033D2"/>
    <w:rsid w:val="00D11C99"/>
    <w:rsid w:val="00D12AC6"/>
    <w:rsid w:val="00D24E64"/>
    <w:rsid w:val="00D30C7F"/>
    <w:rsid w:val="00D562AF"/>
    <w:rsid w:val="00D65E5D"/>
    <w:rsid w:val="00D66CC9"/>
    <w:rsid w:val="00D701BD"/>
    <w:rsid w:val="00D87C5D"/>
    <w:rsid w:val="00D96F33"/>
    <w:rsid w:val="00DA0D18"/>
    <w:rsid w:val="00DA3EFD"/>
    <w:rsid w:val="00DA68B8"/>
    <w:rsid w:val="00DA7AD5"/>
    <w:rsid w:val="00DB3D0C"/>
    <w:rsid w:val="00DB6F14"/>
    <w:rsid w:val="00DB7506"/>
    <w:rsid w:val="00DC3B0C"/>
    <w:rsid w:val="00DE2E35"/>
    <w:rsid w:val="00DE7A25"/>
    <w:rsid w:val="00E07588"/>
    <w:rsid w:val="00E10517"/>
    <w:rsid w:val="00E17F3A"/>
    <w:rsid w:val="00E2051E"/>
    <w:rsid w:val="00E21E22"/>
    <w:rsid w:val="00E36973"/>
    <w:rsid w:val="00E42CBB"/>
    <w:rsid w:val="00E42F74"/>
    <w:rsid w:val="00E5347A"/>
    <w:rsid w:val="00E731EE"/>
    <w:rsid w:val="00E83CBC"/>
    <w:rsid w:val="00EA3D66"/>
    <w:rsid w:val="00EA5CEB"/>
    <w:rsid w:val="00EA7C8C"/>
    <w:rsid w:val="00EC155C"/>
    <w:rsid w:val="00EC3CDE"/>
    <w:rsid w:val="00ED145B"/>
    <w:rsid w:val="00ED752B"/>
    <w:rsid w:val="00EE4E2D"/>
    <w:rsid w:val="00EE757B"/>
    <w:rsid w:val="00EF14EE"/>
    <w:rsid w:val="00EF1691"/>
    <w:rsid w:val="00EF3A18"/>
    <w:rsid w:val="00F0125B"/>
    <w:rsid w:val="00F01C37"/>
    <w:rsid w:val="00F055DC"/>
    <w:rsid w:val="00F07E18"/>
    <w:rsid w:val="00F218EC"/>
    <w:rsid w:val="00F27F70"/>
    <w:rsid w:val="00F3208A"/>
    <w:rsid w:val="00F400CB"/>
    <w:rsid w:val="00F540E4"/>
    <w:rsid w:val="00F6023D"/>
    <w:rsid w:val="00F71244"/>
    <w:rsid w:val="00F755DC"/>
    <w:rsid w:val="00F75B8B"/>
    <w:rsid w:val="00F90C1F"/>
    <w:rsid w:val="00FA1BEF"/>
    <w:rsid w:val="00FA4A3A"/>
    <w:rsid w:val="00FB2AC1"/>
    <w:rsid w:val="00FC1983"/>
    <w:rsid w:val="00FC7FAA"/>
    <w:rsid w:val="00FD2301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2C1A9C1A-5068-4775-AF56-2E836C04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E7A25"/>
    <w:pPr>
      <w:tabs>
        <w:tab w:val="right" w:leader="dot" w:pos="12950"/>
      </w:tabs>
      <w:spacing w:after="0" w:line="240" w:lineRule="auto"/>
    </w:pPr>
    <w:rPr>
      <w:rFonts w:ascii="Verdana" w:eastAsia="Times New Roman" w:hAnsi="Verdana" w:cs="Times New Roman"/>
      <w:noProof/>
      <w:color w:val="3333FF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424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4C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D0A06"/>
    <w:pPr>
      <w:spacing w:after="0" w:line="240" w:lineRule="auto"/>
    </w:pPr>
  </w:style>
  <w:style w:type="table" w:styleId="TableGrid">
    <w:name w:val="Table Grid"/>
    <w:basedOn w:val="TableNormal"/>
    <w:uiPriority w:val="39"/>
    <w:rsid w:val="00B7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3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04E7"/>
  </w:style>
  <w:style w:type="paragraph" w:styleId="Footer">
    <w:name w:val="footer"/>
    <w:basedOn w:val="Normal"/>
    <w:link w:val="FooterChar"/>
    <w:uiPriority w:val="99"/>
    <w:semiHidden/>
    <w:unhideWhenUsed/>
    <w:rsid w:val="00230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04E7"/>
  </w:style>
  <w:style w:type="paragraph" w:styleId="NormalWeb">
    <w:name w:val="Normal (Web)"/>
    <w:basedOn w:val="Normal"/>
    <w:uiPriority w:val="99"/>
    <w:semiHidden/>
    <w:unhideWhenUsed/>
    <w:rsid w:val="009169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836</Words>
  <Characters>4770</Characters>
  <Application>Microsoft Office Word</Application>
  <DocSecurity>0</DocSecurity>
  <Lines>39</Lines>
  <Paragraphs>11</Paragraphs>
  <ScaleCrop>false</ScaleCrop>
  <Company/>
  <LinksUpToDate>false</LinksUpToDate>
  <CharactersWithSpaces>5595</CharactersWithSpaces>
  <SharedDoc>false</SharedDoc>
  <HLinks>
    <vt:vector size="120" baseType="variant">
      <vt:variant>
        <vt:i4>262192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1572938</vt:i4>
      </vt:variant>
      <vt:variant>
        <vt:i4>60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!/view?docid=fb502149-98f6-43eb-935c-8d467702a50c</vt:lpwstr>
      </vt:variant>
      <vt:variant>
        <vt:i4>1114176</vt:i4>
      </vt:variant>
      <vt:variant>
        <vt:i4>57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!/view?docid=657ddfe3-27d1-4a21-8f51-8cbd3961001c</vt:lpwstr>
      </vt:variant>
      <vt:variant>
        <vt:i4>1507406</vt:i4>
      </vt:variant>
      <vt:variant>
        <vt:i4>54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!/view?docid=4ed2f1d5-650e-4757-8fa0-9ae6afc12268</vt:lpwstr>
      </vt:variant>
      <vt:variant>
        <vt:i4>4718622</vt:i4>
      </vt:variant>
      <vt:variant>
        <vt:i4>51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!/view?docid=aae1f2ff-c9bb-450e-bd66-0e95e9a365bb</vt:lpwstr>
      </vt:variant>
      <vt:variant>
        <vt:i4>4784207</vt:i4>
      </vt:variant>
      <vt:variant>
        <vt:i4>48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!/view?docid=929bcc87-3cc7-4084-9fcc-95ae8325fcc5</vt:lpwstr>
      </vt:variant>
      <vt:variant>
        <vt:i4>4980766</vt:i4>
      </vt:variant>
      <vt:variant>
        <vt:i4>45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!/view?docid=c559e3ac-63d0-46b5-a6e4-7b4f205c60c6</vt:lpwstr>
      </vt:variant>
      <vt:variant>
        <vt:i4>4456465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!/view?docid=f7e2615b-bebe-40a6-a0e2-6c74609ff4c0</vt:lpwstr>
      </vt:variant>
      <vt:variant>
        <vt:i4>1376333</vt:i4>
      </vt:variant>
      <vt:variant>
        <vt:i4>39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1048641</vt:i4>
      </vt:variant>
      <vt:variant>
        <vt:i4>30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!/view?docid=da529f49-4f66-4753-a92b-338639feb1ba</vt:lpwstr>
      </vt:variant>
      <vt:variant>
        <vt:i4>1310796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!/view?docid=c746a1ed-5394-4841-8191-86f9724b2372</vt:lpwstr>
      </vt:variant>
      <vt:variant>
        <vt:i4>5111835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!/view?docid=b6d9f3e2-1f09-48d9-82d9-f14b4fb9f55a</vt:lpwstr>
      </vt:variant>
      <vt:variant>
        <vt:i4>4456467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!/view?docid=b8695466-1ae2-4ef2-a88f-d7e5795efd1f</vt:lpwstr>
      </vt:variant>
      <vt:variant>
        <vt:i4>4456527</vt:i4>
      </vt:variant>
      <vt:variant>
        <vt:i4>18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!/view?docid=db096a28-c388-49f4-b535-76884ba26d91</vt:lpwstr>
      </vt:variant>
      <vt:variant>
        <vt:i4>1704011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!/view?docid=0afb51c4-054b-4d6e-b989-5aeefdb37145</vt:lpwstr>
      </vt:variant>
      <vt:variant>
        <vt:i4>1835079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!/view?docid=eea2c64c-d61c-4cd5-a2ab-444fcde92964</vt:lpwstr>
      </vt:variant>
      <vt:variant>
        <vt:i4>4390932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!/view?docid=18030a9d-2aa8-404a-8b68-007dbbcc33e1</vt:lpwstr>
      </vt:variant>
      <vt:variant>
        <vt:i4>1441797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RelatedDocuments</vt:lpwstr>
      </vt:variant>
      <vt:variant>
        <vt:i4>4587595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_Document_List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Davis, David P.</cp:lastModifiedBy>
  <cp:revision>6</cp:revision>
  <dcterms:created xsi:type="dcterms:W3CDTF">2025-07-24T18:30:00Z</dcterms:created>
  <dcterms:modified xsi:type="dcterms:W3CDTF">2025-07-24T18:36:00Z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</Properties>
</file>