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0E622" w14:textId="6D21AF32" w:rsidR="00A3671A" w:rsidRPr="006B58EF" w:rsidRDefault="00DA689D" w:rsidP="00625546">
      <w:pPr>
        <w:pStyle w:val="Heading1"/>
        <w:tabs>
          <w:tab w:val="center" w:pos="4392"/>
          <w:tab w:val="left" w:pos="6345"/>
        </w:tabs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Sucralfate Tablets, USP, 1 gram</w:t>
      </w:r>
      <w:r w:rsidR="00960AB3" w:rsidRPr="006B58EF">
        <w:rPr>
          <w:rFonts w:ascii="Verdana" w:hAnsi="Verdana"/>
          <w:sz w:val="36"/>
          <w:szCs w:val="36"/>
        </w:rPr>
        <w:t xml:space="preserve"> Class II - Retail</w:t>
      </w:r>
      <w:r w:rsidR="00A3671A" w:rsidRPr="006B58EF">
        <w:rPr>
          <w:rFonts w:ascii="Verdana" w:hAnsi="Verdana"/>
          <w:sz w:val="36"/>
          <w:szCs w:val="36"/>
        </w:rPr>
        <w:t>-L</w:t>
      </w:r>
      <w:r w:rsidR="00960AB3" w:rsidRPr="006B58EF">
        <w:rPr>
          <w:rFonts w:ascii="Verdana" w:hAnsi="Verdana"/>
          <w:sz w:val="36"/>
          <w:szCs w:val="36"/>
        </w:rPr>
        <w:t>evel</w:t>
      </w:r>
      <w:r w:rsidR="00A3671A" w:rsidRPr="006B58EF">
        <w:rPr>
          <w:rFonts w:ascii="Verdana" w:hAnsi="Verdana"/>
          <w:sz w:val="36"/>
          <w:szCs w:val="36"/>
        </w:rPr>
        <w:t xml:space="preserve"> R</w:t>
      </w:r>
      <w:r w:rsidR="00960AB3" w:rsidRPr="006B58EF">
        <w:rPr>
          <w:rFonts w:ascii="Verdana" w:hAnsi="Verdana"/>
          <w:sz w:val="36"/>
          <w:szCs w:val="36"/>
        </w:rPr>
        <w:t>ecall</w:t>
      </w:r>
      <w:r w:rsidR="00C44F42" w:rsidRPr="006B58EF">
        <w:rPr>
          <w:rFonts w:ascii="Verdana" w:hAnsi="Verdana"/>
          <w:sz w:val="36"/>
          <w:szCs w:val="36"/>
        </w:rPr>
        <w:t xml:space="preserve"> </w:t>
      </w:r>
      <w:r w:rsidR="00A3671A" w:rsidRPr="006B58EF">
        <w:rPr>
          <w:rFonts w:ascii="Verdana" w:hAnsi="Verdana"/>
          <w:sz w:val="36"/>
          <w:szCs w:val="36"/>
        </w:rPr>
        <w:t>CUSTOMER CARE TALK TRACK</w:t>
      </w:r>
    </w:p>
    <w:p w14:paraId="469996AB" w14:textId="77777777" w:rsidR="00C44F42" w:rsidRPr="006B58EF" w:rsidRDefault="00C44F42" w:rsidP="00C44F42">
      <w:pPr>
        <w:rPr>
          <w:rFonts w:ascii="Verdana" w:hAnsi="Verdana"/>
          <w:sz w:val="24"/>
          <w:szCs w:val="24"/>
        </w:rPr>
      </w:pPr>
    </w:p>
    <w:p w14:paraId="6181BFB7" w14:textId="77777777" w:rsidR="00266B1E" w:rsidRPr="00266B1E" w:rsidRDefault="00266B1E" w:rsidP="00266B1E">
      <w:pPr>
        <w:rPr>
          <w:rFonts w:ascii="Verdana" w:hAnsi="Verdana" w:cs="Arial"/>
          <w:b/>
          <w:bCs/>
          <w:sz w:val="24"/>
          <w:szCs w:val="24"/>
        </w:rPr>
      </w:pPr>
      <w:r w:rsidRPr="00266B1E">
        <w:rPr>
          <w:rFonts w:ascii="Verdana" w:hAnsi="Verdana" w:cs="Arial"/>
          <w:b/>
          <w:sz w:val="24"/>
          <w:szCs w:val="24"/>
        </w:rPr>
        <w:t xml:space="preserve">Background Information: </w:t>
      </w:r>
      <w:r w:rsidRPr="00266B1E">
        <w:rPr>
          <w:rFonts w:ascii="Verdana" w:hAnsi="Verdana" w:cs="Arial"/>
          <w:sz w:val="24"/>
          <w:szCs w:val="24"/>
        </w:rPr>
        <w:t xml:space="preserve">NCQA made an update to their standard requesting communication be sent to members and prescribers affected by any recall classified as a Class II by the FDA except for wholesale level recalls. Communication is being sent to members and prescribers of NCQA delegated clients to inform them of the limited recall.  </w:t>
      </w:r>
      <w:bookmarkStart w:id="0" w:name="OLE_LINK3"/>
      <w:r w:rsidRPr="00266B1E">
        <w:rPr>
          <w:rFonts w:ascii="Verdana" w:hAnsi="Verdana" w:cs="Arial"/>
          <w:b/>
          <w:bCs/>
          <w:sz w:val="24"/>
          <w:szCs w:val="24"/>
        </w:rPr>
        <w:t xml:space="preserve">The manufacturer is not requiring any action on the part of consumers for these recalls.   </w:t>
      </w:r>
      <w:bookmarkEnd w:id="0"/>
    </w:p>
    <w:p w14:paraId="49A4B190" w14:textId="77777777" w:rsidR="00266B1E" w:rsidRPr="00266B1E" w:rsidRDefault="00266B1E" w:rsidP="00266B1E">
      <w:pPr>
        <w:rPr>
          <w:rFonts w:ascii="Verdana" w:hAnsi="Verdana" w:cs="Arial"/>
          <w:b/>
          <w:bCs/>
          <w:sz w:val="24"/>
          <w:szCs w:val="24"/>
        </w:rPr>
      </w:pPr>
    </w:p>
    <w:p w14:paraId="4E3CB23C" w14:textId="77777777" w:rsidR="00266B1E" w:rsidRPr="00266B1E" w:rsidRDefault="00266B1E" w:rsidP="00266B1E">
      <w:pPr>
        <w:rPr>
          <w:rFonts w:ascii="Verdana" w:hAnsi="Verdana" w:cs="Arial"/>
          <w:b/>
          <w:bCs/>
          <w:sz w:val="24"/>
          <w:szCs w:val="24"/>
        </w:rPr>
      </w:pPr>
      <w:r w:rsidRPr="00266B1E">
        <w:rPr>
          <w:rFonts w:ascii="Verdana" w:hAnsi="Verdana" w:cs="Arial"/>
          <w:b/>
          <w:bCs/>
          <w:sz w:val="24"/>
          <w:szCs w:val="24"/>
        </w:rPr>
        <w:t>This recall affects:</w:t>
      </w:r>
    </w:p>
    <w:p w14:paraId="098E883C" w14:textId="77777777" w:rsidR="00266B1E" w:rsidRPr="00266B1E" w:rsidRDefault="00266B1E" w:rsidP="00266B1E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2070"/>
        <w:gridCol w:w="2790"/>
      </w:tblGrid>
      <w:tr w:rsidR="00266B1E" w:rsidRPr="00266B1E" w14:paraId="58FEC23E" w14:textId="77777777" w:rsidTr="0036498B">
        <w:tc>
          <w:tcPr>
            <w:tcW w:w="3420" w:type="dxa"/>
            <w:shd w:val="clear" w:color="auto" w:fill="auto"/>
          </w:tcPr>
          <w:p w14:paraId="3C0D1082" w14:textId="77777777" w:rsidR="00266B1E" w:rsidRPr="00266B1E" w:rsidRDefault="00266B1E" w:rsidP="00266B1E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266B1E">
              <w:rPr>
                <w:rFonts w:ascii="Verdana" w:hAnsi="Verdana" w:cs="Arial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2070" w:type="dxa"/>
            <w:shd w:val="clear" w:color="auto" w:fill="auto"/>
          </w:tcPr>
          <w:p w14:paraId="5C3F133B" w14:textId="77777777" w:rsidR="00266B1E" w:rsidRPr="00266B1E" w:rsidRDefault="00266B1E" w:rsidP="00266B1E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266B1E">
              <w:rPr>
                <w:rFonts w:ascii="Verdana" w:hAnsi="Verdana" w:cs="Arial"/>
                <w:b/>
                <w:bCs/>
                <w:sz w:val="24"/>
                <w:szCs w:val="24"/>
              </w:rPr>
              <w:t>NDC</w:t>
            </w:r>
          </w:p>
        </w:tc>
        <w:tc>
          <w:tcPr>
            <w:tcW w:w="2790" w:type="dxa"/>
            <w:shd w:val="clear" w:color="auto" w:fill="auto"/>
          </w:tcPr>
          <w:p w14:paraId="7AD1ADA0" w14:textId="77777777" w:rsidR="00266B1E" w:rsidRPr="00266B1E" w:rsidRDefault="00266B1E" w:rsidP="00266B1E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proofErr w:type="gramStart"/>
            <w:r w:rsidRPr="00266B1E">
              <w:rPr>
                <w:rFonts w:ascii="Verdana" w:hAnsi="Verdana" w:cs="Arial"/>
                <w:b/>
                <w:bCs/>
                <w:sz w:val="24"/>
                <w:szCs w:val="24"/>
              </w:rPr>
              <w:t>Lot # /</w:t>
            </w:r>
            <w:proofErr w:type="gramEnd"/>
            <w:r w:rsidRPr="00266B1E">
              <w:rPr>
                <w:rFonts w:ascii="Verdana" w:hAnsi="Verdana" w:cs="Arial"/>
                <w:b/>
                <w:bCs/>
                <w:sz w:val="24"/>
                <w:szCs w:val="24"/>
              </w:rPr>
              <w:t xml:space="preserve"> Exp. Date</w:t>
            </w:r>
          </w:p>
        </w:tc>
      </w:tr>
      <w:tr w:rsidR="00266B1E" w:rsidRPr="00266B1E" w14:paraId="5FF2226C" w14:textId="77777777" w:rsidTr="0036498B">
        <w:tc>
          <w:tcPr>
            <w:tcW w:w="3420" w:type="dxa"/>
            <w:shd w:val="clear" w:color="auto" w:fill="auto"/>
          </w:tcPr>
          <w:p w14:paraId="406EACC0" w14:textId="77777777" w:rsidR="00266B1E" w:rsidRPr="00266B1E" w:rsidRDefault="00266B1E" w:rsidP="00266B1E">
            <w:pPr>
              <w:rPr>
                <w:rFonts w:ascii="Verdana" w:hAnsi="Verdana" w:cs="Arial"/>
                <w:sz w:val="24"/>
                <w:szCs w:val="24"/>
              </w:rPr>
            </w:pPr>
            <w:r w:rsidRPr="00266B1E">
              <w:rPr>
                <w:rFonts w:ascii="Verdana" w:hAnsi="Verdana" w:cs="Arial"/>
                <w:sz w:val="24"/>
                <w:szCs w:val="24"/>
              </w:rPr>
              <w:t xml:space="preserve">Sucralfate Tablets, </w:t>
            </w:r>
            <w:proofErr w:type="gramStart"/>
            <w:r w:rsidRPr="00266B1E">
              <w:rPr>
                <w:rFonts w:ascii="Verdana" w:hAnsi="Verdana" w:cs="Arial"/>
                <w:sz w:val="24"/>
                <w:szCs w:val="24"/>
              </w:rPr>
              <w:t xml:space="preserve">USP,   </w:t>
            </w:r>
            <w:proofErr w:type="gramEnd"/>
            <w:r w:rsidRPr="00266B1E">
              <w:rPr>
                <w:rFonts w:ascii="Verdana" w:hAnsi="Verdana" w:cs="Arial"/>
                <w:sz w:val="24"/>
                <w:szCs w:val="24"/>
              </w:rPr>
              <w:t xml:space="preserve">   1 gram (100 count bottle)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70E60EA0" w14:textId="77777777" w:rsidR="00266B1E" w:rsidRPr="00266B1E" w:rsidRDefault="00266B1E" w:rsidP="00266B1E">
            <w:pPr>
              <w:rPr>
                <w:rFonts w:ascii="Verdana" w:hAnsi="Verdana" w:cs="Arial"/>
                <w:sz w:val="24"/>
                <w:szCs w:val="24"/>
              </w:rPr>
            </w:pPr>
            <w:r w:rsidRPr="00266B1E">
              <w:rPr>
                <w:rFonts w:ascii="Verdana" w:hAnsi="Verdana" w:cs="Arial"/>
                <w:sz w:val="24"/>
                <w:szCs w:val="24"/>
              </w:rPr>
              <w:t>29033-0003-01</w:t>
            </w:r>
          </w:p>
        </w:tc>
        <w:tc>
          <w:tcPr>
            <w:tcW w:w="2790" w:type="dxa"/>
            <w:vMerge w:val="restart"/>
            <w:shd w:val="clear" w:color="auto" w:fill="auto"/>
            <w:vAlign w:val="center"/>
          </w:tcPr>
          <w:p w14:paraId="44CBF7E7" w14:textId="77777777" w:rsidR="00266B1E" w:rsidRPr="00266B1E" w:rsidRDefault="00266B1E" w:rsidP="00266B1E">
            <w:pPr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266B1E">
              <w:rPr>
                <w:rFonts w:ascii="Verdana" w:hAnsi="Verdana" w:cs="Arial"/>
                <w:sz w:val="24"/>
                <w:szCs w:val="24"/>
              </w:rPr>
              <w:t>All lots within expiry</w:t>
            </w:r>
          </w:p>
        </w:tc>
      </w:tr>
      <w:tr w:rsidR="00266B1E" w:rsidRPr="00266B1E" w14:paraId="2BC466A4" w14:textId="77777777" w:rsidTr="0036498B">
        <w:tc>
          <w:tcPr>
            <w:tcW w:w="3420" w:type="dxa"/>
            <w:shd w:val="clear" w:color="auto" w:fill="auto"/>
          </w:tcPr>
          <w:p w14:paraId="671F6A57" w14:textId="77777777" w:rsidR="00266B1E" w:rsidRPr="00266B1E" w:rsidRDefault="00266B1E" w:rsidP="00266B1E">
            <w:pPr>
              <w:rPr>
                <w:rFonts w:ascii="Verdana" w:hAnsi="Verdana" w:cs="Arial"/>
                <w:sz w:val="24"/>
                <w:szCs w:val="24"/>
              </w:rPr>
            </w:pPr>
            <w:r w:rsidRPr="00266B1E">
              <w:rPr>
                <w:rFonts w:ascii="Verdana" w:hAnsi="Verdana" w:cs="Arial"/>
                <w:sz w:val="24"/>
                <w:szCs w:val="24"/>
              </w:rPr>
              <w:t xml:space="preserve">Sucralfate Tablets, </w:t>
            </w:r>
            <w:proofErr w:type="gramStart"/>
            <w:r w:rsidRPr="00266B1E">
              <w:rPr>
                <w:rFonts w:ascii="Verdana" w:hAnsi="Verdana" w:cs="Arial"/>
                <w:sz w:val="24"/>
                <w:szCs w:val="24"/>
              </w:rPr>
              <w:t xml:space="preserve">USP,   </w:t>
            </w:r>
            <w:proofErr w:type="gramEnd"/>
            <w:r w:rsidRPr="00266B1E">
              <w:rPr>
                <w:rFonts w:ascii="Verdana" w:hAnsi="Verdana" w:cs="Arial"/>
                <w:sz w:val="24"/>
                <w:szCs w:val="24"/>
              </w:rPr>
              <w:t xml:space="preserve">   1 gram (500 count bottle)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3B3F7508" w14:textId="77777777" w:rsidR="00266B1E" w:rsidRPr="00266B1E" w:rsidRDefault="00266B1E" w:rsidP="00266B1E">
            <w:pPr>
              <w:rPr>
                <w:rFonts w:ascii="Verdana" w:hAnsi="Verdana" w:cs="Arial"/>
                <w:sz w:val="24"/>
                <w:szCs w:val="24"/>
              </w:rPr>
            </w:pPr>
            <w:r w:rsidRPr="00266B1E">
              <w:rPr>
                <w:rFonts w:ascii="Verdana" w:hAnsi="Verdana" w:cs="Arial"/>
                <w:sz w:val="24"/>
                <w:szCs w:val="24"/>
              </w:rPr>
              <w:t>29033-0003-05</w:t>
            </w:r>
          </w:p>
        </w:tc>
        <w:tc>
          <w:tcPr>
            <w:tcW w:w="2790" w:type="dxa"/>
            <w:vMerge/>
            <w:shd w:val="clear" w:color="auto" w:fill="auto"/>
          </w:tcPr>
          <w:p w14:paraId="0C797D31" w14:textId="77777777" w:rsidR="00266B1E" w:rsidRPr="00266B1E" w:rsidRDefault="00266B1E" w:rsidP="00266B1E">
            <w:pPr>
              <w:rPr>
                <w:rFonts w:ascii="Verdana" w:hAnsi="Verdana" w:cs="Arial"/>
                <w:sz w:val="24"/>
                <w:szCs w:val="24"/>
              </w:rPr>
            </w:pPr>
          </w:p>
        </w:tc>
      </w:tr>
    </w:tbl>
    <w:p w14:paraId="28A27101" w14:textId="77777777" w:rsidR="00266B1E" w:rsidRPr="00266B1E" w:rsidRDefault="00266B1E" w:rsidP="00266B1E">
      <w:pPr>
        <w:rPr>
          <w:rFonts w:ascii="Verdana" w:hAnsi="Verdana" w:cs="Arial"/>
          <w:sz w:val="24"/>
          <w:szCs w:val="24"/>
        </w:rPr>
      </w:pPr>
    </w:p>
    <w:p w14:paraId="7AD5FB84" w14:textId="77777777" w:rsidR="00266B1E" w:rsidRPr="00266B1E" w:rsidRDefault="00266B1E" w:rsidP="00266B1E">
      <w:pPr>
        <w:keepNext/>
        <w:outlineLvl w:val="0"/>
        <w:rPr>
          <w:rFonts w:ascii="Verdana" w:hAnsi="Verdana" w:cs="Arial"/>
          <w:b/>
          <w:sz w:val="24"/>
          <w:szCs w:val="24"/>
        </w:rPr>
      </w:pPr>
      <w:r w:rsidRPr="00266B1E">
        <w:rPr>
          <w:rFonts w:ascii="Verdana" w:hAnsi="Verdana" w:cs="Arial"/>
          <w:b/>
          <w:sz w:val="24"/>
          <w:szCs w:val="24"/>
        </w:rPr>
        <w:t>Customer Care Talk Track:</w:t>
      </w:r>
    </w:p>
    <w:p w14:paraId="7E1EF414" w14:textId="77777777" w:rsidR="00266B1E" w:rsidRPr="00266B1E" w:rsidRDefault="00266B1E" w:rsidP="00266B1E">
      <w:pPr>
        <w:rPr>
          <w:rFonts w:ascii="Verdana" w:hAnsi="Verdana"/>
          <w:sz w:val="24"/>
          <w:szCs w:val="24"/>
          <w:highlight w:val="yellow"/>
        </w:rPr>
      </w:pPr>
    </w:p>
    <w:p w14:paraId="0486B0A9" w14:textId="77777777" w:rsidR="00266B1E" w:rsidRPr="00266B1E" w:rsidRDefault="00266B1E" w:rsidP="00266B1E">
      <w:pPr>
        <w:rPr>
          <w:rFonts w:ascii="Verdana" w:hAnsi="Verdana" w:cs="Arial"/>
          <w:color w:val="FF0000"/>
          <w:sz w:val="24"/>
          <w:szCs w:val="24"/>
        </w:rPr>
      </w:pPr>
      <w:r w:rsidRPr="00266B1E">
        <w:rPr>
          <w:rFonts w:ascii="Verdana" w:hAnsi="Verdana" w:cs="Arial"/>
          <w:bCs/>
          <w:color w:val="FF0000"/>
          <w:sz w:val="24"/>
          <w:szCs w:val="24"/>
        </w:rPr>
        <w:t xml:space="preserve">** </w:t>
      </w:r>
      <w:r w:rsidRPr="00266B1E">
        <w:rPr>
          <w:rFonts w:ascii="Verdana" w:hAnsi="Verdana" w:cs="Arial"/>
          <w:color w:val="FF0000"/>
          <w:sz w:val="24"/>
          <w:szCs w:val="24"/>
        </w:rPr>
        <w:t>Please ensure to disposition all recall calls to code</w:t>
      </w:r>
      <w:r w:rsidRPr="00266B1E">
        <w:rPr>
          <w:rFonts w:ascii="Verdana" w:hAnsi="Verdana" w:cs="Arial"/>
          <w:color w:val="000000"/>
          <w:sz w:val="24"/>
          <w:szCs w:val="24"/>
        </w:rPr>
        <w:t xml:space="preserve"> “</w:t>
      </w:r>
      <w:r w:rsidRPr="00266B1E">
        <w:rPr>
          <w:rFonts w:ascii="Verdana" w:hAnsi="Verdana" w:cs="Arial"/>
          <w:b/>
          <w:bCs/>
          <w:color w:val="000000"/>
          <w:sz w:val="24"/>
          <w:szCs w:val="24"/>
        </w:rPr>
        <w:t>1116</w:t>
      </w:r>
      <w:r w:rsidRPr="00266B1E">
        <w:rPr>
          <w:rFonts w:ascii="Verdana" w:hAnsi="Verdana" w:cs="Arial"/>
          <w:color w:val="000000"/>
          <w:sz w:val="24"/>
          <w:szCs w:val="24"/>
        </w:rPr>
        <w:t xml:space="preserve">” </w:t>
      </w:r>
      <w:r w:rsidRPr="00266B1E">
        <w:rPr>
          <w:rFonts w:ascii="Verdana" w:hAnsi="Verdana" w:cs="Arial"/>
          <w:color w:val="FF0000"/>
          <w:sz w:val="24"/>
          <w:szCs w:val="24"/>
        </w:rPr>
        <w:t>**</w:t>
      </w:r>
    </w:p>
    <w:p w14:paraId="3E33ED94" w14:textId="77777777" w:rsidR="00266B1E" w:rsidRPr="00266B1E" w:rsidRDefault="00266B1E" w:rsidP="00266B1E">
      <w:pPr>
        <w:rPr>
          <w:rFonts w:ascii="Verdana" w:hAnsi="Verdana"/>
          <w:b/>
          <w:sz w:val="24"/>
          <w:szCs w:val="24"/>
        </w:rPr>
      </w:pPr>
    </w:p>
    <w:p w14:paraId="692E2AB8" w14:textId="77777777" w:rsidR="00266B1E" w:rsidRPr="00266B1E" w:rsidRDefault="00266B1E" w:rsidP="00266B1E">
      <w:pPr>
        <w:rPr>
          <w:rFonts w:ascii="Verdana" w:hAnsi="Verdana"/>
          <w:sz w:val="24"/>
          <w:szCs w:val="24"/>
        </w:rPr>
      </w:pPr>
    </w:p>
    <w:tbl>
      <w:tblPr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9"/>
        <w:gridCol w:w="2159"/>
        <w:gridCol w:w="6457"/>
      </w:tblGrid>
      <w:tr w:rsidR="00266B1E" w:rsidRPr="00266B1E" w14:paraId="75CCDD21" w14:textId="77777777" w:rsidTr="0036498B">
        <w:tc>
          <w:tcPr>
            <w:tcW w:w="314" w:type="pct"/>
            <w:shd w:val="pct10" w:color="auto" w:fill="auto"/>
          </w:tcPr>
          <w:p w14:paraId="2B29BA86" w14:textId="77777777" w:rsidR="00266B1E" w:rsidRPr="00266B1E" w:rsidRDefault="00266B1E" w:rsidP="00266B1E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266B1E">
              <w:rPr>
                <w:rFonts w:ascii="Verdana" w:hAnsi="Verdana" w:cs="Arial"/>
                <w:b/>
                <w:sz w:val="24"/>
                <w:szCs w:val="24"/>
              </w:rPr>
              <w:t>Q#</w:t>
            </w:r>
          </w:p>
        </w:tc>
        <w:tc>
          <w:tcPr>
            <w:tcW w:w="1181" w:type="pct"/>
            <w:shd w:val="pct10" w:color="auto" w:fill="auto"/>
          </w:tcPr>
          <w:p w14:paraId="7AE56CCF" w14:textId="77777777" w:rsidR="00266B1E" w:rsidRPr="00266B1E" w:rsidRDefault="00266B1E" w:rsidP="00266B1E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266B1E">
              <w:rPr>
                <w:rFonts w:ascii="Verdana" w:hAnsi="Verdana" w:cs="Arial"/>
                <w:b/>
                <w:sz w:val="24"/>
                <w:szCs w:val="24"/>
              </w:rPr>
              <w:t>Question</w:t>
            </w:r>
          </w:p>
        </w:tc>
        <w:tc>
          <w:tcPr>
            <w:tcW w:w="3505" w:type="pct"/>
            <w:shd w:val="pct10" w:color="auto" w:fill="auto"/>
          </w:tcPr>
          <w:p w14:paraId="4E8C4200" w14:textId="77777777" w:rsidR="00266B1E" w:rsidRPr="00266B1E" w:rsidRDefault="00266B1E" w:rsidP="00266B1E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266B1E">
              <w:rPr>
                <w:rFonts w:ascii="Verdana" w:hAnsi="Verdana" w:cs="Arial"/>
                <w:b/>
                <w:sz w:val="24"/>
                <w:szCs w:val="24"/>
              </w:rPr>
              <w:t>Answer</w:t>
            </w:r>
          </w:p>
        </w:tc>
      </w:tr>
      <w:tr w:rsidR="00266B1E" w:rsidRPr="00266B1E" w14:paraId="6E479936" w14:textId="77777777" w:rsidTr="0036498B">
        <w:trPr>
          <w:trHeight w:val="510"/>
        </w:trPr>
        <w:tc>
          <w:tcPr>
            <w:tcW w:w="314" w:type="pct"/>
          </w:tcPr>
          <w:p w14:paraId="4F4C20BE" w14:textId="77777777" w:rsidR="00266B1E" w:rsidRPr="00266B1E" w:rsidRDefault="00266B1E" w:rsidP="00266B1E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266B1E">
              <w:rPr>
                <w:rFonts w:ascii="Verdana" w:hAnsi="Verdana" w:cs="Arial"/>
                <w:b/>
                <w:sz w:val="24"/>
                <w:szCs w:val="24"/>
              </w:rPr>
              <w:t>1</w:t>
            </w:r>
          </w:p>
        </w:tc>
        <w:tc>
          <w:tcPr>
            <w:tcW w:w="1181" w:type="pct"/>
            <w:shd w:val="clear" w:color="auto" w:fill="auto"/>
          </w:tcPr>
          <w:p w14:paraId="3690E647" w14:textId="77777777" w:rsidR="00266B1E" w:rsidRPr="00266B1E" w:rsidRDefault="00266B1E" w:rsidP="00266B1E">
            <w:pPr>
              <w:rPr>
                <w:rFonts w:ascii="Verdana" w:hAnsi="Verdana" w:cs="Arial"/>
                <w:b/>
                <w:sz w:val="24"/>
                <w:szCs w:val="24"/>
              </w:rPr>
            </w:pPr>
            <w:r w:rsidRPr="00266B1E">
              <w:rPr>
                <w:rFonts w:ascii="Verdana" w:hAnsi="Verdana"/>
                <w:b/>
                <w:sz w:val="24"/>
                <w:szCs w:val="24"/>
              </w:rPr>
              <w:t xml:space="preserve">Why did I receive </w:t>
            </w:r>
            <w:proofErr w:type="gramStart"/>
            <w:r w:rsidRPr="00266B1E">
              <w:rPr>
                <w:rFonts w:ascii="Verdana" w:hAnsi="Verdana"/>
                <w:b/>
                <w:sz w:val="24"/>
                <w:szCs w:val="24"/>
              </w:rPr>
              <w:t>a recall</w:t>
            </w:r>
            <w:proofErr w:type="gramEnd"/>
            <w:r w:rsidRPr="00266B1E">
              <w:rPr>
                <w:rFonts w:ascii="Verdana" w:hAnsi="Verdana"/>
                <w:b/>
                <w:sz w:val="24"/>
                <w:szCs w:val="24"/>
              </w:rPr>
              <w:t xml:space="preserve"> notice?</w:t>
            </w:r>
          </w:p>
        </w:tc>
        <w:tc>
          <w:tcPr>
            <w:tcW w:w="3505" w:type="pct"/>
            <w:shd w:val="clear" w:color="auto" w:fill="auto"/>
          </w:tcPr>
          <w:p w14:paraId="6FDEEFAE" w14:textId="77777777" w:rsidR="00266B1E" w:rsidRPr="00266B1E" w:rsidRDefault="00266B1E" w:rsidP="00266B1E">
            <w:pPr>
              <w:rPr>
                <w:rFonts w:ascii="Verdana" w:hAnsi="Verdana" w:cs="Arial"/>
                <w:sz w:val="24"/>
                <w:szCs w:val="24"/>
              </w:rPr>
            </w:pPr>
            <w:r w:rsidRPr="00266B1E">
              <w:rPr>
                <w:rFonts w:ascii="Verdana" w:hAnsi="Verdana" w:cs="Arial"/>
                <w:sz w:val="24"/>
                <w:szCs w:val="24"/>
              </w:rPr>
              <w:t xml:space="preserve">Our records indicate that </w:t>
            </w:r>
            <w:proofErr w:type="gramStart"/>
            <w:r w:rsidRPr="00266B1E">
              <w:rPr>
                <w:rFonts w:ascii="Verdana" w:hAnsi="Verdana" w:cs="Arial"/>
                <w:sz w:val="24"/>
                <w:szCs w:val="24"/>
              </w:rPr>
              <w:t>you may</w:t>
            </w:r>
            <w:proofErr w:type="gramEnd"/>
            <w:r w:rsidRPr="00266B1E">
              <w:rPr>
                <w:rFonts w:ascii="Verdana" w:hAnsi="Verdana" w:cs="Arial"/>
                <w:sz w:val="24"/>
                <w:szCs w:val="24"/>
              </w:rPr>
              <w:t xml:space="preserve"> have recently received a prescription for a product affected by a limited recall from your retail pharmacy.  </w:t>
            </w:r>
          </w:p>
          <w:p w14:paraId="569DE7C3" w14:textId="77777777" w:rsidR="00266B1E" w:rsidRPr="00266B1E" w:rsidRDefault="00266B1E" w:rsidP="00266B1E">
            <w:pPr>
              <w:rPr>
                <w:rFonts w:ascii="Verdana" w:hAnsi="Verdana" w:cs="Arial"/>
                <w:sz w:val="24"/>
                <w:szCs w:val="24"/>
              </w:rPr>
            </w:pPr>
          </w:p>
          <w:p w14:paraId="02D0FFEE" w14:textId="77777777" w:rsidR="00266B1E" w:rsidRPr="00266B1E" w:rsidRDefault="00266B1E" w:rsidP="00266B1E">
            <w:pPr>
              <w:rPr>
                <w:rFonts w:ascii="Verdana" w:hAnsi="Verdana" w:cs="Arial"/>
                <w:color w:val="000000"/>
                <w:sz w:val="24"/>
                <w:szCs w:val="24"/>
              </w:rPr>
            </w:pPr>
            <w:r w:rsidRPr="00266B1E">
              <w:rPr>
                <w:rFonts w:ascii="Verdana" w:hAnsi="Verdana" w:cs="Arial"/>
                <w:sz w:val="24"/>
                <w:szCs w:val="24"/>
              </w:rPr>
              <w:t xml:space="preserve">For more information, call the manufacturer listed on the letter </w:t>
            </w:r>
            <w:r w:rsidRPr="00266B1E">
              <w:rPr>
                <w:rFonts w:ascii="Verdana" w:hAnsi="Verdana" w:cs="Arial"/>
                <w:color w:val="000000"/>
                <w:sz w:val="24"/>
                <w:szCs w:val="24"/>
              </w:rPr>
              <w:t xml:space="preserve">or visit their website. </w:t>
            </w:r>
            <w:r w:rsidRPr="00266B1E">
              <w:rPr>
                <w:rFonts w:ascii="Verdana" w:hAnsi="Verdana" w:cs="Arial"/>
                <w:sz w:val="24"/>
                <w:szCs w:val="24"/>
              </w:rPr>
              <w:t xml:space="preserve">You may also call the United States Food and Drug Administration (FDA) toll-free at </w:t>
            </w:r>
            <w:r w:rsidRPr="00266B1E">
              <w:rPr>
                <w:rFonts w:ascii="Verdana" w:hAnsi="Verdana" w:cs="Arial"/>
                <w:bCs/>
                <w:sz w:val="24"/>
                <w:szCs w:val="24"/>
              </w:rPr>
              <w:t>1</w:t>
            </w:r>
            <w:r w:rsidRPr="00266B1E">
              <w:rPr>
                <w:rFonts w:ascii="Verdana" w:hAnsi="Verdana" w:cs="Arial"/>
                <w:bCs/>
                <w:sz w:val="24"/>
                <w:szCs w:val="24"/>
              </w:rPr>
              <w:noBreakHyphen/>
              <w:t>888</w:t>
            </w:r>
            <w:r w:rsidRPr="00266B1E">
              <w:rPr>
                <w:rFonts w:ascii="Verdana" w:hAnsi="Verdana" w:cs="Arial"/>
                <w:bCs/>
                <w:sz w:val="24"/>
                <w:szCs w:val="24"/>
              </w:rPr>
              <w:noBreakHyphen/>
              <w:t>INFO-FDA (</w:t>
            </w:r>
            <w:r w:rsidRPr="00266B1E">
              <w:rPr>
                <w:rFonts w:ascii="Verdana" w:hAnsi="Verdana" w:cs="Arial"/>
                <w:sz w:val="24"/>
                <w:szCs w:val="24"/>
              </w:rPr>
              <w:t>1</w:t>
            </w:r>
            <w:r w:rsidRPr="00266B1E">
              <w:rPr>
                <w:rFonts w:ascii="Verdana" w:hAnsi="Verdana" w:cs="Arial"/>
                <w:sz w:val="24"/>
                <w:szCs w:val="24"/>
              </w:rPr>
              <w:noBreakHyphen/>
              <w:t xml:space="preserve">888-463-6332) or </w:t>
            </w:r>
            <w:r w:rsidRPr="00266B1E">
              <w:rPr>
                <w:rFonts w:ascii="Verdana" w:hAnsi="Verdana" w:cs="Arial"/>
                <w:bCs/>
                <w:sz w:val="24"/>
                <w:szCs w:val="24"/>
              </w:rPr>
              <w:t>visit</w:t>
            </w:r>
            <w:r w:rsidRPr="00266B1E">
              <w:rPr>
                <w:rFonts w:ascii="Verdana" w:hAnsi="Verdana" w:cs="Arial"/>
                <w:sz w:val="24"/>
                <w:szCs w:val="24"/>
              </w:rPr>
              <w:t xml:space="preserve"> </w:t>
            </w:r>
            <w:hyperlink r:id="rId11" w:history="1">
              <w:r w:rsidRPr="00266B1E">
                <w:rPr>
                  <w:rFonts w:ascii="Verdana" w:hAnsi="Verdana" w:cs="Arial"/>
                  <w:color w:val="0000FF"/>
                  <w:sz w:val="24"/>
                  <w:szCs w:val="24"/>
                  <w:u w:val="single"/>
                </w:rPr>
                <w:t>www.fda.gov</w:t>
              </w:r>
            </w:hyperlink>
            <w:r w:rsidRPr="00266B1E">
              <w:rPr>
                <w:rFonts w:ascii="Verdana" w:hAnsi="Verdana" w:cs="Arial"/>
                <w:sz w:val="24"/>
                <w:szCs w:val="24"/>
              </w:rPr>
              <w:t xml:space="preserve">. </w:t>
            </w:r>
          </w:p>
          <w:p w14:paraId="26F70A01" w14:textId="77777777" w:rsidR="00266B1E" w:rsidRPr="00266B1E" w:rsidRDefault="00266B1E" w:rsidP="00266B1E">
            <w:pPr>
              <w:ind w:right="-180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266B1E" w:rsidRPr="00266B1E" w14:paraId="02F84B04" w14:textId="77777777" w:rsidTr="0036498B">
        <w:trPr>
          <w:trHeight w:val="510"/>
        </w:trPr>
        <w:tc>
          <w:tcPr>
            <w:tcW w:w="314" w:type="pct"/>
          </w:tcPr>
          <w:p w14:paraId="4BCD9D16" w14:textId="77777777" w:rsidR="00266B1E" w:rsidRPr="00266B1E" w:rsidRDefault="00266B1E" w:rsidP="00266B1E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266B1E">
              <w:rPr>
                <w:rFonts w:ascii="Verdana" w:hAnsi="Verdana" w:cs="Arial"/>
                <w:b/>
                <w:sz w:val="24"/>
                <w:szCs w:val="24"/>
              </w:rPr>
              <w:t>2</w:t>
            </w:r>
          </w:p>
        </w:tc>
        <w:tc>
          <w:tcPr>
            <w:tcW w:w="1181" w:type="pct"/>
            <w:shd w:val="clear" w:color="auto" w:fill="auto"/>
          </w:tcPr>
          <w:p w14:paraId="2A102132" w14:textId="77777777" w:rsidR="00266B1E" w:rsidRPr="00266B1E" w:rsidRDefault="00266B1E" w:rsidP="00266B1E">
            <w:pPr>
              <w:rPr>
                <w:rFonts w:ascii="Verdana" w:hAnsi="Verdana"/>
                <w:b/>
                <w:sz w:val="24"/>
                <w:szCs w:val="24"/>
              </w:rPr>
            </w:pPr>
            <w:r w:rsidRPr="00266B1E">
              <w:rPr>
                <w:rFonts w:ascii="Verdana" w:hAnsi="Verdana" w:cs="Arial"/>
                <w:b/>
                <w:bCs/>
                <w:sz w:val="24"/>
                <w:szCs w:val="24"/>
              </w:rPr>
              <w:t>May I return the rest of the recalled product that I have?</w:t>
            </w:r>
          </w:p>
        </w:tc>
        <w:tc>
          <w:tcPr>
            <w:tcW w:w="3505" w:type="pct"/>
            <w:shd w:val="clear" w:color="auto" w:fill="auto"/>
          </w:tcPr>
          <w:p w14:paraId="47D64A97" w14:textId="77777777" w:rsidR="00266B1E" w:rsidRPr="00266B1E" w:rsidRDefault="00266B1E" w:rsidP="00266B1E">
            <w:pPr>
              <w:rPr>
                <w:rFonts w:ascii="Verdana" w:hAnsi="Verdana" w:cs="Arial"/>
                <w:sz w:val="24"/>
                <w:szCs w:val="24"/>
              </w:rPr>
            </w:pPr>
            <w:r w:rsidRPr="00266B1E">
              <w:rPr>
                <w:rFonts w:ascii="Verdana" w:hAnsi="Verdana" w:cs="Arial"/>
                <w:sz w:val="24"/>
                <w:szCs w:val="24"/>
              </w:rPr>
              <w:t xml:space="preserve">The manufacturer is not requiring any action on the part of consumers for these recalls.  </w:t>
            </w:r>
          </w:p>
        </w:tc>
      </w:tr>
      <w:tr w:rsidR="00266B1E" w:rsidRPr="00266B1E" w14:paraId="26BB0A95" w14:textId="77777777" w:rsidTr="0036498B">
        <w:trPr>
          <w:trHeight w:val="1550"/>
        </w:trPr>
        <w:tc>
          <w:tcPr>
            <w:tcW w:w="314" w:type="pct"/>
          </w:tcPr>
          <w:p w14:paraId="0A6288DC" w14:textId="77777777" w:rsidR="00266B1E" w:rsidRPr="00266B1E" w:rsidRDefault="00266B1E" w:rsidP="00266B1E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bookmarkStart w:id="1" w:name="_Hlk74832880"/>
            <w:r w:rsidRPr="00266B1E">
              <w:rPr>
                <w:rFonts w:ascii="Verdana" w:hAnsi="Verdana" w:cs="Arial"/>
                <w:b/>
                <w:sz w:val="24"/>
                <w:szCs w:val="24"/>
              </w:rPr>
              <w:t>3</w:t>
            </w:r>
          </w:p>
        </w:tc>
        <w:tc>
          <w:tcPr>
            <w:tcW w:w="1181" w:type="pct"/>
            <w:shd w:val="clear" w:color="auto" w:fill="auto"/>
          </w:tcPr>
          <w:p w14:paraId="01292071" w14:textId="77777777" w:rsidR="00266B1E" w:rsidRPr="00266B1E" w:rsidRDefault="00266B1E" w:rsidP="00266B1E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266B1E">
              <w:rPr>
                <w:rFonts w:ascii="Verdana" w:hAnsi="Verdana" w:cs="Arial"/>
                <w:b/>
                <w:bCs/>
                <w:sz w:val="24"/>
                <w:szCs w:val="24"/>
              </w:rPr>
              <w:t>Should I stop using the recalled product?</w:t>
            </w:r>
          </w:p>
        </w:tc>
        <w:tc>
          <w:tcPr>
            <w:tcW w:w="3505" w:type="pct"/>
            <w:shd w:val="clear" w:color="auto" w:fill="auto"/>
          </w:tcPr>
          <w:p w14:paraId="21CE4238" w14:textId="77777777" w:rsidR="00266B1E" w:rsidRPr="00266B1E" w:rsidRDefault="00266B1E" w:rsidP="00266B1E">
            <w:pPr>
              <w:rPr>
                <w:rFonts w:ascii="Verdana" w:hAnsi="Verdana" w:cs="Arial"/>
                <w:bCs/>
                <w:sz w:val="24"/>
                <w:szCs w:val="24"/>
              </w:rPr>
            </w:pPr>
            <w:r w:rsidRPr="00266B1E">
              <w:rPr>
                <w:rFonts w:ascii="Verdana" w:hAnsi="Verdana" w:cs="Arial"/>
                <w:sz w:val="24"/>
                <w:szCs w:val="24"/>
              </w:rPr>
              <w:t>Please contact your prescriber with any questions or concerns about this recall or your use of the product</w:t>
            </w:r>
            <w:r w:rsidRPr="00266B1E">
              <w:rPr>
                <w:rFonts w:ascii="Verdana" w:hAnsi="Verdana"/>
                <w:sz w:val="24"/>
                <w:szCs w:val="24"/>
              </w:rPr>
              <w:t xml:space="preserve">. </w:t>
            </w:r>
            <w:r w:rsidRPr="00266B1E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</w:p>
          <w:p w14:paraId="00CF2B41" w14:textId="77777777" w:rsidR="00266B1E" w:rsidRPr="00266B1E" w:rsidRDefault="00266B1E" w:rsidP="00266B1E">
            <w:pPr>
              <w:keepNext/>
              <w:jc w:val="center"/>
              <w:outlineLvl w:val="0"/>
              <w:rPr>
                <w:rFonts w:ascii="Verdana" w:hAnsi="Verdana" w:cs="Arial"/>
                <w:b/>
                <w:bCs/>
                <w:sz w:val="24"/>
                <w:szCs w:val="24"/>
              </w:rPr>
            </w:pPr>
          </w:p>
        </w:tc>
      </w:tr>
      <w:bookmarkEnd w:id="1"/>
    </w:tbl>
    <w:p w14:paraId="7091CD88" w14:textId="77777777" w:rsidR="00266B1E" w:rsidRPr="00266B1E" w:rsidRDefault="00266B1E" w:rsidP="00266B1E">
      <w:pPr>
        <w:keepNext/>
        <w:outlineLvl w:val="1"/>
        <w:rPr>
          <w:rFonts w:ascii="Verdana" w:hAnsi="Verdana"/>
          <w:sz w:val="24"/>
          <w:szCs w:val="24"/>
        </w:rPr>
      </w:pPr>
    </w:p>
    <w:p w14:paraId="2486CE79" w14:textId="77777777" w:rsidR="00266B1E" w:rsidRPr="00266B1E" w:rsidRDefault="00266B1E" w:rsidP="00266B1E">
      <w:pPr>
        <w:keepNext/>
        <w:outlineLvl w:val="1"/>
        <w:rPr>
          <w:rFonts w:ascii="Verdana" w:hAnsi="Verdana"/>
          <w:sz w:val="24"/>
          <w:szCs w:val="24"/>
        </w:rPr>
      </w:pPr>
      <w:r w:rsidRPr="00266B1E">
        <w:rPr>
          <w:rFonts w:ascii="Verdana" w:hAnsi="Verdana"/>
          <w:sz w:val="24"/>
          <w:szCs w:val="24"/>
        </w:rPr>
        <w:t>Additional Information:</w:t>
      </w:r>
    </w:p>
    <w:p w14:paraId="62ABB95E" w14:textId="77777777" w:rsidR="00266B1E" w:rsidRPr="00266B1E" w:rsidRDefault="00266B1E" w:rsidP="00266B1E">
      <w:pPr>
        <w:keepNext/>
        <w:outlineLvl w:val="1"/>
        <w:rPr>
          <w:rFonts w:ascii="Verdana" w:hAnsi="Verdana"/>
          <w:sz w:val="24"/>
          <w:szCs w:val="24"/>
        </w:rPr>
      </w:pPr>
    </w:p>
    <w:p w14:paraId="70F33AF0" w14:textId="77777777" w:rsidR="00266B1E" w:rsidRPr="00266B1E" w:rsidRDefault="00266B1E" w:rsidP="00266B1E">
      <w:pPr>
        <w:shd w:val="clear" w:color="auto" w:fill="FFFFFF"/>
        <w:rPr>
          <w:rFonts w:ascii="Verdana" w:hAnsi="Verdana"/>
          <w:color w:val="333333"/>
          <w:sz w:val="24"/>
          <w:szCs w:val="24"/>
        </w:rPr>
      </w:pPr>
      <w:r w:rsidRPr="00266B1E">
        <w:rPr>
          <w:rFonts w:ascii="Verdana" w:hAnsi="Verdana"/>
          <w:color w:val="333333"/>
          <w:sz w:val="24"/>
          <w:szCs w:val="24"/>
        </w:rPr>
        <w:t>Event Details</w:t>
      </w:r>
    </w:p>
    <w:p w14:paraId="3E2909B1" w14:textId="77777777" w:rsidR="00266B1E" w:rsidRPr="00266B1E" w:rsidRDefault="00266B1E" w:rsidP="00266B1E">
      <w:pPr>
        <w:rPr>
          <w:rFonts w:ascii="Verdana" w:hAnsi="Verdana"/>
          <w:sz w:val="24"/>
          <w:szCs w:val="24"/>
        </w:rPr>
      </w:pPr>
    </w:p>
    <w:p w14:paraId="4765928F" w14:textId="77777777" w:rsidR="00266B1E" w:rsidRPr="00266B1E" w:rsidRDefault="00266B1E" w:rsidP="00266B1E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266B1E">
        <w:rPr>
          <w:rFonts w:ascii="Verdana" w:hAnsi="Verdana"/>
          <w:b/>
          <w:bCs/>
          <w:color w:val="333333"/>
          <w:sz w:val="24"/>
          <w:szCs w:val="24"/>
        </w:rPr>
        <w:t>Event ID:</w:t>
      </w:r>
    </w:p>
    <w:p w14:paraId="1EB447D3" w14:textId="77777777" w:rsidR="00266B1E" w:rsidRPr="00266B1E" w:rsidRDefault="00266B1E" w:rsidP="00266B1E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266B1E">
        <w:rPr>
          <w:rFonts w:ascii="Verdana" w:hAnsi="Verdana"/>
          <w:color w:val="333333"/>
          <w:sz w:val="24"/>
          <w:szCs w:val="24"/>
        </w:rPr>
        <w:t>97053</w:t>
      </w:r>
    </w:p>
    <w:p w14:paraId="05343542" w14:textId="77777777" w:rsidR="00266B1E" w:rsidRPr="00266B1E" w:rsidRDefault="00266B1E" w:rsidP="00266B1E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266B1E">
        <w:rPr>
          <w:rFonts w:ascii="Verdana" w:hAnsi="Verdana"/>
          <w:b/>
          <w:bCs/>
          <w:color w:val="333333"/>
          <w:sz w:val="24"/>
          <w:szCs w:val="24"/>
        </w:rPr>
        <w:t>Voluntary / Mandated:</w:t>
      </w:r>
    </w:p>
    <w:p w14:paraId="3EEBE305" w14:textId="77777777" w:rsidR="00266B1E" w:rsidRPr="00266B1E" w:rsidRDefault="00266B1E" w:rsidP="00266B1E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266B1E">
        <w:rPr>
          <w:rFonts w:ascii="Verdana" w:hAnsi="Verdana"/>
          <w:color w:val="333333"/>
          <w:sz w:val="24"/>
          <w:szCs w:val="24"/>
        </w:rPr>
        <w:t>Voluntary: Firm initiated</w:t>
      </w:r>
    </w:p>
    <w:p w14:paraId="7A70F993" w14:textId="77777777" w:rsidR="00266B1E" w:rsidRPr="00266B1E" w:rsidRDefault="00266B1E" w:rsidP="00266B1E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266B1E">
        <w:rPr>
          <w:rFonts w:ascii="Verdana" w:hAnsi="Verdana"/>
          <w:b/>
          <w:bCs/>
          <w:color w:val="333333"/>
          <w:sz w:val="24"/>
          <w:szCs w:val="24"/>
        </w:rPr>
        <w:t>Product Type:</w:t>
      </w:r>
    </w:p>
    <w:p w14:paraId="5B237689" w14:textId="77777777" w:rsidR="00266B1E" w:rsidRPr="00266B1E" w:rsidRDefault="00266B1E" w:rsidP="00266B1E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266B1E">
        <w:rPr>
          <w:rFonts w:ascii="Verdana" w:hAnsi="Verdana"/>
          <w:color w:val="333333"/>
          <w:sz w:val="24"/>
          <w:szCs w:val="24"/>
        </w:rPr>
        <w:t>Drugs</w:t>
      </w:r>
    </w:p>
    <w:p w14:paraId="7A87429A" w14:textId="77777777" w:rsidR="00266B1E" w:rsidRPr="00266B1E" w:rsidRDefault="00266B1E" w:rsidP="00266B1E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266B1E">
        <w:rPr>
          <w:rFonts w:ascii="Verdana" w:hAnsi="Verdana"/>
          <w:b/>
          <w:bCs/>
          <w:color w:val="333333"/>
          <w:sz w:val="24"/>
          <w:szCs w:val="24"/>
        </w:rPr>
        <w:t>Initial Firm Notification of Consignee or Public:</w:t>
      </w:r>
    </w:p>
    <w:p w14:paraId="3213102C" w14:textId="77777777" w:rsidR="00266B1E" w:rsidRPr="00266B1E" w:rsidRDefault="00266B1E" w:rsidP="00266B1E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266B1E">
        <w:rPr>
          <w:rFonts w:ascii="Verdana" w:hAnsi="Verdana"/>
          <w:color w:val="333333"/>
          <w:sz w:val="24"/>
          <w:szCs w:val="24"/>
        </w:rPr>
        <w:t>Press Release</w:t>
      </w:r>
    </w:p>
    <w:p w14:paraId="20603623" w14:textId="77777777" w:rsidR="00266B1E" w:rsidRPr="00266B1E" w:rsidRDefault="00266B1E" w:rsidP="00266B1E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266B1E">
        <w:rPr>
          <w:rFonts w:ascii="Verdana" w:hAnsi="Verdana"/>
          <w:b/>
          <w:bCs/>
          <w:color w:val="333333"/>
          <w:sz w:val="24"/>
          <w:szCs w:val="24"/>
        </w:rPr>
        <w:t>Status:</w:t>
      </w:r>
    </w:p>
    <w:p w14:paraId="2609A180" w14:textId="77777777" w:rsidR="00266B1E" w:rsidRPr="00266B1E" w:rsidRDefault="00266B1E" w:rsidP="00266B1E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266B1E">
        <w:rPr>
          <w:rFonts w:ascii="Verdana" w:hAnsi="Verdana"/>
          <w:color w:val="333333"/>
          <w:sz w:val="24"/>
          <w:szCs w:val="24"/>
        </w:rPr>
        <w:t>Ongoing</w:t>
      </w:r>
    </w:p>
    <w:p w14:paraId="5A857B99" w14:textId="77777777" w:rsidR="00266B1E" w:rsidRPr="00266B1E" w:rsidRDefault="00266B1E" w:rsidP="00266B1E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266B1E">
        <w:rPr>
          <w:rFonts w:ascii="Verdana" w:hAnsi="Verdana"/>
          <w:b/>
          <w:bCs/>
          <w:color w:val="333333"/>
          <w:sz w:val="24"/>
          <w:szCs w:val="24"/>
        </w:rPr>
        <w:t>Distribution Pattern:</w:t>
      </w:r>
    </w:p>
    <w:p w14:paraId="4DE37D17" w14:textId="77777777" w:rsidR="00266B1E" w:rsidRPr="00266B1E" w:rsidRDefault="00266B1E" w:rsidP="00266B1E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266B1E">
        <w:rPr>
          <w:rFonts w:ascii="Verdana" w:hAnsi="Verdana"/>
          <w:color w:val="333333"/>
          <w:sz w:val="24"/>
          <w:szCs w:val="24"/>
        </w:rPr>
        <w:t>nationwide within the United States</w:t>
      </w:r>
    </w:p>
    <w:p w14:paraId="2B42B366" w14:textId="77777777" w:rsidR="00266B1E" w:rsidRPr="00266B1E" w:rsidRDefault="00266B1E" w:rsidP="00266B1E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266B1E">
        <w:rPr>
          <w:rFonts w:ascii="Verdana" w:hAnsi="Verdana"/>
          <w:b/>
          <w:bCs/>
          <w:color w:val="333333"/>
          <w:sz w:val="24"/>
          <w:szCs w:val="24"/>
        </w:rPr>
        <w:t>Recalling Firm:</w:t>
      </w:r>
    </w:p>
    <w:p w14:paraId="38E913F1" w14:textId="77777777" w:rsidR="00266B1E" w:rsidRPr="00266B1E" w:rsidRDefault="00266B1E" w:rsidP="00266B1E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266B1E">
        <w:rPr>
          <w:rFonts w:ascii="Verdana" w:hAnsi="Verdana"/>
          <w:color w:val="333333"/>
          <w:sz w:val="24"/>
          <w:szCs w:val="24"/>
        </w:rPr>
        <w:t>Nostrum Laboratories, Inc.</w:t>
      </w:r>
      <w:r w:rsidRPr="00266B1E">
        <w:rPr>
          <w:rFonts w:ascii="Verdana" w:hAnsi="Verdana"/>
          <w:color w:val="333333"/>
          <w:sz w:val="24"/>
          <w:szCs w:val="24"/>
        </w:rPr>
        <w:br/>
        <w:t>705 E Mulberry St</w:t>
      </w:r>
      <w:r w:rsidRPr="00266B1E">
        <w:rPr>
          <w:rFonts w:ascii="Verdana" w:hAnsi="Verdana"/>
          <w:color w:val="333333"/>
          <w:sz w:val="24"/>
          <w:szCs w:val="24"/>
        </w:rPr>
        <w:br/>
        <w:t>Bryan, OH 43506-1432</w:t>
      </w:r>
      <w:r w:rsidRPr="00266B1E">
        <w:rPr>
          <w:rFonts w:ascii="Verdana" w:hAnsi="Verdana"/>
          <w:color w:val="333333"/>
          <w:sz w:val="24"/>
          <w:szCs w:val="24"/>
        </w:rPr>
        <w:br/>
        <w:t>United States</w:t>
      </w:r>
    </w:p>
    <w:p w14:paraId="60AECDC1" w14:textId="77777777" w:rsidR="00266B1E" w:rsidRPr="00266B1E" w:rsidRDefault="00266B1E" w:rsidP="00266B1E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266B1E">
        <w:rPr>
          <w:rFonts w:ascii="Verdana" w:hAnsi="Verdana"/>
          <w:b/>
          <w:bCs/>
          <w:color w:val="333333"/>
          <w:sz w:val="24"/>
          <w:szCs w:val="24"/>
        </w:rPr>
        <w:t>Press Release URL(s):</w:t>
      </w:r>
    </w:p>
    <w:p w14:paraId="2D1850B6" w14:textId="77777777" w:rsidR="00266B1E" w:rsidRPr="00266B1E" w:rsidRDefault="00266B1E" w:rsidP="00266B1E">
      <w:pPr>
        <w:shd w:val="clear" w:color="auto" w:fill="FFFFFF"/>
        <w:rPr>
          <w:rFonts w:ascii="Verdana" w:hAnsi="Verdana"/>
          <w:color w:val="333333"/>
          <w:sz w:val="24"/>
          <w:szCs w:val="24"/>
        </w:rPr>
      </w:pPr>
      <w:hyperlink r:id="rId12" w:tgtFrame="_blank" w:history="1">
        <w:r w:rsidRPr="00266B1E">
          <w:rPr>
            <w:rFonts w:ascii="Verdana" w:hAnsi="Verdana"/>
            <w:color w:val="005F9F"/>
            <w:sz w:val="24"/>
            <w:szCs w:val="24"/>
            <w:u w:val="single"/>
          </w:rPr>
          <w:t>07/11/2025</w:t>
        </w:r>
      </w:hyperlink>
    </w:p>
    <w:p w14:paraId="18DD29AA" w14:textId="77777777" w:rsidR="00266B1E" w:rsidRPr="00266B1E" w:rsidRDefault="00266B1E" w:rsidP="00266B1E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266B1E">
        <w:rPr>
          <w:rFonts w:ascii="Verdana" w:hAnsi="Verdana"/>
          <w:b/>
          <w:bCs/>
          <w:color w:val="333333"/>
          <w:sz w:val="24"/>
          <w:szCs w:val="24"/>
        </w:rPr>
        <w:t>Recall Initiation Date:</w:t>
      </w:r>
    </w:p>
    <w:p w14:paraId="77942689" w14:textId="77777777" w:rsidR="00266B1E" w:rsidRPr="00266B1E" w:rsidRDefault="00266B1E" w:rsidP="00266B1E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266B1E">
        <w:rPr>
          <w:rFonts w:ascii="Verdana" w:hAnsi="Verdana"/>
          <w:color w:val="333333"/>
          <w:sz w:val="24"/>
          <w:szCs w:val="24"/>
        </w:rPr>
        <w:t>7/11/2025</w:t>
      </w:r>
    </w:p>
    <w:p w14:paraId="0997566D" w14:textId="77777777" w:rsidR="00266B1E" w:rsidRPr="00266B1E" w:rsidRDefault="00266B1E" w:rsidP="00266B1E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266B1E">
        <w:rPr>
          <w:rFonts w:ascii="Verdana" w:hAnsi="Verdana"/>
          <w:b/>
          <w:bCs/>
          <w:color w:val="333333"/>
          <w:sz w:val="24"/>
          <w:szCs w:val="24"/>
        </w:rPr>
        <w:t>Center Classification Date:</w:t>
      </w:r>
    </w:p>
    <w:p w14:paraId="0DDB426E" w14:textId="77777777" w:rsidR="00266B1E" w:rsidRPr="00266B1E" w:rsidRDefault="00266B1E" w:rsidP="00266B1E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266B1E">
        <w:rPr>
          <w:rFonts w:ascii="Verdana" w:hAnsi="Verdana"/>
          <w:color w:val="333333"/>
          <w:sz w:val="24"/>
          <w:szCs w:val="24"/>
        </w:rPr>
        <w:t>7/31/2025</w:t>
      </w:r>
    </w:p>
    <w:p w14:paraId="2F903D98" w14:textId="77777777" w:rsidR="00266B1E" w:rsidRPr="00266B1E" w:rsidRDefault="00266B1E" w:rsidP="00266B1E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266B1E">
        <w:rPr>
          <w:rFonts w:ascii="Verdana" w:hAnsi="Verdana"/>
          <w:b/>
          <w:bCs/>
          <w:color w:val="333333"/>
          <w:sz w:val="24"/>
          <w:szCs w:val="24"/>
        </w:rPr>
        <w:t>Date Terminated:</w:t>
      </w:r>
    </w:p>
    <w:p w14:paraId="4B97BC92" w14:textId="77777777" w:rsidR="00266B1E" w:rsidRPr="00266B1E" w:rsidRDefault="00266B1E" w:rsidP="00266B1E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266B1E">
        <w:rPr>
          <w:rFonts w:ascii="Verdana" w:hAnsi="Verdana"/>
          <w:color w:val="333333"/>
          <w:sz w:val="24"/>
          <w:szCs w:val="24"/>
        </w:rPr>
        <w:t>N/A</w:t>
      </w:r>
    </w:p>
    <w:p w14:paraId="172A0A67" w14:textId="77777777" w:rsidR="00266B1E" w:rsidRPr="00266B1E" w:rsidRDefault="00266B1E" w:rsidP="00266B1E">
      <w:pPr>
        <w:shd w:val="clear" w:color="auto" w:fill="FFFFFF"/>
        <w:rPr>
          <w:rFonts w:ascii="Verdana" w:hAnsi="Verdana"/>
          <w:color w:val="333333"/>
          <w:sz w:val="24"/>
          <w:szCs w:val="24"/>
        </w:rPr>
      </w:pPr>
      <w:r w:rsidRPr="00266B1E">
        <w:rPr>
          <w:rFonts w:ascii="Verdana" w:hAnsi="Verdana"/>
          <w:b/>
          <w:bCs/>
          <w:color w:val="333333"/>
          <w:sz w:val="24"/>
          <w:szCs w:val="24"/>
        </w:rPr>
        <w:t>*N/A -</w:t>
      </w:r>
      <w:r w:rsidRPr="00266B1E">
        <w:rPr>
          <w:rFonts w:ascii="Verdana" w:hAnsi="Verdana"/>
          <w:i/>
          <w:iCs/>
          <w:color w:val="333333"/>
          <w:sz w:val="24"/>
          <w:szCs w:val="24"/>
        </w:rPr>
        <w:t> Not Available</w:t>
      </w:r>
    </w:p>
    <w:p w14:paraId="42DDD155" w14:textId="77777777" w:rsidR="00266B1E" w:rsidRPr="00266B1E" w:rsidRDefault="00266B1E" w:rsidP="00266B1E">
      <w:pPr>
        <w:shd w:val="clear" w:color="auto" w:fill="FFFFFF"/>
        <w:rPr>
          <w:rFonts w:ascii="Verdana" w:hAnsi="Verdana"/>
          <w:color w:val="333333"/>
          <w:sz w:val="24"/>
          <w:szCs w:val="24"/>
        </w:rPr>
      </w:pPr>
      <w:r w:rsidRPr="00266B1E">
        <w:rPr>
          <w:rFonts w:ascii="Verdana" w:hAnsi="Verdana"/>
          <w:color w:val="333333"/>
          <w:sz w:val="24"/>
          <w:szCs w:val="24"/>
        </w:rPr>
        <w:t>Product Details</w:t>
      </w:r>
    </w:p>
    <w:tbl>
      <w:tblPr>
        <w:tblW w:w="5000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14"/>
        <w:gridCol w:w="1606"/>
        <w:gridCol w:w="1132"/>
        <w:gridCol w:w="1730"/>
        <w:gridCol w:w="1592"/>
        <w:gridCol w:w="1206"/>
        <w:gridCol w:w="1680"/>
      </w:tblGrid>
      <w:tr w:rsidR="00266B1E" w:rsidRPr="00266B1E" w14:paraId="21C081A0" w14:textId="77777777" w:rsidTr="0036498B">
        <w:trPr>
          <w:tblHeader/>
        </w:trPr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2B48165" w14:textId="77777777" w:rsidR="00266B1E" w:rsidRPr="00266B1E" w:rsidRDefault="00266B1E" w:rsidP="00266B1E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266B1E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#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D4DF86" w14:textId="77777777" w:rsidR="00266B1E" w:rsidRPr="00266B1E" w:rsidRDefault="00266B1E" w:rsidP="00266B1E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266B1E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Product Description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8FFDBC" w14:textId="77777777" w:rsidR="00266B1E" w:rsidRPr="00266B1E" w:rsidRDefault="00266B1E" w:rsidP="00266B1E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266B1E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Recall Number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05D80F" w14:textId="77777777" w:rsidR="00266B1E" w:rsidRPr="00266B1E" w:rsidRDefault="00266B1E" w:rsidP="00266B1E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266B1E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Classification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3E8B39" w14:textId="77777777" w:rsidR="00266B1E" w:rsidRPr="00266B1E" w:rsidRDefault="00266B1E" w:rsidP="00266B1E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266B1E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Code Information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6FC007" w14:textId="77777777" w:rsidR="00266B1E" w:rsidRPr="00266B1E" w:rsidRDefault="00266B1E" w:rsidP="00266B1E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266B1E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Product Quantity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26C0D6" w14:textId="77777777" w:rsidR="00266B1E" w:rsidRPr="00266B1E" w:rsidRDefault="00266B1E" w:rsidP="00266B1E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266B1E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Reason for Recall</w:t>
            </w:r>
          </w:p>
        </w:tc>
      </w:tr>
      <w:tr w:rsidR="00266B1E" w:rsidRPr="00266B1E" w14:paraId="67F8F940" w14:textId="77777777" w:rsidTr="0036498B"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98D38" w14:textId="77777777" w:rsidR="00266B1E" w:rsidRPr="00266B1E" w:rsidRDefault="00266B1E" w:rsidP="00266B1E">
            <w:pPr>
              <w:rPr>
                <w:rFonts w:ascii="Verdana" w:hAnsi="Verdana"/>
                <w:sz w:val="24"/>
                <w:szCs w:val="24"/>
              </w:rPr>
            </w:pPr>
            <w:r w:rsidRPr="00266B1E"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BA317" w14:textId="77777777" w:rsidR="00266B1E" w:rsidRPr="00266B1E" w:rsidRDefault="00266B1E" w:rsidP="00266B1E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266B1E">
              <w:rPr>
                <w:rFonts w:ascii="Verdana" w:hAnsi="Verdana"/>
                <w:sz w:val="24"/>
                <w:szCs w:val="24"/>
              </w:rPr>
              <w:t>Sucralfate Tablets, USP 1 gram, packaged in a) 100-count bottles NDC 29033-0003-01, and b) 500-count bottles, NDC 29033-0003-05), Rx Only, Manufactured by: Nostrum Laboratories, Inc., Kansas City, MO 64120.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C8C09" w14:textId="77777777" w:rsidR="00266B1E" w:rsidRPr="00266B1E" w:rsidRDefault="00266B1E" w:rsidP="00266B1E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266B1E">
              <w:rPr>
                <w:rFonts w:ascii="Verdana" w:hAnsi="Verdana"/>
                <w:sz w:val="24"/>
                <w:szCs w:val="24"/>
              </w:rPr>
              <w:t>D-0547-2025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51793" w14:textId="77777777" w:rsidR="00266B1E" w:rsidRPr="00266B1E" w:rsidRDefault="00266B1E" w:rsidP="00266B1E">
            <w:pPr>
              <w:rPr>
                <w:rFonts w:ascii="Verdana" w:hAnsi="Verdana"/>
                <w:sz w:val="24"/>
                <w:szCs w:val="24"/>
              </w:rPr>
            </w:pPr>
            <w:r w:rsidRPr="00266B1E">
              <w:rPr>
                <w:rFonts w:ascii="Verdana" w:hAnsi="Verdana"/>
                <w:sz w:val="24"/>
                <w:szCs w:val="24"/>
              </w:rPr>
              <w:t>Class II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6483B" w14:textId="77777777" w:rsidR="00266B1E" w:rsidRPr="00266B1E" w:rsidRDefault="00266B1E" w:rsidP="00266B1E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266B1E">
              <w:rPr>
                <w:rFonts w:ascii="Verdana" w:hAnsi="Verdana"/>
                <w:sz w:val="24"/>
                <w:szCs w:val="24"/>
              </w:rPr>
              <w:t>All Lots within expiry dates.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DD381" w14:textId="77777777" w:rsidR="00266B1E" w:rsidRPr="00266B1E" w:rsidRDefault="00266B1E" w:rsidP="00266B1E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266B1E">
              <w:rPr>
                <w:rFonts w:ascii="Verdana" w:hAnsi="Verdana"/>
                <w:sz w:val="24"/>
                <w:szCs w:val="24"/>
              </w:rPr>
              <w:t>60,608 bottles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7CE10" w14:textId="77777777" w:rsidR="00266B1E" w:rsidRPr="00266B1E" w:rsidRDefault="00266B1E" w:rsidP="00266B1E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266B1E">
              <w:rPr>
                <w:rFonts w:ascii="Verdana" w:hAnsi="Verdana"/>
                <w:sz w:val="24"/>
                <w:szCs w:val="24"/>
              </w:rPr>
              <w:t xml:space="preserve">CGMP Deviations: The recalling firm filed for Chapter 11 in September 2024. As a result, it cannot monitor the quality program and hence cannot </w:t>
            </w:r>
            <w:proofErr w:type="gramStart"/>
            <w:r w:rsidRPr="00266B1E">
              <w:rPr>
                <w:rFonts w:ascii="Verdana" w:hAnsi="Verdana"/>
                <w:sz w:val="24"/>
                <w:szCs w:val="24"/>
              </w:rPr>
              <w:t>assure</w:t>
            </w:r>
            <w:proofErr w:type="gramEnd"/>
            <w:r w:rsidRPr="00266B1E">
              <w:rPr>
                <w:rFonts w:ascii="Verdana" w:hAnsi="Verdana"/>
                <w:sz w:val="24"/>
                <w:szCs w:val="24"/>
              </w:rPr>
              <w:t xml:space="preserve"> that products meet the identity, strength, quality, and purity characteristics that they are purported or represented to possess, rendering the products adulterated.</w:t>
            </w:r>
          </w:p>
        </w:tc>
      </w:tr>
    </w:tbl>
    <w:p w14:paraId="557F0A5A" w14:textId="77777777" w:rsidR="00266B1E" w:rsidRPr="00266B1E" w:rsidRDefault="00266B1E" w:rsidP="00266B1E">
      <w:pPr>
        <w:shd w:val="clear" w:color="auto" w:fill="FFFFFF"/>
        <w:rPr>
          <w:rFonts w:ascii="Verdana" w:hAnsi="Verdana"/>
          <w:color w:val="333333"/>
          <w:sz w:val="24"/>
          <w:szCs w:val="24"/>
        </w:rPr>
      </w:pPr>
      <w:r w:rsidRPr="00266B1E">
        <w:rPr>
          <w:rFonts w:ascii="Verdana" w:hAnsi="Verdana"/>
          <w:color w:val="333333"/>
          <w:sz w:val="24"/>
          <w:szCs w:val="24"/>
        </w:rPr>
        <w:t>Update History</w:t>
      </w:r>
    </w:p>
    <w:p w14:paraId="0DE53AB1" w14:textId="77777777" w:rsidR="00B00875" w:rsidRPr="006B58EF" w:rsidRDefault="00B00875" w:rsidP="00B00875">
      <w:pPr>
        <w:jc w:val="right"/>
        <w:rPr>
          <w:rFonts w:ascii="Verdana" w:hAnsi="Verdana"/>
          <w:color w:val="000000"/>
          <w:sz w:val="24"/>
          <w:szCs w:val="24"/>
        </w:rPr>
      </w:pPr>
    </w:p>
    <w:p w14:paraId="36B399CE" w14:textId="3C866644" w:rsidR="00C44F42" w:rsidRPr="0025081D" w:rsidRDefault="0025081D" w:rsidP="00B00875">
      <w:pPr>
        <w:jc w:val="right"/>
        <w:rPr>
          <w:rStyle w:val="Hyperlink"/>
          <w:rFonts w:ascii="Verdana" w:hAnsi="Verdana"/>
          <w:sz w:val="24"/>
          <w:szCs w:val="24"/>
        </w:rPr>
      </w:pPr>
      <w:r>
        <w:rPr>
          <w:rFonts w:ascii="Verdana" w:hAnsi="Verdana"/>
          <w:color w:val="0000FF"/>
          <w:sz w:val="24"/>
          <w:szCs w:val="24"/>
          <w:u w:val="single"/>
        </w:rPr>
        <w:fldChar w:fldCharType="begin"/>
      </w:r>
      <w:r>
        <w:rPr>
          <w:rFonts w:ascii="Verdana" w:hAnsi="Verdana"/>
          <w:color w:val="0000FF"/>
          <w:sz w:val="24"/>
          <w:szCs w:val="24"/>
          <w:u w:val="single"/>
        </w:rPr>
        <w:instrText>HYPERLINK  \l "_top"</w:instrText>
      </w:r>
      <w:r>
        <w:rPr>
          <w:rFonts w:ascii="Verdana" w:hAnsi="Verdana"/>
          <w:color w:val="0000FF"/>
          <w:sz w:val="24"/>
          <w:szCs w:val="24"/>
          <w:u w:val="single"/>
        </w:rPr>
      </w:r>
      <w:r>
        <w:rPr>
          <w:rFonts w:ascii="Verdana" w:hAnsi="Verdana"/>
          <w:color w:val="0000FF"/>
          <w:sz w:val="24"/>
          <w:szCs w:val="24"/>
          <w:u w:val="single"/>
        </w:rPr>
        <w:fldChar w:fldCharType="separate"/>
      </w:r>
      <w:r w:rsidR="00C44F42" w:rsidRPr="0025081D">
        <w:rPr>
          <w:rStyle w:val="Hyperlink"/>
          <w:rFonts w:ascii="Verdana" w:hAnsi="Verdana"/>
          <w:sz w:val="24"/>
          <w:szCs w:val="24"/>
        </w:rPr>
        <w:t>Top of the Document</w:t>
      </w:r>
    </w:p>
    <w:p w14:paraId="2320419D" w14:textId="2FD6D7C4" w:rsidR="00C44F42" w:rsidRPr="006B58EF" w:rsidRDefault="0025081D" w:rsidP="00C44F42">
      <w:pPr>
        <w:jc w:val="center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FF"/>
          <w:sz w:val="24"/>
          <w:szCs w:val="24"/>
          <w:u w:val="single"/>
        </w:rPr>
        <w:fldChar w:fldCharType="end"/>
      </w:r>
      <w:r w:rsidR="00C44F42" w:rsidRPr="006B58EF">
        <w:rPr>
          <w:rFonts w:ascii="Verdana" w:hAnsi="Verdana"/>
          <w:color w:val="000000"/>
          <w:sz w:val="16"/>
          <w:szCs w:val="16"/>
        </w:rPr>
        <w:t> </w:t>
      </w:r>
    </w:p>
    <w:p w14:paraId="2781EC58" w14:textId="77777777" w:rsidR="00C44F42" w:rsidRPr="006B58EF" w:rsidRDefault="00C44F42" w:rsidP="00C44F42">
      <w:pPr>
        <w:jc w:val="center"/>
        <w:rPr>
          <w:rFonts w:ascii="Verdana" w:hAnsi="Verdana"/>
          <w:color w:val="000000"/>
          <w:sz w:val="27"/>
          <w:szCs w:val="27"/>
        </w:rPr>
      </w:pPr>
      <w:r w:rsidRPr="006B58EF">
        <w:rPr>
          <w:rFonts w:ascii="Verdana" w:hAnsi="Verdana"/>
          <w:color w:val="000000"/>
          <w:sz w:val="16"/>
          <w:szCs w:val="16"/>
        </w:rPr>
        <w:t>Not to Be Reproduced or Disclosed to Others without Prior Written Approval</w:t>
      </w:r>
    </w:p>
    <w:p w14:paraId="12F6619C" w14:textId="6FBE8A3B" w:rsidR="0035044A" w:rsidRPr="006B58EF" w:rsidRDefault="00C44F42" w:rsidP="00B00875">
      <w:pPr>
        <w:jc w:val="center"/>
        <w:rPr>
          <w:rFonts w:ascii="Verdana" w:hAnsi="Verdana"/>
          <w:color w:val="000000"/>
          <w:sz w:val="27"/>
          <w:szCs w:val="27"/>
        </w:rPr>
      </w:pPr>
      <w:r w:rsidRPr="006B58EF">
        <w:rPr>
          <w:rFonts w:ascii="Verdana" w:hAnsi="Verdana"/>
          <w:b/>
          <w:bCs/>
          <w:color w:val="000000"/>
          <w:sz w:val="16"/>
          <w:szCs w:val="16"/>
        </w:rPr>
        <w:t>ELECTRONIC DATA = OFFICIAL VERSION / PAPER COPY = INFORMATIONAL ONLY</w:t>
      </w:r>
    </w:p>
    <w:sectPr w:rsidR="0035044A" w:rsidRPr="006B58EF" w:rsidSect="0053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543ACB" w14:textId="77777777" w:rsidR="00F176EA" w:rsidRDefault="00F176EA" w:rsidP="003C441C">
      <w:r>
        <w:separator/>
      </w:r>
    </w:p>
  </w:endnote>
  <w:endnote w:type="continuationSeparator" w:id="0">
    <w:p w14:paraId="002E60A2" w14:textId="77777777" w:rsidR="00F176EA" w:rsidRDefault="00F176EA" w:rsidP="003C4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22EA17" w14:textId="77777777" w:rsidR="00F176EA" w:rsidRDefault="00F176EA" w:rsidP="003C441C">
      <w:r>
        <w:separator/>
      </w:r>
    </w:p>
  </w:footnote>
  <w:footnote w:type="continuationSeparator" w:id="0">
    <w:p w14:paraId="372634D7" w14:textId="77777777" w:rsidR="00F176EA" w:rsidRDefault="00F176EA" w:rsidP="003C44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47514"/>
    <w:multiLevelType w:val="multilevel"/>
    <w:tmpl w:val="91BE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473A29"/>
    <w:multiLevelType w:val="hybridMultilevel"/>
    <w:tmpl w:val="0362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7560C"/>
    <w:multiLevelType w:val="hybridMultilevel"/>
    <w:tmpl w:val="C460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B4D08"/>
    <w:multiLevelType w:val="hybridMultilevel"/>
    <w:tmpl w:val="2310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10559"/>
    <w:multiLevelType w:val="hybridMultilevel"/>
    <w:tmpl w:val="BEEA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292690">
    <w:abstractNumId w:val="4"/>
  </w:num>
  <w:num w:numId="2" w16cid:durableId="2017150499">
    <w:abstractNumId w:val="1"/>
  </w:num>
  <w:num w:numId="3" w16cid:durableId="1753620875">
    <w:abstractNumId w:val="3"/>
  </w:num>
  <w:num w:numId="4" w16cid:durableId="339627013">
    <w:abstractNumId w:val="0"/>
  </w:num>
  <w:num w:numId="5" w16cid:durableId="88042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91"/>
    <w:rsid w:val="00003B51"/>
    <w:rsid w:val="00007E41"/>
    <w:rsid w:val="00023A23"/>
    <w:rsid w:val="0004455E"/>
    <w:rsid w:val="00060A92"/>
    <w:rsid w:val="00080876"/>
    <w:rsid w:val="000E08EB"/>
    <w:rsid w:val="0013125D"/>
    <w:rsid w:val="001E7F91"/>
    <w:rsid w:val="00207541"/>
    <w:rsid w:val="0025081D"/>
    <w:rsid w:val="00266B1E"/>
    <w:rsid w:val="00272109"/>
    <w:rsid w:val="002B6184"/>
    <w:rsid w:val="002F2689"/>
    <w:rsid w:val="0035044A"/>
    <w:rsid w:val="00360607"/>
    <w:rsid w:val="003C441C"/>
    <w:rsid w:val="003F12F1"/>
    <w:rsid w:val="003F2D34"/>
    <w:rsid w:val="004747D1"/>
    <w:rsid w:val="00487A3D"/>
    <w:rsid w:val="004E7E59"/>
    <w:rsid w:val="005338B7"/>
    <w:rsid w:val="0053740B"/>
    <w:rsid w:val="005810FB"/>
    <w:rsid w:val="005B40FF"/>
    <w:rsid w:val="005D64BE"/>
    <w:rsid w:val="0062011C"/>
    <w:rsid w:val="00625546"/>
    <w:rsid w:val="00633508"/>
    <w:rsid w:val="006B58EF"/>
    <w:rsid w:val="006C4FDE"/>
    <w:rsid w:val="00706567"/>
    <w:rsid w:val="00741EA4"/>
    <w:rsid w:val="007610C5"/>
    <w:rsid w:val="00790B00"/>
    <w:rsid w:val="007B2EB4"/>
    <w:rsid w:val="00825189"/>
    <w:rsid w:val="00832CFE"/>
    <w:rsid w:val="00856633"/>
    <w:rsid w:val="00856683"/>
    <w:rsid w:val="00863031"/>
    <w:rsid w:val="00883873"/>
    <w:rsid w:val="00886613"/>
    <w:rsid w:val="00892912"/>
    <w:rsid w:val="008A1165"/>
    <w:rsid w:val="008A154C"/>
    <w:rsid w:val="00960AB3"/>
    <w:rsid w:val="009E7878"/>
    <w:rsid w:val="009F5471"/>
    <w:rsid w:val="00A3671A"/>
    <w:rsid w:val="00A611B9"/>
    <w:rsid w:val="00AE4F03"/>
    <w:rsid w:val="00B00875"/>
    <w:rsid w:val="00B51DD4"/>
    <w:rsid w:val="00C44F42"/>
    <w:rsid w:val="00DA689D"/>
    <w:rsid w:val="00DC1791"/>
    <w:rsid w:val="00EE60ED"/>
    <w:rsid w:val="00F176EA"/>
    <w:rsid w:val="00F44044"/>
    <w:rsid w:val="00F9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45F739"/>
  <w15:chartTrackingRefBased/>
  <w15:docId w15:val="{8CC99941-A882-40FF-BF76-B6ED53A5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F91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1E7F91"/>
    <w:pPr>
      <w:keepNext/>
      <w:outlineLvl w:val="0"/>
    </w:pPr>
    <w:rPr>
      <w:rFonts w:ascii="Arial Narrow" w:hAnsi="Arial Narrow" w:cs="Arial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E7F91"/>
    <w:pPr>
      <w:keepNext/>
      <w:ind w:left="720" w:hanging="720"/>
      <w:outlineLvl w:val="1"/>
    </w:pPr>
    <w:rPr>
      <w:rFonts w:ascii="Arial Narrow" w:hAnsi="Arial Narrow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4BE"/>
    <w:pPr>
      <w:keepNext/>
      <w:spacing w:before="240" w:after="60"/>
      <w:outlineLvl w:val="2"/>
    </w:pPr>
    <w:rPr>
      <w:rFonts w:ascii="Aptos Display" w:hAnsi="Aptos Display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E7F91"/>
    <w:rPr>
      <w:rFonts w:ascii="Arial Narrow" w:eastAsia="Times New Roman" w:hAnsi="Arial Narrow" w:cs="Arial"/>
      <w:b/>
      <w:sz w:val="28"/>
      <w:szCs w:val="28"/>
    </w:rPr>
  </w:style>
  <w:style w:type="character" w:customStyle="1" w:styleId="Heading2Char">
    <w:name w:val="Heading 2 Char"/>
    <w:link w:val="Heading2"/>
    <w:rsid w:val="001E7F91"/>
    <w:rPr>
      <w:rFonts w:ascii="Arial Narrow" w:eastAsia="Times New Roman" w:hAnsi="Arial Narrow" w:cs="Arial"/>
      <w:b/>
      <w:sz w:val="24"/>
      <w:szCs w:val="24"/>
    </w:rPr>
  </w:style>
  <w:style w:type="character" w:styleId="Hyperlink">
    <w:name w:val="Hyperlink"/>
    <w:rsid w:val="001E7F91"/>
    <w:rPr>
      <w:color w:val="0000FF"/>
      <w:u w:val="single"/>
    </w:rPr>
  </w:style>
  <w:style w:type="paragraph" w:customStyle="1" w:styleId="pagetitle">
    <w:name w:val="pagetitle"/>
    <w:basedOn w:val="Normal"/>
    <w:rsid w:val="001E7F91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BodyText2">
    <w:name w:val="Body Text 2"/>
    <w:basedOn w:val="Normal"/>
    <w:link w:val="BodyText2Char"/>
    <w:rsid w:val="001E7F9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2Char">
    <w:name w:val="Body Text 2 Char"/>
    <w:link w:val="BodyText2"/>
    <w:rsid w:val="001E7F91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1E7F91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sid w:val="001E7F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D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51DD4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4E7E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E59"/>
  </w:style>
  <w:style w:type="character" w:customStyle="1" w:styleId="CommentTextChar">
    <w:name w:val="Comment Text Char"/>
    <w:link w:val="CommentText"/>
    <w:uiPriority w:val="99"/>
    <w:semiHidden/>
    <w:rsid w:val="004E7E59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E5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7E59"/>
    <w:rPr>
      <w:rFonts w:ascii="Times New Roman" w:eastAsia="Times New Roman" w:hAnsi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88661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86613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8661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86613"/>
    <w:rPr>
      <w:rFonts w:ascii="Times New Roman" w:eastAsia="Times New Roman" w:hAnsi="Times New Roman"/>
    </w:rPr>
  </w:style>
  <w:style w:type="character" w:styleId="UnresolvedMention">
    <w:name w:val="Unresolved Mention"/>
    <w:uiPriority w:val="99"/>
    <w:semiHidden/>
    <w:unhideWhenUsed/>
    <w:rsid w:val="005338B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0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5D64BE"/>
    <w:rPr>
      <w:rFonts w:ascii="Aptos Display" w:eastAsia="Times New Roman" w:hAnsi="Aptos Display" w:cs="Times New Roman"/>
      <w:b/>
      <w:bCs/>
      <w:sz w:val="26"/>
      <w:szCs w:val="26"/>
    </w:rPr>
  </w:style>
  <w:style w:type="paragraph" w:styleId="Revision">
    <w:name w:val="Revision"/>
    <w:hidden/>
    <w:uiPriority w:val="99"/>
    <w:semiHidden/>
    <w:rsid w:val="005D64BE"/>
    <w:rPr>
      <w:rFonts w:ascii="Times New Roman" w:eastAsia="Times New Roman" w:hAnsi="Times New Roman"/>
    </w:rPr>
  </w:style>
  <w:style w:type="paragraph" w:styleId="NoSpacing">
    <w:name w:val="No Spacing"/>
    <w:uiPriority w:val="1"/>
    <w:qFormat/>
    <w:rsid w:val="004747D1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6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0793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852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1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" w:space="8" w:color="333333"/>
                                <w:right w:val="none" w:sz="0" w:space="0" w:color="auto"/>
                              </w:divBdr>
                              <w:divsChild>
                                <w:div w:id="2256465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396477">
                                  <w:marLeft w:val="0"/>
                                  <w:marRight w:val="15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38705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866563">
                                  <w:marLeft w:val="0"/>
                                  <w:marRight w:val="0"/>
                                  <w:marTop w:val="36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8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5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1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2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0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97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9843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409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85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21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" w:space="8" w:color="333333"/>
                                <w:right w:val="none" w:sz="0" w:space="0" w:color="auto"/>
                              </w:divBdr>
                              <w:divsChild>
                                <w:div w:id="223564253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929888">
                                  <w:marLeft w:val="0"/>
                                  <w:marRight w:val="15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33928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046813">
                                  <w:marLeft w:val="0"/>
                                  <w:marRight w:val="0"/>
                                  <w:marTop w:val="36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fda.gov/safety/recalls-market-withdrawals-safety-alerts/nostrum-laboratories-inc-issues-voluntary-nationwide-recall-sucralfate-tablets-usp-1-gram-withi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fda.gov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916F5824FC684A9A94B82E20C914A5" ma:contentTypeVersion="12" ma:contentTypeDescription="Create a new document." ma:contentTypeScope="" ma:versionID="6ea562903be5fee436b879008b29869a">
  <xsd:schema xmlns:xsd="http://www.w3.org/2001/XMLSchema" xmlns:xs="http://www.w3.org/2001/XMLSchema" xmlns:p="http://schemas.microsoft.com/office/2006/metadata/properties" xmlns:ns2="2c2c74b3-f0f6-4caa-b5a8-52f81b9523dd" xmlns:ns3="52e8c891-07ba-4427-9014-98527c69fb62" targetNamespace="http://schemas.microsoft.com/office/2006/metadata/properties" ma:root="true" ma:fieldsID="dfb5ef70f964b2456e1cc145986945d1" ns2:_="" ns3:_="">
    <xsd:import namespace="2c2c74b3-f0f6-4caa-b5a8-52f81b9523dd"/>
    <xsd:import namespace="52e8c891-07ba-4427-9014-98527c69fb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c74b3-f0f6-4caa-b5a8-52f81b9523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8c891-07ba-4427-9014-98527c69fb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7CD9BF71-8D62-4FE1-AF23-11DF7AA37E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08D4E3-D608-484C-83C0-02B1CBADF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D53764-77B1-4F02-9AD1-5B20747FE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2c74b3-f0f6-4caa-b5a8-52f81b9523dd"/>
    <ds:schemaRef ds:uri="52e8c891-07ba-4427-9014-98527c69fb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B0175B-F6C8-48E4-A368-F05371804D34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Links>
    <vt:vector size="18" baseType="variant">
      <vt:variant>
        <vt:i4>262192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3997813</vt:i4>
      </vt:variant>
      <vt:variant>
        <vt:i4>3</vt:i4>
      </vt:variant>
      <vt:variant>
        <vt:i4>0</vt:i4>
      </vt:variant>
      <vt:variant>
        <vt:i4>5</vt:i4>
      </vt:variant>
      <vt:variant>
        <vt:lpwstr>http://www.fda.gov/</vt:lpwstr>
      </vt:variant>
      <vt:variant>
        <vt:lpwstr/>
      </vt:variant>
      <vt:variant>
        <vt:i4>1245245</vt:i4>
      </vt:variant>
      <vt:variant>
        <vt:i4>0</vt:i4>
      </vt:variant>
      <vt:variant>
        <vt:i4>0</vt:i4>
      </vt:variant>
      <vt:variant>
        <vt:i4>5</vt:i4>
      </vt:variant>
      <vt:variant>
        <vt:lpwstr>mailto:recalls@bbraunusa.com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Dumitres, Barbara A</cp:lastModifiedBy>
  <cp:revision>2</cp:revision>
  <dcterms:created xsi:type="dcterms:W3CDTF">2025-08-07T17:07:00Z</dcterms:created>
  <dcterms:modified xsi:type="dcterms:W3CDTF">2025-08-07T17:07:00Z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Ellenberger, Morgan A;Mioducki, Laurie A;Wolfe, Courtney;Medley, Kelly;Facemyer, Nikol</vt:lpwstr>
  </property>
  <property fmtid="{D5CDD505-2E9C-101B-9397-08002B2CF9AE}" pid="3" name="SharedWithUsers">
    <vt:lpwstr>141;#Ellenberger, Morgan A;#142;#Mioducki, Laurie A;#143;#Wolfe, Courtney;#144;#Medley, Kelly;#145;#Facemyer, Nikol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2022-01-12T19:40:47Z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e94cb615-3de0-4e80-9d8c-427c600127be</vt:lpwstr>
  </property>
  <property fmtid="{D5CDD505-2E9C-101B-9397-08002B2CF9AE}" pid="10" name="MSIP_Label_67599526-06ca-49cc-9fa9-5307800a949a_ContentBits">
    <vt:lpwstr>0</vt:lpwstr>
  </property>
</Properties>
</file>