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21DD" w14:textId="77777777" w:rsidR="00F27518" w:rsidRDefault="00CF5C4A" w:rsidP="000D63DB">
      <w:pPr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End w:id="0"/>
      <w:r w:rsidRPr="00CF5C4A">
        <w:rPr>
          <w:rFonts w:ascii="Verdana" w:hAnsi="Verdana" w:cs="Arial"/>
          <w:b/>
          <w:color w:val="000000"/>
          <w:sz w:val="36"/>
          <w:szCs w:val="36"/>
        </w:rPr>
        <w:t>Using Universal IDs for Test Claims in PeopleSafe</w:t>
      </w:r>
    </w:p>
    <w:p w14:paraId="00020490" w14:textId="77777777" w:rsidR="00CF5C4A" w:rsidRDefault="00CF5C4A" w:rsidP="000D63DB">
      <w:pPr>
        <w:rPr>
          <w:rFonts w:ascii="Verdana" w:hAnsi="Verdana"/>
        </w:rPr>
      </w:pPr>
    </w:p>
    <w:p w14:paraId="6A77B7B4" w14:textId="0052BBE5" w:rsidR="00E9341D" w:rsidRDefault="00A31DF4">
      <w:pPr>
        <w:pStyle w:val="TOC2"/>
      </w:pPr>
      <w:hyperlink w:anchor="_Various_Work_Instructions" w:history="1">
        <w:r w:rsidR="00CF5C4A" w:rsidRPr="00A31DF4">
          <w:rPr>
            <w:rStyle w:val="Hyperlink"/>
          </w:rPr>
          <w:t>Process</w:t>
        </w:r>
      </w:hyperlink>
      <w:r w:rsidR="00CD7396">
        <w:fldChar w:fldCharType="begin"/>
      </w:r>
      <w:r w:rsidR="00CD7396">
        <w:instrText xml:space="preserve"> TOC \o "2-2" \n \p " " \h \z \u </w:instrText>
      </w:r>
      <w:r w:rsidR="00CD7396">
        <w:fldChar w:fldCharType="separate"/>
      </w:r>
    </w:p>
    <w:p w14:paraId="6948CD71" w14:textId="7BD47550" w:rsidR="00E9341D" w:rsidRDefault="00E9341D">
      <w:pPr>
        <w:pStyle w:val="TOC2"/>
        <w:rPr>
          <w:rFonts w:ascii="Calibri" w:hAnsi="Calibri"/>
          <w:color w:val="auto"/>
          <w:kern w:val="2"/>
          <w:sz w:val="22"/>
          <w:szCs w:val="22"/>
          <w:u w:val="none"/>
        </w:rPr>
      </w:pPr>
      <w:hyperlink w:anchor="_Toc179900494" w:history="1">
        <w:r w:rsidRPr="000F6E52">
          <w:rPr>
            <w:rStyle w:val="Hyperlink"/>
          </w:rPr>
          <w:t>Related Documents</w:t>
        </w:r>
      </w:hyperlink>
    </w:p>
    <w:p w14:paraId="0E809CDC" w14:textId="77777777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770E63E8" w14:textId="77777777" w:rsidR="000C2A30" w:rsidRDefault="000C2A30" w:rsidP="000D63DB">
      <w:pPr>
        <w:rPr>
          <w:rFonts w:ascii="Verdana" w:hAnsi="Verdana"/>
        </w:rPr>
      </w:pPr>
    </w:p>
    <w:p w14:paraId="7E1BC020" w14:textId="6B320F7B" w:rsidR="00300C93" w:rsidRDefault="00907E67" w:rsidP="004A58FE">
      <w:pPr>
        <w:rPr>
          <w:rStyle w:val="Hyperlink"/>
          <w:rFonts w:ascii="Verdana" w:hAnsi="Verdana"/>
        </w:rPr>
      </w:pPr>
      <w:bookmarkStart w:id="1" w:name="_Overview"/>
      <w:bookmarkEnd w:id="1"/>
      <w:r>
        <w:rPr>
          <w:rFonts w:ascii="Verdana" w:hAnsi="Verdana"/>
          <w:b/>
        </w:rPr>
        <w:t>Description</w:t>
      </w:r>
      <w:proofErr w:type="gramStart"/>
      <w:r>
        <w:rPr>
          <w:rFonts w:ascii="Verdana" w:hAnsi="Verdana"/>
          <w:b/>
        </w:rPr>
        <w:t xml:space="preserve">: </w:t>
      </w:r>
      <w:r w:rsidR="00F5770B">
        <w:rPr>
          <w:rFonts w:ascii="Verdana" w:hAnsi="Verdana"/>
          <w:b/>
        </w:rPr>
        <w:t xml:space="preserve"> </w:t>
      </w: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  <w:r w:rsidR="003E63F2">
        <w:rPr>
          <w:rFonts w:ascii="Verdana" w:hAnsi="Verdana"/>
        </w:rPr>
        <w:t>P</w:t>
      </w:r>
      <w:r w:rsidR="004A58FE" w:rsidRPr="004A58FE">
        <w:rPr>
          <w:rFonts w:ascii="Verdana" w:hAnsi="Verdana"/>
        </w:rPr>
        <w:t>rovides</w:t>
      </w:r>
      <w:proofErr w:type="gramEnd"/>
      <w:r w:rsidR="004A58FE" w:rsidRPr="004A58FE">
        <w:rPr>
          <w:rFonts w:ascii="Verdana" w:hAnsi="Verdana"/>
        </w:rPr>
        <w:t xml:space="preserve"> a guideline for locating universal identification numbers (UIDs), the numbers used to run test claims to compare pricing for a new plan year.</w:t>
      </w:r>
    </w:p>
    <w:p w14:paraId="09A68DC7" w14:textId="77777777" w:rsidR="000C2A30" w:rsidRDefault="000C2A30" w:rsidP="000D63D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09297B5C" w14:textId="77777777" w:rsidTr="003F47A7">
        <w:tc>
          <w:tcPr>
            <w:tcW w:w="5000" w:type="pct"/>
            <w:shd w:val="clear" w:color="auto" w:fill="C0C0C0"/>
          </w:tcPr>
          <w:p w14:paraId="5599D266" w14:textId="77777777" w:rsidR="00300C93" w:rsidRPr="000D6356" w:rsidRDefault="004A58FE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Qualifying_the_Call"/>
            <w:bookmarkStart w:id="11" w:name="_Determining_if_an"/>
            <w:bookmarkStart w:id="12" w:name="_Toc179900493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Process</w:t>
            </w:r>
            <w:bookmarkEnd w:id="12"/>
            <w:r w:rsidR="00300C93" w:rsidRPr="000D6356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76E25E8" w14:textId="77777777" w:rsidR="003414D9" w:rsidRDefault="003F47A7" w:rsidP="00CF5C4A">
      <w:pPr>
        <w:spacing w:before="120" w:after="120"/>
        <w:rPr>
          <w:rFonts w:ascii="Verdana" w:hAnsi="Verdana"/>
        </w:rPr>
      </w:pPr>
      <w:r w:rsidRPr="003F47A7">
        <w:rPr>
          <w:rFonts w:ascii="Verdana" w:hAnsi="Verdana"/>
          <w:color w:val="000000"/>
        </w:rPr>
        <w:t>Perform the steps below to locate the UID for a plan: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6"/>
        <w:gridCol w:w="991"/>
        <w:gridCol w:w="11243"/>
      </w:tblGrid>
      <w:tr w:rsidR="009C4CF4" w:rsidRPr="00F55D9A" w14:paraId="4C58B6F2" w14:textId="77777777" w:rsidTr="00364C7B">
        <w:tc>
          <w:tcPr>
            <w:tcW w:w="1755" w:type="dxa"/>
            <w:shd w:val="clear" w:color="auto" w:fill="D9D9D9"/>
          </w:tcPr>
          <w:p w14:paraId="77B0F292" w14:textId="77777777" w:rsidR="00F55D9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3" w:name="_Adding_a_Plan"/>
            <w:bookmarkStart w:id="14" w:name="_Adding_a_PBO"/>
            <w:bookmarkEnd w:id="13"/>
            <w:bookmarkEnd w:id="14"/>
            <w:r>
              <w:rPr>
                <w:rFonts w:ascii="Verdana" w:hAnsi="Verdana"/>
                <w:b/>
              </w:rPr>
              <w:t>S</w:t>
            </w:r>
            <w:r w:rsidR="00F55D9A" w:rsidRPr="00F55D9A">
              <w:rPr>
                <w:rFonts w:ascii="Verdana" w:hAnsi="Verdana"/>
                <w:b/>
              </w:rPr>
              <w:t>tep</w:t>
            </w:r>
          </w:p>
        </w:tc>
        <w:tc>
          <w:tcPr>
            <w:tcW w:w="25874" w:type="dxa"/>
            <w:gridSpan w:val="2"/>
            <w:shd w:val="clear" w:color="auto" w:fill="D9D9D9"/>
          </w:tcPr>
          <w:p w14:paraId="5A56BB35" w14:textId="77777777" w:rsidR="00F55D9A" w:rsidRPr="00F55D9A" w:rsidRDefault="00F55D9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E4028B" w:rsidRPr="00F55D9A" w14:paraId="1C8E758F" w14:textId="77777777" w:rsidTr="00364C7B">
        <w:tc>
          <w:tcPr>
            <w:tcW w:w="1755" w:type="dxa"/>
            <w:vMerge w:val="restart"/>
          </w:tcPr>
          <w:p w14:paraId="026F41D4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1</w:t>
            </w:r>
          </w:p>
        </w:tc>
        <w:tc>
          <w:tcPr>
            <w:tcW w:w="25874" w:type="dxa"/>
            <w:gridSpan w:val="2"/>
          </w:tcPr>
          <w:p w14:paraId="013D0250" w14:textId="77777777" w:rsidR="00CF5C4A" w:rsidRPr="00F55D9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Follow the steps below:</w:t>
            </w:r>
          </w:p>
        </w:tc>
      </w:tr>
      <w:tr w:rsidR="001D3D68" w:rsidRPr="00F55D9A" w14:paraId="6A7C31E1" w14:textId="77777777" w:rsidTr="00364C7B">
        <w:tc>
          <w:tcPr>
            <w:tcW w:w="1755" w:type="dxa"/>
            <w:vMerge/>
          </w:tcPr>
          <w:p w14:paraId="2040A5CB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  <w:shd w:val="clear" w:color="auto" w:fill="D9D9D9"/>
          </w:tcPr>
          <w:p w14:paraId="6B2521F1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24577" w:type="dxa"/>
            <w:shd w:val="clear" w:color="auto" w:fill="D9D9D9"/>
          </w:tcPr>
          <w:p w14:paraId="0A93FDCC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A973BF" w:rsidRPr="00F55D9A" w14:paraId="4319407E" w14:textId="77777777" w:rsidTr="00364C7B">
        <w:tc>
          <w:tcPr>
            <w:tcW w:w="1755" w:type="dxa"/>
            <w:vMerge/>
          </w:tcPr>
          <w:p w14:paraId="39927C79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43BE11D6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24577" w:type="dxa"/>
          </w:tcPr>
          <w:p w14:paraId="6DBF1D73" w14:textId="77777777" w:rsidR="00CF5C4A" w:rsidRDefault="00CF5C4A" w:rsidP="00CF5C4A">
            <w:pPr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Search, find, and view the patient’s profile in PeopleSafe by accessing the main screen and search for the member using their name and date of birth. </w:t>
            </w:r>
          </w:p>
          <w:p w14:paraId="57D9B565" w14:textId="49F3AFD8" w:rsidR="00CF5C4A" w:rsidRPr="00CF5C4A" w:rsidRDefault="00F53C8D" w:rsidP="003E63F2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Specialty Pharmacy should r</w:t>
            </w:r>
            <w:r w:rsidR="00CF5C4A" w:rsidRPr="00CF5C4A">
              <w:rPr>
                <w:rFonts w:ascii="Verdana" w:hAnsi="Verdana"/>
              </w:rPr>
              <w:t>efer</w:t>
            </w:r>
            <w:r w:rsidR="00CF5C4A">
              <w:rPr>
                <w:rFonts w:ascii="Verdana" w:hAnsi="Verdana"/>
                <w:color w:val="0000FF"/>
              </w:rPr>
              <w:t xml:space="preserve"> </w:t>
            </w:r>
            <w:r w:rsidR="00E9341D" w:rsidRPr="003E63F2">
              <w:rPr>
                <w:rFonts w:ascii="Verdana" w:hAnsi="Verdana"/>
              </w:rPr>
              <w:t>to</w:t>
            </w:r>
            <w:r w:rsidR="00E9341D">
              <w:rPr>
                <w:rFonts w:ascii="Verdana" w:hAnsi="Verdana"/>
                <w:color w:val="0000FF"/>
              </w:rPr>
              <w:t xml:space="preserve"> </w:t>
            </w:r>
            <w:hyperlink r:id="rId12" w:anchor="!/view?docid=5d2b5483-f6de-41f2-b39f-c8d9bef6bba8" w:history="1">
              <w:r w:rsidR="00DF49ED" w:rsidRPr="003E63F2">
                <w:rPr>
                  <w:rStyle w:val="Hyperlink"/>
                  <w:rFonts w:ascii="Verdana" w:hAnsi="Verdana"/>
                </w:rPr>
                <w:t>Specialty PeopleSafe Overview for PSR</w:t>
              </w:r>
            </w:hyperlink>
            <w:r w:rsidR="00DF49ED">
              <w:rPr>
                <w:rFonts w:ascii="Verdana" w:hAnsi="Verdana"/>
              </w:rPr>
              <w:t xml:space="preserve"> </w:t>
            </w:r>
            <w:r w:rsidR="00CF5C4A" w:rsidRPr="00CF5C4A">
              <w:rPr>
                <w:rFonts w:ascii="Verdana" w:hAnsi="Verdana"/>
              </w:rPr>
              <w:t>for more information</w:t>
            </w:r>
            <w:r>
              <w:rPr>
                <w:rFonts w:ascii="Verdana" w:hAnsi="Verdana"/>
              </w:rPr>
              <w:t xml:space="preserve"> </w:t>
            </w:r>
            <w:r w:rsidR="00CF5C4A">
              <w:rPr>
                <w:rFonts w:ascii="Verdana" w:hAnsi="Verdana"/>
                <w:color w:val="0000FF"/>
              </w:rPr>
              <w:t>.</w:t>
            </w:r>
          </w:p>
          <w:p w14:paraId="5610BDD4" w14:textId="77777777" w:rsidR="00CF5C4A" w:rsidRDefault="00CF5C4A" w:rsidP="00CF5C4A">
            <w:pPr>
              <w:spacing w:before="120" w:after="120"/>
              <w:rPr>
                <w:rFonts w:ascii="Verdana" w:hAnsi="Verdana"/>
              </w:rPr>
            </w:pPr>
          </w:p>
          <w:p w14:paraId="5B4F5B8F" w14:textId="77777777" w:rsidR="00CF5C4A" w:rsidRPr="00CF5C4A" w:rsidRDefault="00CF5C4A" w:rsidP="00CF5C4A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CF5C4A">
              <w:rPr>
                <w:rFonts w:ascii="Verdana" w:hAnsi="Verdana"/>
                <w:b/>
                <w:bCs/>
              </w:rPr>
              <w:t>Notes:</w:t>
            </w:r>
          </w:p>
          <w:p w14:paraId="0E786C39" w14:textId="77777777" w:rsidR="00CF5C4A" w:rsidRDefault="00CF5C4A" w:rsidP="00CF5C4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When both last name and first name are entered on the main screen followed by an asterisk (*) an automatic wild card search will be performed. </w:t>
            </w:r>
          </w:p>
          <w:p w14:paraId="3CDC7011" w14:textId="77777777" w:rsidR="00CF5C4A" w:rsidRPr="00CF5C4A" w:rsidRDefault="00CF5C4A" w:rsidP="00CF5C4A">
            <w:pPr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This helps locate accounts with name spellings and/or honorifics such as Jr. or Sr. after the name.</w:t>
            </w:r>
          </w:p>
          <w:p w14:paraId="6FC42034" w14:textId="77777777" w:rsidR="00CF5C4A" w:rsidRPr="00CF5C4A" w:rsidRDefault="00CF5C4A" w:rsidP="00CF5C4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All Steps must be performed using Microsoft Edge.</w:t>
            </w:r>
          </w:p>
          <w:p w14:paraId="52145789" w14:textId="77777777" w:rsidR="00CF5C4A" w:rsidRDefault="00CF5C4A" w:rsidP="00CF5C4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The Primary Search (Plan member ID or Internal ID) and Secondary/Unique Searches are only used if the account cannot be located initially with name and date of birth search.</w:t>
            </w:r>
          </w:p>
          <w:p w14:paraId="716F0B4B" w14:textId="77777777" w:rsidR="00CF5C4A" w:rsidRDefault="00CF5C4A" w:rsidP="00CF5C4A">
            <w:pPr>
              <w:spacing w:before="120" w:after="120"/>
              <w:rPr>
                <w:rFonts w:ascii="Verdana" w:hAnsi="Verdana"/>
              </w:rPr>
            </w:pPr>
          </w:p>
          <w:p w14:paraId="4C1124FF" w14:textId="77777777" w:rsidR="00CF5C4A" w:rsidRPr="00CF5C4A" w:rsidRDefault="00CF5C4A" w:rsidP="00CF5C4A">
            <w:pPr>
              <w:jc w:val="center"/>
              <w:rPr>
                <w:color w:val="000000"/>
                <w:sz w:val="27"/>
                <w:szCs w:val="27"/>
              </w:rPr>
            </w:pPr>
            <w:r w:rsidRPr="00CF5C4A">
              <w:rPr>
                <w:rFonts w:ascii="Verdana" w:hAnsi="Verdana"/>
                <w:b/>
                <w:bCs/>
                <w:color w:val="000000"/>
              </w:rPr>
              <w:t>Example of a Good Search</w:t>
            </w:r>
            <w:r w:rsidRPr="00CF5C4A">
              <w:rPr>
                <w:rFonts w:ascii="Verdana" w:hAnsi="Verdana"/>
                <w:color w:val="000000"/>
              </w:rPr>
              <w:t>:</w:t>
            </w:r>
          </w:p>
          <w:p w14:paraId="48C52214" w14:textId="7CBCDB78" w:rsidR="00CF5C4A" w:rsidRDefault="00BD3A63" w:rsidP="00CF5C4A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C8852" wp14:editId="5146AA33">
                  <wp:extent cx="6390476" cy="514286"/>
                  <wp:effectExtent l="0" t="0" r="0" b="635"/>
                  <wp:docPr id="226533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5335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6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93221" w14:textId="77777777" w:rsidR="00CF5C4A" w:rsidRDefault="00CF5C4A" w:rsidP="00CF5C4A">
            <w:pPr>
              <w:spacing w:before="120" w:after="120"/>
              <w:jc w:val="center"/>
              <w:rPr>
                <w:noProof/>
              </w:rPr>
            </w:pPr>
          </w:p>
          <w:p w14:paraId="54C50629" w14:textId="0C34CAC0" w:rsidR="00CF5C4A" w:rsidRDefault="00F96C29" w:rsidP="00CF5C4A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2EBB5" wp14:editId="6829754A">
                  <wp:extent cx="5600000" cy="2590476"/>
                  <wp:effectExtent l="0" t="0" r="1270" b="635"/>
                  <wp:docPr id="945885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8855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A3B7F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973BF" w:rsidRPr="00F55D9A" w14:paraId="56EAF9E9" w14:textId="77777777" w:rsidTr="00364C7B">
        <w:tc>
          <w:tcPr>
            <w:tcW w:w="1755" w:type="dxa"/>
            <w:vMerge/>
          </w:tcPr>
          <w:p w14:paraId="3ACBF4F2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3D80B338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4577" w:type="dxa"/>
          </w:tcPr>
          <w:p w14:paraId="0D6833E1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Verify all patient details match what we have listed in </w:t>
            </w:r>
            <w:proofErr w:type="spellStart"/>
            <w:r w:rsidRPr="00CF5C4A">
              <w:rPr>
                <w:rFonts w:ascii="Verdana" w:hAnsi="Verdana"/>
              </w:rPr>
              <w:t>SPRx</w:t>
            </w:r>
            <w:proofErr w:type="spellEnd"/>
            <w:r w:rsidRPr="00CF5C4A">
              <w:rPr>
                <w:rFonts w:ascii="Verdana" w:hAnsi="Verdana"/>
              </w:rPr>
              <w:t>:</w:t>
            </w:r>
          </w:p>
          <w:p w14:paraId="719AEB9E" w14:textId="77777777" w:rsidR="00CF5C4A" w:rsidRPr="00CF5C4A" w:rsidRDefault="00CF5C4A" w:rsidP="00CF5C4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Patient Name </w:t>
            </w:r>
          </w:p>
          <w:p w14:paraId="5F4E0508" w14:textId="77777777" w:rsidR="00CF5C4A" w:rsidRPr="00CF5C4A" w:rsidRDefault="00CF5C4A" w:rsidP="00CF5C4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Date of Birth </w:t>
            </w:r>
          </w:p>
          <w:p w14:paraId="4F23EED4" w14:textId="77777777" w:rsidR="00CF5C4A" w:rsidRPr="00CF5C4A" w:rsidRDefault="00CF5C4A" w:rsidP="00CF5C4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Address </w:t>
            </w:r>
          </w:p>
          <w:p w14:paraId="308E1C93" w14:textId="77777777" w:rsidR="00CF5C4A" w:rsidRPr="00F55D9A" w:rsidRDefault="00CF5C4A" w:rsidP="00CF5C4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Phone Number</w:t>
            </w:r>
          </w:p>
        </w:tc>
      </w:tr>
      <w:tr w:rsidR="00A973BF" w:rsidRPr="00F55D9A" w14:paraId="10B44D39" w14:textId="77777777" w:rsidTr="00364C7B">
        <w:tc>
          <w:tcPr>
            <w:tcW w:w="1755" w:type="dxa"/>
            <w:vMerge/>
          </w:tcPr>
          <w:p w14:paraId="0F823691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117400C4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24577" w:type="dxa"/>
          </w:tcPr>
          <w:p w14:paraId="2A4E1980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Select from the list of members that display (bottom of screen).</w:t>
            </w:r>
          </w:p>
          <w:p w14:paraId="1135031E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  <w:b/>
                <w:bCs/>
              </w:rPr>
              <w:t>Note:</w:t>
            </w:r>
            <w:r w:rsidRPr="00CF5C4A">
              <w:rPr>
                <w:rFonts w:ascii="Verdana" w:hAnsi="Verdana"/>
              </w:rPr>
              <w:t xml:space="preserve"> If there are two or more profiles, review:</w:t>
            </w:r>
          </w:p>
          <w:p w14:paraId="39C5518B" w14:textId="4170D4BD" w:rsidR="00CF5C4A" w:rsidRPr="00CF5C4A" w:rsidRDefault="00CF5C4A" w:rsidP="00CF5C4A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The client </w:t>
            </w:r>
            <w:proofErr w:type="gramStart"/>
            <w:r w:rsidR="00DF49ED" w:rsidRPr="00CF5C4A">
              <w:rPr>
                <w:rFonts w:ascii="Verdana" w:hAnsi="Verdana"/>
              </w:rPr>
              <w:t>code</w:t>
            </w:r>
            <w:proofErr w:type="gramEnd"/>
            <w:r w:rsidR="00DF49ED" w:rsidRPr="00CF5C4A">
              <w:rPr>
                <w:rFonts w:ascii="Verdana" w:hAnsi="Verdana"/>
              </w:rPr>
              <w:t>.</w:t>
            </w:r>
            <w:r w:rsidRPr="00CF5C4A">
              <w:rPr>
                <w:rFonts w:ascii="Verdana" w:hAnsi="Verdana"/>
              </w:rPr>
              <w:t xml:space="preserve"> </w:t>
            </w:r>
          </w:p>
          <w:p w14:paraId="61D60B73" w14:textId="77777777" w:rsidR="00CF5C4A" w:rsidRPr="00CF5C4A" w:rsidRDefault="00CF5C4A" w:rsidP="00CF5C4A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The PBM field </w:t>
            </w:r>
          </w:p>
          <w:p w14:paraId="6B821F54" w14:textId="77777777" w:rsidR="00CF5C4A" w:rsidRDefault="00CF5C4A" w:rsidP="00CF5C4A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>The effective date and expiration date</w:t>
            </w:r>
          </w:p>
          <w:p w14:paraId="79F8D093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966895E" w14:textId="4C527B61" w:rsidR="00CF5C4A" w:rsidRDefault="002544C3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3540D5C" wp14:editId="1A914316">
                  <wp:extent cx="5619048" cy="3657143"/>
                  <wp:effectExtent l="0" t="0" r="1270" b="635"/>
                  <wp:docPr id="1881266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2660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3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BFA0" w14:textId="77777777" w:rsidR="00CF5C4A" w:rsidRPr="00F55D9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A973BF" w:rsidRPr="00F55D9A" w14:paraId="78922BAE" w14:textId="77777777" w:rsidTr="00364C7B">
        <w:tc>
          <w:tcPr>
            <w:tcW w:w="1755" w:type="dxa"/>
            <w:vMerge/>
          </w:tcPr>
          <w:p w14:paraId="70032CFD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44E1E956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24577" w:type="dxa"/>
          </w:tcPr>
          <w:p w14:paraId="29C152CC" w14:textId="77777777" w:rsidR="00CF5C4A" w:rsidRPr="00F55D9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Click on the appropriate profile to highlight then click </w:t>
            </w:r>
            <w:r w:rsidRPr="00CF5C4A">
              <w:rPr>
                <w:rFonts w:ascii="Verdana" w:hAnsi="Verdana"/>
                <w:b/>
                <w:bCs/>
              </w:rPr>
              <w:t>Select</w:t>
            </w:r>
            <w:r w:rsidRPr="00CF5C4A">
              <w:rPr>
                <w:rFonts w:ascii="Verdana" w:hAnsi="Verdana"/>
              </w:rPr>
              <w:t>.</w:t>
            </w:r>
          </w:p>
        </w:tc>
      </w:tr>
      <w:tr w:rsidR="004A58FE" w:rsidRPr="00F55D9A" w14:paraId="6189C813" w14:textId="77777777" w:rsidTr="00364C7B">
        <w:tc>
          <w:tcPr>
            <w:tcW w:w="1755" w:type="dxa"/>
          </w:tcPr>
          <w:p w14:paraId="1AA2AEAB" w14:textId="77777777" w:rsidR="00A41892" w:rsidRPr="00F55D9A" w:rsidRDefault="00BC34E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2</w:t>
            </w:r>
          </w:p>
        </w:tc>
        <w:tc>
          <w:tcPr>
            <w:tcW w:w="25874" w:type="dxa"/>
            <w:gridSpan w:val="2"/>
          </w:tcPr>
          <w:p w14:paraId="6E13A4B8" w14:textId="77777777" w:rsidR="00CF5C4A" w:rsidRP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</w:rPr>
              <w:t xml:space="preserve">The </w:t>
            </w:r>
            <w:r w:rsidRPr="00CF5C4A">
              <w:rPr>
                <w:rFonts w:ascii="Verdana" w:hAnsi="Verdana"/>
                <w:b/>
                <w:bCs/>
              </w:rPr>
              <w:t>Client ID</w:t>
            </w:r>
            <w:r w:rsidRPr="00CF5C4A">
              <w:rPr>
                <w:rFonts w:ascii="Verdana" w:hAnsi="Verdana"/>
              </w:rPr>
              <w:t xml:space="preserve"> can be used to initiate a search in </w:t>
            </w:r>
            <w:proofErr w:type="spellStart"/>
            <w:r w:rsidRPr="00CF5C4A">
              <w:rPr>
                <w:rFonts w:ascii="Verdana" w:hAnsi="Verdana"/>
              </w:rPr>
              <w:t>theSource</w:t>
            </w:r>
            <w:proofErr w:type="spellEnd"/>
            <w:r w:rsidRPr="00CF5C4A">
              <w:rPr>
                <w:rFonts w:ascii="Verdana" w:hAnsi="Verdana"/>
              </w:rPr>
              <w:t xml:space="preserve"> and is located on the top left of main screen of PeopleSafe, after accessing the profile.</w:t>
            </w:r>
          </w:p>
          <w:p w14:paraId="02A31571" w14:textId="77777777" w:rsidR="00A41892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CF5C4A">
              <w:rPr>
                <w:rFonts w:ascii="Verdana" w:hAnsi="Verdana"/>
                <w:b/>
                <w:bCs/>
              </w:rPr>
              <w:t>Example:</w:t>
            </w:r>
            <w:r w:rsidRPr="00CF5C4A">
              <w:rPr>
                <w:rFonts w:ascii="Verdana" w:hAnsi="Verdana"/>
              </w:rPr>
              <w:t xml:space="preserve"> </w:t>
            </w:r>
            <w:r w:rsidRPr="00CF5C4A">
              <w:rPr>
                <w:rFonts w:ascii="Verdana" w:hAnsi="Verdana"/>
                <w:b/>
                <w:bCs/>
              </w:rPr>
              <w:t>X63XX</w:t>
            </w:r>
            <w:r w:rsidRPr="00CF5C4A">
              <w:rPr>
                <w:rFonts w:ascii="Verdana" w:hAnsi="Verdana"/>
              </w:rPr>
              <w:t xml:space="preserve"> is the Client ID.</w:t>
            </w:r>
          </w:p>
          <w:p w14:paraId="457A476C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7F12DCFD" w14:textId="428D384C" w:rsidR="00CF5C4A" w:rsidRDefault="004777D4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596A6" wp14:editId="57612C61">
                  <wp:extent cx="9514286" cy="1571429"/>
                  <wp:effectExtent l="0" t="0" r="0" b="0"/>
                  <wp:docPr id="1381760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7601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286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4D631" w14:textId="77777777" w:rsidR="00CF5C4A" w:rsidRPr="00F55D9A" w:rsidRDefault="00CF5C4A" w:rsidP="00CF5C4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FB7669" w:rsidRPr="00F55D9A" w14:paraId="3780A1D5" w14:textId="77777777" w:rsidTr="00364C7B">
        <w:trPr>
          <w:trHeight w:val="25"/>
        </w:trPr>
        <w:tc>
          <w:tcPr>
            <w:tcW w:w="1755" w:type="dxa"/>
            <w:vMerge w:val="restart"/>
          </w:tcPr>
          <w:p w14:paraId="7DCD7C88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3</w:t>
            </w:r>
          </w:p>
        </w:tc>
        <w:tc>
          <w:tcPr>
            <w:tcW w:w="25874" w:type="dxa"/>
            <w:gridSpan w:val="2"/>
          </w:tcPr>
          <w:p w14:paraId="4F2F625E" w14:textId="77777777" w:rsidR="00CF5C4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CF5C4A">
              <w:rPr>
                <w:rFonts w:ascii="Verdana" w:hAnsi="Verdana"/>
                <w:color w:val="000000"/>
              </w:rPr>
              <w:t xml:space="preserve">Show the </w:t>
            </w:r>
            <w:r w:rsidRPr="00CF5C4A">
              <w:rPr>
                <w:rFonts w:ascii="Verdana" w:hAnsi="Verdana"/>
                <w:b/>
                <w:bCs/>
                <w:color w:val="000000"/>
              </w:rPr>
              <w:t>Open Enrollment</w:t>
            </w:r>
            <w:r w:rsidRPr="00CF5C4A">
              <w:rPr>
                <w:rFonts w:ascii="Verdana" w:hAnsi="Verdana"/>
                <w:color w:val="000000"/>
              </w:rPr>
              <w:t xml:space="preserve"> section of the plan’s page on </w:t>
            </w:r>
            <w:proofErr w:type="spellStart"/>
            <w:r w:rsidRPr="00CF5C4A">
              <w:rPr>
                <w:rFonts w:ascii="Verdana" w:hAnsi="Verdana"/>
                <w:color w:val="000000"/>
              </w:rPr>
              <w:t>theSource</w:t>
            </w:r>
            <w:proofErr w:type="spellEnd"/>
            <w:r w:rsidRPr="00CF5C4A">
              <w:rPr>
                <w:rFonts w:ascii="Verdana" w:hAnsi="Verdana"/>
                <w:color w:val="000000"/>
              </w:rPr>
              <w:t>.</w:t>
            </w:r>
          </w:p>
          <w:p w14:paraId="67DD9ED1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3C229CA1" w14:textId="6F9871D8" w:rsidR="00FB7669" w:rsidRDefault="00B718E5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544C20" wp14:editId="2AF94DC1">
                  <wp:extent cx="8733333" cy="2657143"/>
                  <wp:effectExtent l="0" t="0" r="0" b="0"/>
                  <wp:docPr id="1391981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9813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3333" cy="2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FAB20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1DB4ADEA" w14:textId="77777777" w:rsidR="00CF5C4A" w:rsidRPr="00F55D9A" w:rsidRDefault="00CF5C4A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Follow the steps below:</w:t>
            </w:r>
          </w:p>
        </w:tc>
      </w:tr>
      <w:tr w:rsidR="001D3D68" w:rsidRPr="00F55D9A" w14:paraId="3DA29056" w14:textId="77777777" w:rsidTr="00364C7B">
        <w:trPr>
          <w:trHeight w:val="25"/>
        </w:trPr>
        <w:tc>
          <w:tcPr>
            <w:tcW w:w="1755" w:type="dxa"/>
            <w:vMerge/>
          </w:tcPr>
          <w:p w14:paraId="5CCD2837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  <w:shd w:val="clear" w:color="auto" w:fill="D9D9D9"/>
          </w:tcPr>
          <w:p w14:paraId="458CBCE4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Step</w:t>
            </w:r>
          </w:p>
        </w:tc>
        <w:tc>
          <w:tcPr>
            <w:tcW w:w="24577" w:type="dxa"/>
            <w:shd w:val="clear" w:color="auto" w:fill="D9D9D9"/>
          </w:tcPr>
          <w:p w14:paraId="43375AC8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Action</w:t>
            </w:r>
          </w:p>
        </w:tc>
      </w:tr>
      <w:tr w:rsidR="00A973BF" w:rsidRPr="00F55D9A" w14:paraId="7954F6AC" w14:textId="77777777" w:rsidTr="00364C7B">
        <w:trPr>
          <w:trHeight w:val="25"/>
        </w:trPr>
        <w:tc>
          <w:tcPr>
            <w:tcW w:w="1755" w:type="dxa"/>
            <w:vMerge/>
          </w:tcPr>
          <w:p w14:paraId="2087F961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1B76B251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1</w:t>
            </w:r>
          </w:p>
        </w:tc>
        <w:tc>
          <w:tcPr>
            <w:tcW w:w="24577" w:type="dxa"/>
          </w:tcPr>
          <w:p w14:paraId="33A38A1E" w14:textId="77777777" w:rsidR="00CF5C4A" w:rsidRDefault="004A58FE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S</w:t>
            </w:r>
            <w:r w:rsidR="00FB7669" w:rsidRPr="00FB7669">
              <w:rPr>
                <w:rFonts w:ascii="Verdana" w:hAnsi="Verdana"/>
                <w:color w:val="000000"/>
              </w:rPr>
              <w:t>earch</w:t>
            </w:r>
            <w:proofErr w:type="gramEnd"/>
            <w:r w:rsidR="00FB7669" w:rsidRPr="00FB7669">
              <w:rPr>
                <w:rFonts w:ascii="Verdana" w:hAnsi="Verdana"/>
                <w:color w:val="000000"/>
              </w:rPr>
              <w:t xml:space="preserve"> the </w:t>
            </w:r>
            <w:r w:rsidR="00FB7669" w:rsidRPr="00FB7669">
              <w:rPr>
                <w:rFonts w:ascii="Verdana" w:hAnsi="Verdana"/>
                <w:b/>
                <w:bCs/>
                <w:color w:val="000000"/>
              </w:rPr>
              <w:t>Client ID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4A58FE">
              <w:rPr>
                <w:rFonts w:ascii="Verdana" w:hAnsi="Verdana"/>
                <w:color w:val="000000"/>
              </w:rPr>
              <w:t xml:space="preserve">on </w:t>
            </w:r>
            <w:proofErr w:type="spellStart"/>
            <w:r w:rsidRPr="004A58FE">
              <w:rPr>
                <w:rFonts w:ascii="Verdana" w:hAnsi="Verdana"/>
                <w:color w:val="000000"/>
              </w:rPr>
              <w:t>theSource</w:t>
            </w:r>
            <w:proofErr w:type="spellEnd"/>
            <w:r w:rsidR="00FB7669" w:rsidRPr="00FB7669">
              <w:rPr>
                <w:rFonts w:ascii="Verdana" w:hAnsi="Verdana"/>
                <w:color w:val="000000"/>
              </w:rPr>
              <w:t>.</w:t>
            </w:r>
          </w:p>
          <w:p w14:paraId="23F67FAF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428D2DCC" w14:textId="398F3C70" w:rsidR="00FB7669" w:rsidRDefault="00B718E5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E5AD2" wp14:editId="0CBF04BB">
                  <wp:extent cx="3780952" cy="704762"/>
                  <wp:effectExtent l="0" t="0" r="0" b="635"/>
                  <wp:docPr id="43477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79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2C10D" w14:textId="77777777" w:rsidR="00FB7669" w:rsidRPr="00CF5C4A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973BF" w:rsidRPr="00F55D9A" w14:paraId="72183EAA" w14:textId="77777777" w:rsidTr="00364C7B">
        <w:trPr>
          <w:trHeight w:val="25"/>
        </w:trPr>
        <w:tc>
          <w:tcPr>
            <w:tcW w:w="1755" w:type="dxa"/>
            <w:vMerge/>
          </w:tcPr>
          <w:p w14:paraId="4B88145A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3E81A1E1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2</w:t>
            </w:r>
          </w:p>
        </w:tc>
        <w:tc>
          <w:tcPr>
            <w:tcW w:w="24577" w:type="dxa"/>
          </w:tcPr>
          <w:p w14:paraId="0E2BFEC5" w14:textId="77777777" w:rsidR="00CF5C4A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color w:val="000000"/>
              </w:rPr>
              <w:t xml:space="preserve">Select the </w:t>
            </w:r>
            <w:r w:rsidRPr="00FB7669">
              <w:rPr>
                <w:rFonts w:ascii="Verdana" w:hAnsi="Verdana"/>
                <w:b/>
                <w:bCs/>
                <w:color w:val="000000"/>
              </w:rPr>
              <w:t>Client</w:t>
            </w:r>
            <w:r w:rsidRPr="00FB7669">
              <w:rPr>
                <w:rFonts w:ascii="Verdana" w:hAnsi="Verdana"/>
                <w:color w:val="000000"/>
              </w:rPr>
              <w:t xml:space="preserve"> filter.</w:t>
            </w:r>
          </w:p>
          <w:p w14:paraId="48D990BA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5D91FC25" w14:textId="29FF768A" w:rsidR="00FB7669" w:rsidRDefault="00C16A3A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35DCF" wp14:editId="0CE2983B">
                  <wp:extent cx="6238095" cy="723810"/>
                  <wp:effectExtent l="0" t="0" r="0" b="635"/>
                  <wp:docPr id="2129192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925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5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309B5" w14:textId="77777777" w:rsidR="00FB7669" w:rsidRPr="00CF5C4A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973BF" w:rsidRPr="00F55D9A" w14:paraId="68B427B4" w14:textId="77777777" w:rsidTr="00364C7B">
        <w:trPr>
          <w:trHeight w:val="25"/>
        </w:trPr>
        <w:tc>
          <w:tcPr>
            <w:tcW w:w="1755" w:type="dxa"/>
            <w:vMerge/>
          </w:tcPr>
          <w:p w14:paraId="2728FEC3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6AC2542E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3</w:t>
            </w:r>
          </w:p>
        </w:tc>
        <w:tc>
          <w:tcPr>
            <w:tcW w:w="24577" w:type="dxa"/>
          </w:tcPr>
          <w:p w14:paraId="3C2464A5" w14:textId="77777777" w:rsidR="00CF5C4A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color w:val="000000"/>
              </w:rPr>
              <w:t>The CIF for the client is shown.</w:t>
            </w:r>
          </w:p>
          <w:p w14:paraId="5B35D20D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3AC81AD5" w14:textId="3EE8FB74" w:rsidR="00FB7669" w:rsidRDefault="00C16A3A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0357CD" wp14:editId="1A4C11F7">
                  <wp:extent cx="2409524" cy="1447619"/>
                  <wp:effectExtent l="0" t="0" r="0" b="635"/>
                  <wp:docPr id="1871113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133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3C9D" w14:textId="77777777" w:rsidR="00FB7669" w:rsidRPr="00CF5C4A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973BF" w:rsidRPr="00F55D9A" w14:paraId="5C21051C" w14:textId="77777777" w:rsidTr="00364C7B">
        <w:trPr>
          <w:trHeight w:val="25"/>
        </w:trPr>
        <w:tc>
          <w:tcPr>
            <w:tcW w:w="1755" w:type="dxa"/>
            <w:vMerge/>
          </w:tcPr>
          <w:p w14:paraId="626407F8" w14:textId="77777777" w:rsidR="00FB7669" w:rsidRPr="00F55D9A" w:rsidRDefault="00FB7669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32929E4B" w14:textId="77777777" w:rsid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4</w:t>
            </w:r>
          </w:p>
        </w:tc>
        <w:tc>
          <w:tcPr>
            <w:tcW w:w="24577" w:type="dxa"/>
          </w:tcPr>
          <w:p w14:paraId="3DCF7DFC" w14:textId="77777777" w:rsidR="00FB7669" w:rsidRPr="00CF5C4A" w:rsidRDefault="00FB7669" w:rsidP="004A58F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color w:val="000000"/>
              </w:rPr>
              <w:t xml:space="preserve">Select the client’s CIF to open the </w:t>
            </w:r>
            <w:r w:rsidR="004A58FE" w:rsidRPr="004A58FE">
              <w:rPr>
                <w:rFonts w:ascii="Verdana" w:hAnsi="Verdana"/>
                <w:b/>
                <w:bCs/>
                <w:color w:val="000000"/>
              </w:rPr>
              <w:t>M</w:t>
            </w:r>
            <w:r w:rsidRPr="004A58FE">
              <w:rPr>
                <w:rFonts w:ascii="Verdana" w:hAnsi="Verdana"/>
                <w:b/>
                <w:bCs/>
                <w:color w:val="000000"/>
              </w:rPr>
              <w:t xml:space="preserve">ain </w:t>
            </w:r>
            <w:r w:rsidR="004A58FE" w:rsidRPr="004A58FE">
              <w:rPr>
                <w:rFonts w:ascii="Verdana" w:hAnsi="Verdana"/>
                <w:b/>
                <w:bCs/>
                <w:color w:val="000000"/>
              </w:rPr>
              <w:t>I</w:t>
            </w:r>
            <w:r w:rsidRPr="004A58FE">
              <w:rPr>
                <w:rFonts w:ascii="Verdana" w:hAnsi="Verdana"/>
                <w:b/>
                <w:bCs/>
                <w:color w:val="000000"/>
              </w:rPr>
              <w:t>nformation</w:t>
            </w:r>
            <w:r w:rsidRPr="00FB7669">
              <w:rPr>
                <w:rFonts w:ascii="Verdana" w:hAnsi="Verdana"/>
                <w:color w:val="000000"/>
              </w:rPr>
              <w:t xml:space="preserve"> screen.</w:t>
            </w:r>
          </w:p>
        </w:tc>
      </w:tr>
      <w:tr w:rsidR="00A973BF" w:rsidRPr="00F55D9A" w14:paraId="4DE81568" w14:textId="77777777" w:rsidTr="00364C7B">
        <w:trPr>
          <w:trHeight w:val="25"/>
        </w:trPr>
        <w:tc>
          <w:tcPr>
            <w:tcW w:w="1755" w:type="dxa"/>
            <w:vMerge/>
          </w:tcPr>
          <w:p w14:paraId="79CDF7D5" w14:textId="77777777" w:rsidR="00CF5C4A" w:rsidRPr="00F55D9A" w:rsidRDefault="00CF5C4A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7" w:type="dxa"/>
          </w:tcPr>
          <w:p w14:paraId="6DA99F76" w14:textId="77777777" w:rsidR="00CF5C4A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5</w:t>
            </w:r>
          </w:p>
        </w:tc>
        <w:tc>
          <w:tcPr>
            <w:tcW w:w="24577" w:type="dxa"/>
          </w:tcPr>
          <w:p w14:paraId="1F576017" w14:textId="77777777" w:rsidR="00FB7669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color w:val="000000"/>
              </w:rPr>
              <w:t xml:space="preserve">Expand the </w:t>
            </w:r>
            <w:r w:rsidRPr="00FB7669">
              <w:rPr>
                <w:rFonts w:ascii="Verdana" w:hAnsi="Verdana"/>
                <w:b/>
                <w:bCs/>
                <w:color w:val="000000"/>
              </w:rPr>
              <w:t>Open Enrollment</w:t>
            </w:r>
            <w:r w:rsidRPr="00FB7669">
              <w:rPr>
                <w:rFonts w:ascii="Verdana" w:hAnsi="Verdana"/>
                <w:color w:val="000000"/>
              </w:rPr>
              <w:t xml:space="preserve"> section.</w:t>
            </w:r>
          </w:p>
          <w:p w14:paraId="760E0D52" w14:textId="77777777" w:rsidR="00FB7669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1422011F" w14:textId="037DD818" w:rsidR="00FB7669" w:rsidRDefault="001D3D68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D7BE47" wp14:editId="28AB6E0E">
                  <wp:extent cx="5457143" cy="2380952"/>
                  <wp:effectExtent l="0" t="0" r="0" b="635"/>
                  <wp:docPr id="165793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9321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43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1BF53" w14:textId="77777777" w:rsidR="00FB7669" w:rsidRPr="00FB7669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2D65D4C8" w14:textId="77777777" w:rsidR="00CF5C4A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b/>
                <w:bCs/>
                <w:color w:val="000000"/>
              </w:rPr>
              <w:t>Result</w:t>
            </w:r>
            <w:proofErr w:type="gramStart"/>
            <w:r w:rsidRPr="00FB7669">
              <w:rPr>
                <w:rFonts w:ascii="Verdana" w:hAnsi="Verdana"/>
                <w:b/>
                <w:bCs/>
                <w:color w:val="000000"/>
              </w:rPr>
              <w:t>:</w:t>
            </w:r>
            <w:r w:rsidRPr="00FB7669">
              <w:rPr>
                <w:rFonts w:ascii="Verdana" w:hAnsi="Verdana"/>
                <w:color w:val="000000"/>
              </w:rPr>
              <w:t xml:space="preserve">  The</w:t>
            </w:r>
            <w:proofErr w:type="gramEnd"/>
            <w:r w:rsidRPr="00FB7669">
              <w:rPr>
                <w:rFonts w:ascii="Verdana" w:hAnsi="Verdana"/>
                <w:color w:val="000000"/>
              </w:rPr>
              <w:t xml:space="preserve"> list of available UIDs displays.</w:t>
            </w:r>
          </w:p>
          <w:p w14:paraId="36A0B96D" w14:textId="77777777" w:rsidR="00FB7669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4EF649FD" w14:textId="605D9FEB" w:rsidR="00FB7669" w:rsidRDefault="00A973BF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2CCE419" wp14:editId="095751E0">
                  <wp:extent cx="5523809" cy="3333333"/>
                  <wp:effectExtent l="0" t="0" r="1270" b="635"/>
                  <wp:docPr id="172916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624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13C03" w14:textId="77777777" w:rsidR="00FB7669" w:rsidRPr="00CF5C4A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4A58FE" w:rsidRPr="00F55D9A" w14:paraId="5E95903A" w14:textId="77777777" w:rsidTr="00364C7B">
        <w:trPr>
          <w:trHeight w:val="204"/>
        </w:trPr>
        <w:tc>
          <w:tcPr>
            <w:tcW w:w="1755" w:type="dxa"/>
          </w:tcPr>
          <w:p w14:paraId="5B8A1A36" w14:textId="77777777" w:rsidR="00AB3C07" w:rsidRPr="00F55D9A" w:rsidRDefault="00B82EBF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4</w:t>
            </w:r>
          </w:p>
        </w:tc>
        <w:tc>
          <w:tcPr>
            <w:tcW w:w="25874" w:type="dxa"/>
            <w:gridSpan w:val="2"/>
          </w:tcPr>
          <w:p w14:paraId="5C1C64E1" w14:textId="77777777" w:rsidR="00AB3C07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FB7669">
              <w:rPr>
                <w:rFonts w:ascii="Verdana" w:hAnsi="Verdana"/>
                <w:color w:val="000000"/>
              </w:rPr>
              <w:t>Select the UID that matches the group the member is inquiring about.</w:t>
            </w:r>
          </w:p>
          <w:p w14:paraId="15A8B657" w14:textId="1C428CE7" w:rsidR="00894650" w:rsidRPr="00EC307A" w:rsidRDefault="00774E2D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F5C014" wp14:editId="48E3D995">
                  <wp:extent cx="228600" cy="219075"/>
                  <wp:effectExtent l="0" t="0" r="0" b="0"/>
                  <wp:docPr id="20" name="Picture 733690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690114"/>
                          <pic:cNvPicPr>
                            <a:picLocks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7BB55A93">
              <w:rPr>
                <w:rFonts w:ascii="Verdana" w:hAnsi="Verdana"/>
                <w:color w:val="000000"/>
              </w:rPr>
              <w:t xml:space="preserve"> </w:t>
            </w:r>
            <w:r w:rsidR="7BB55A93" w:rsidRPr="00EC307A">
              <w:rPr>
                <w:rFonts w:ascii="Verdana" w:hAnsi="Verdana"/>
                <w:color w:val="000000"/>
              </w:rPr>
              <w:t>UIDs can show as termed (non-active eligibility dates) and still work providing accurate test claims.</w:t>
            </w:r>
          </w:p>
          <w:p w14:paraId="4856EEB8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  <w:p w14:paraId="4A10E0A9" w14:textId="7D3E5FB3" w:rsidR="00FB7669" w:rsidRDefault="00A973BF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EA5B79" wp14:editId="25C41E21">
                  <wp:extent cx="5485714" cy="3314286"/>
                  <wp:effectExtent l="0" t="0" r="1270" b="635"/>
                  <wp:docPr id="259191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19146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788BE" w14:textId="77777777" w:rsidR="00FB7669" w:rsidRPr="00F55D9A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4A58FE" w:rsidRPr="00F55D9A" w14:paraId="5339FE72" w14:textId="77777777" w:rsidTr="00364C7B">
        <w:tc>
          <w:tcPr>
            <w:tcW w:w="1755" w:type="dxa"/>
          </w:tcPr>
          <w:p w14:paraId="2ACAEB8C" w14:textId="77777777" w:rsidR="00AB3C07" w:rsidRPr="00F55D9A" w:rsidRDefault="00B82EBF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5</w:t>
            </w:r>
          </w:p>
        </w:tc>
        <w:tc>
          <w:tcPr>
            <w:tcW w:w="25874" w:type="dxa"/>
            <w:gridSpan w:val="2"/>
          </w:tcPr>
          <w:p w14:paraId="45BB119B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573FDA">
              <w:rPr>
                <w:rFonts w:ascii="Verdana" w:hAnsi="Verdana"/>
              </w:rPr>
              <w:t>Use the Test Claim function in PeopleSafe, using a date in the new plan year as the Fill Date. </w:t>
            </w:r>
          </w:p>
          <w:p w14:paraId="349F468B" w14:textId="27657798" w:rsidR="00C87330" w:rsidRPr="00EC307A" w:rsidRDefault="00F53C8D" w:rsidP="00EC307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Specialty Pharmacy should r</w:t>
            </w:r>
            <w:r w:rsidR="00FB7669" w:rsidRPr="00EC307A">
              <w:rPr>
                <w:rFonts w:ascii="Verdana" w:hAnsi="Verdana"/>
              </w:rPr>
              <w:t>efer to </w:t>
            </w:r>
            <w:bookmarkStart w:id="15" w:name="OLE_LINK1"/>
            <w:bookmarkEnd w:id="15"/>
            <w:r w:rsidR="00EB41A1" w:rsidRPr="00EC307A">
              <w:rPr>
                <w:rFonts w:ascii="Verdana" w:hAnsi="Verdana"/>
              </w:rPr>
              <w:fldChar w:fldCharType="begin"/>
            </w:r>
            <w:r w:rsidR="00EB41A1" w:rsidRPr="00EC307A">
              <w:rPr>
                <w:rFonts w:ascii="Verdana" w:hAnsi="Verdana"/>
              </w:rPr>
              <w:instrText>HYPERLINK "https://thesource.cvshealth.com/nuxeo/thesource/" \l "!/view?docid=5d2b5483-f6de-41f2-b39f-c8d9bef6bba8"</w:instrText>
            </w:r>
            <w:r w:rsidR="00EB41A1" w:rsidRPr="00EC307A">
              <w:rPr>
                <w:rFonts w:ascii="Verdana" w:hAnsi="Verdana"/>
              </w:rPr>
              <w:fldChar w:fldCharType="separate"/>
            </w:r>
            <w:r w:rsidR="00DF49ED" w:rsidRPr="00EC307A">
              <w:rPr>
                <w:rStyle w:val="Hyperlink"/>
                <w:rFonts w:ascii="Verdana" w:hAnsi="Verdana"/>
              </w:rPr>
              <w:t>Specialty PeopleSafe Overview for PSR</w:t>
            </w:r>
            <w:r w:rsidR="00EB41A1" w:rsidRPr="00EC307A">
              <w:rPr>
                <w:rFonts w:ascii="Verdana" w:hAnsi="Verdana"/>
              </w:rPr>
              <w:fldChar w:fldCharType="end"/>
            </w:r>
            <w:r w:rsidR="00DF49ED" w:rsidRPr="00EC307A">
              <w:rPr>
                <w:rFonts w:ascii="Verdana" w:hAnsi="Verdana"/>
              </w:rPr>
              <w:t xml:space="preserve"> </w:t>
            </w:r>
            <w:r w:rsidR="00FB7669">
              <w:t xml:space="preserve"> </w:t>
            </w:r>
            <w:r w:rsidR="00FB7669" w:rsidRPr="00EC307A">
              <w:rPr>
                <w:rFonts w:ascii="Verdana" w:hAnsi="Verdana"/>
              </w:rPr>
              <w:t>for more information.</w:t>
            </w:r>
          </w:p>
          <w:p w14:paraId="5D62172A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171F89D7" w14:textId="115ADFC4" w:rsidR="00FB7669" w:rsidRDefault="009C4CF4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72C9B" wp14:editId="53871E4F">
                  <wp:extent cx="7171428" cy="4152381"/>
                  <wp:effectExtent l="0" t="0" r="0" b="635"/>
                  <wp:docPr id="1590884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88425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428" cy="4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7BFF1" w14:textId="77777777" w:rsidR="00FB7669" w:rsidRDefault="00FB7669" w:rsidP="00FB766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4E8B5B4A" w14:textId="77777777" w:rsidR="00FB7669" w:rsidRPr="00F55D9A" w:rsidRDefault="00FB7669" w:rsidP="00FB766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FB7669" w:rsidRPr="00F55D9A" w14:paraId="2AC76A49" w14:textId="77777777" w:rsidTr="00364C7B">
        <w:tc>
          <w:tcPr>
            <w:tcW w:w="1755" w:type="dxa"/>
          </w:tcPr>
          <w:p w14:paraId="72E35013" w14:textId="77777777" w:rsidR="00FB7669" w:rsidRPr="00F55D9A" w:rsidRDefault="00FB7669" w:rsidP="00CF5C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5874" w:type="dxa"/>
            <w:gridSpan w:val="2"/>
          </w:tcPr>
          <w:p w14:paraId="1583E1FD" w14:textId="77777777" w:rsidR="00FB7669" w:rsidRDefault="00FB7669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B7669">
              <w:rPr>
                <w:rFonts w:ascii="Verdana" w:hAnsi="Verdana"/>
              </w:rPr>
              <w:t>Expand the details of the claim to see benefit information.</w:t>
            </w:r>
          </w:p>
          <w:p w14:paraId="7F816EC3" w14:textId="77777777" w:rsidR="004A58FE" w:rsidRDefault="004A58FE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23833676" w14:textId="453B021E" w:rsidR="004A58FE" w:rsidRDefault="009C4CF4" w:rsidP="004A58F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D1284" wp14:editId="6D4C0EB8">
                  <wp:extent cx="8971428" cy="809524"/>
                  <wp:effectExtent l="0" t="0" r="1270" b="0"/>
                  <wp:docPr id="835735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351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428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D1E03" w14:textId="77777777" w:rsidR="004A58FE" w:rsidRDefault="004A58FE" w:rsidP="004A58F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  <w:p w14:paraId="07054E6E" w14:textId="77777777" w:rsidR="004A58FE" w:rsidRDefault="004A58FE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4A58FE">
              <w:rPr>
                <w:rFonts w:ascii="Verdana" w:hAnsi="Verdana"/>
                <w:b/>
                <w:bCs/>
              </w:rPr>
              <w:t>Result</w:t>
            </w:r>
            <w:proofErr w:type="gramStart"/>
            <w:r w:rsidRPr="004A58FE">
              <w:rPr>
                <w:rFonts w:ascii="Verdana" w:hAnsi="Verdana"/>
                <w:b/>
                <w:bCs/>
              </w:rPr>
              <w:t>:</w:t>
            </w:r>
            <w:r w:rsidRPr="004A58FE">
              <w:rPr>
                <w:rFonts w:ascii="Verdana" w:hAnsi="Verdana"/>
              </w:rPr>
              <w:t xml:space="preserve">  The</w:t>
            </w:r>
            <w:proofErr w:type="gramEnd"/>
            <w:r w:rsidRPr="004A58FE">
              <w:rPr>
                <w:rFonts w:ascii="Verdana" w:hAnsi="Verdana"/>
              </w:rPr>
              <w:t xml:space="preserve"> test claim results display the copay information, as well as any further information provided by the plan.</w:t>
            </w:r>
          </w:p>
          <w:p w14:paraId="719E96D1" w14:textId="77777777" w:rsidR="004A58FE" w:rsidRDefault="004A58FE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6C0CCD5A" w14:textId="4817D849" w:rsidR="004A58FE" w:rsidRDefault="00364C7B" w:rsidP="004A58F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5D14368" wp14:editId="5813D348">
                  <wp:extent cx="8161905" cy="5666667"/>
                  <wp:effectExtent l="0" t="0" r="0" b="0"/>
                  <wp:docPr id="509907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0730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1905" cy="5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EF898" w14:textId="77777777" w:rsidR="004A58FE" w:rsidRDefault="004A58FE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1F03C5A6" w14:textId="618C7C8D" w:rsidR="004A58FE" w:rsidRDefault="00774E2D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F25E318" wp14:editId="597E68EF">
                  <wp:extent cx="228600" cy="219075"/>
                  <wp:effectExtent l="0" t="0" r="0" b="0"/>
                  <wp:docPr id="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FE" w:rsidRPr="004A58FE">
              <w:rPr>
                <w:rFonts w:ascii="Verdana" w:hAnsi="Verdana"/>
              </w:rPr>
              <w:t xml:space="preserve">It is </w:t>
            </w:r>
            <w:r w:rsidR="004A58FE" w:rsidRPr="004A58FE">
              <w:rPr>
                <w:rFonts w:ascii="Verdana" w:hAnsi="Verdana"/>
                <w:b/>
                <w:bCs/>
              </w:rPr>
              <w:t xml:space="preserve">IMPORTANT </w:t>
            </w:r>
            <w:r w:rsidR="004A58FE" w:rsidRPr="004A58FE">
              <w:rPr>
                <w:rFonts w:ascii="Verdana" w:hAnsi="Verdana"/>
              </w:rPr>
              <w:t xml:space="preserve">to advise the member of the disclaimer at the bottom of the screen: </w:t>
            </w:r>
          </w:p>
          <w:p w14:paraId="6EC23064" w14:textId="36E4A044" w:rsidR="004A58FE" w:rsidRPr="00573FDA" w:rsidRDefault="00774E2D" w:rsidP="00CF5C4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B85D75B" wp14:editId="455A02F7">
                  <wp:extent cx="228600" cy="219075"/>
                  <wp:effectExtent l="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FE">
              <w:rPr>
                <w:rFonts w:ascii="Verdana" w:hAnsi="Verdana"/>
              </w:rPr>
              <w:t xml:space="preserve"> </w:t>
            </w:r>
            <w:r w:rsidR="004A58FE" w:rsidRPr="004A58FE">
              <w:rPr>
                <w:rFonts w:ascii="Verdana" w:hAnsi="Verdana"/>
              </w:rPr>
              <w:t xml:space="preserve">Please note the prices quoted are estimates and may not reflect your actual </w:t>
            </w:r>
            <w:proofErr w:type="gramStart"/>
            <w:r w:rsidR="004A58FE" w:rsidRPr="004A58FE">
              <w:rPr>
                <w:rFonts w:ascii="Verdana" w:hAnsi="Verdana"/>
              </w:rPr>
              <w:t>out of pocket</w:t>
            </w:r>
            <w:proofErr w:type="gramEnd"/>
            <w:r w:rsidR="004A58FE" w:rsidRPr="004A58FE">
              <w:rPr>
                <w:rFonts w:ascii="Verdana" w:hAnsi="Verdana"/>
              </w:rPr>
              <w:t xml:space="preserve"> costs.</w:t>
            </w:r>
          </w:p>
        </w:tc>
      </w:tr>
    </w:tbl>
    <w:p w14:paraId="3F453308" w14:textId="77777777" w:rsidR="00F27518" w:rsidRDefault="00F27518" w:rsidP="000D63DB">
      <w:pPr>
        <w:jc w:val="right"/>
        <w:rPr>
          <w:rFonts w:ascii="Verdana" w:hAnsi="Verdana"/>
        </w:rPr>
      </w:pPr>
    </w:p>
    <w:bookmarkStart w:id="16" w:name="_Hlk71552223"/>
    <w:p w14:paraId="5CC3A2CE" w14:textId="66FFD560" w:rsidR="00B4496A" w:rsidRDefault="00F53C8D" w:rsidP="000D63DB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F27518" w:rsidRPr="00F53C8D">
        <w:rPr>
          <w:rStyle w:val="Hyperlink"/>
          <w:rFonts w:ascii="Verdana" w:hAnsi="Verdana"/>
        </w:rPr>
        <w:t>Top of the Document</w:t>
      </w:r>
      <w:bookmarkStart w:id="17" w:name="_Updating_a_PBO"/>
      <w:bookmarkEnd w:id="17"/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1B41B4DD" w14:textId="77777777" w:rsidTr="001F50E1">
        <w:tc>
          <w:tcPr>
            <w:tcW w:w="5000" w:type="pct"/>
            <w:shd w:val="clear" w:color="auto" w:fill="C0C0C0"/>
          </w:tcPr>
          <w:p w14:paraId="58499E10" w14:textId="77777777" w:rsidR="00B4496A" w:rsidRPr="000D6356" w:rsidRDefault="00B4496A" w:rsidP="00E83C9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Toc525628632"/>
            <w:bookmarkStart w:id="19" w:name="_Toc179900494"/>
            <w:r>
              <w:rPr>
                <w:rFonts w:ascii="Verdana" w:hAnsi="Verdana"/>
                <w:i w:val="0"/>
              </w:rPr>
              <w:t>Related Document</w:t>
            </w:r>
            <w:bookmarkEnd w:id="18"/>
            <w:r>
              <w:rPr>
                <w:rFonts w:ascii="Verdana" w:hAnsi="Verdana"/>
                <w:i w:val="0"/>
              </w:rPr>
              <w:t>s</w:t>
            </w:r>
            <w:bookmarkEnd w:id="19"/>
          </w:p>
        </w:tc>
      </w:tr>
    </w:tbl>
    <w:bookmarkEnd w:id="16"/>
    <w:p w14:paraId="7D0203F3" w14:textId="0435A7BA" w:rsidR="00E162A5" w:rsidRPr="004A58FE" w:rsidRDefault="001F50E1" w:rsidP="004A58FE">
      <w:pPr>
        <w:spacing w:before="120" w:after="120"/>
        <w:rPr>
          <w:color w:val="000000"/>
          <w:sz w:val="27"/>
          <w:szCs w:val="27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"!/view?docid=5d2b5483-f6de-41f2-b39f-c8d9bef6bba8"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ED20EF">
        <w:rPr>
          <w:rStyle w:val="Hyperlink"/>
          <w:rFonts w:ascii="Verdana" w:hAnsi="Verdana"/>
        </w:rPr>
        <w:t>Specialty PeopleSafe Overview for PSR</w:t>
      </w:r>
      <w:r>
        <w:rPr>
          <w:rFonts w:ascii="Verdana" w:hAnsi="Verdana"/>
        </w:rPr>
        <w:fldChar w:fldCharType="end"/>
      </w:r>
    </w:p>
    <w:p w14:paraId="001ADFCE" w14:textId="13AEAFC3" w:rsidR="004A58FE" w:rsidRPr="004A58FE" w:rsidRDefault="004A58FE" w:rsidP="004A58FE">
      <w:pPr>
        <w:spacing w:before="120" w:after="120"/>
        <w:rPr>
          <w:color w:val="000000"/>
          <w:sz w:val="27"/>
          <w:szCs w:val="27"/>
        </w:rPr>
      </w:pPr>
      <w:r w:rsidRPr="004A58FE">
        <w:rPr>
          <w:rFonts w:ascii="Verdana" w:hAnsi="Verdana"/>
          <w:b/>
          <w:bCs/>
          <w:color w:val="000000"/>
        </w:rPr>
        <w:t xml:space="preserve">Parent </w:t>
      </w:r>
      <w:r>
        <w:rPr>
          <w:rFonts w:ascii="Verdana" w:hAnsi="Verdana"/>
          <w:b/>
          <w:bCs/>
          <w:color w:val="000000"/>
        </w:rPr>
        <w:t>Document</w:t>
      </w:r>
      <w:r w:rsidRPr="004A58FE">
        <w:rPr>
          <w:rFonts w:ascii="Verdana" w:hAnsi="Verdana"/>
          <w:b/>
          <w:bCs/>
          <w:color w:val="000000"/>
        </w:rPr>
        <w:t>:</w:t>
      </w:r>
      <w:r w:rsidRPr="004A58FE">
        <w:rPr>
          <w:rFonts w:ascii="Verdana" w:hAnsi="Verdana"/>
          <w:color w:val="000000"/>
        </w:rPr>
        <w:t>  </w:t>
      </w:r>
      <w:hyperlink r:id="rId29" w:tgtFrame="_blank" w:history="1">
        <w:r w:rsidRPr="004A58FE">
          <w:rPr>
            <w:rFonts w:ascii="Verdana" w:hAnsi="Verdana"/>
            <w:color w:val="0000FF"/>
            <w:u w:val="single"/>
          </w:rPr>
          <w:t>SPO-0135 Scheduling and Processing Initial Orders and Refills</w:t>
        </w:r>
      </w:hyperlink>
    </w:p>
    <w:p w14:paraId="22088907" w14:textId="77777777" w:rsidR="004A58FE" w:rsidRPr="004A58FE" w:rsidRDefault="004A58FE" w:rsidP="004A58FE">
      <w:pPr>
        <w:spacing w:before="120" w:after="120"/>
        <w:rPr>
          <w:color w:val="000000"/>
          <w:sz w:val="27"/>
          <w:szCs w:val="27"/>
        </w:rPr>
      </w:pPr>
      <w:r w:rsidRPr="004A58FE">
        <w:rPr>
          <w:rFonts w:ascii="Verdana" w:hAnsi="Verdana"/>
          <w:b/>
          <w:bCs/>
          <w:color w:val="000000"/>
        </w:rPr>
        <w:t>Abbreviations/Definitions:</w:t>
      </w:r>
      <w:r w:rsidRPr="004A58FE">
        <w:rPr>
          <w:rFonts w:ascii="Verdana" w:hAnsi="Verdana"/>
          <w:color w:val="000000"/>
        </w:rPr>
        <w:t>  </w:t>
      </w:r>
      <w:hyperlink r:id="rId30" w:anchor="!/view?docid=beaf0a3c-edb2-4455-9e53-d03ee40e7a4c" w:tgtFrame="_blank" w:history="1">
        <w:r w:rsidRPr="004A58FE">
          <w:rPr>
            <w:rFonts w:ascii="Verdana" w:hAnsi="Verdana"/>
            <w:color w:val="0000FF"/>
            <w:u w:val="single"/>
          </w:rPr>
          <w:t>Specialty Pharmacy Abbreviations/Definitions</w:t>
        </w:r>
      </w:hyperlink>
    </w:p>
    <w:p w14:paraId="3C7D84F2" w14:textId="77777777" w:rsidR="00232153" w:rsidRDefault="00232153" w:rsidP="00B4496A">
      <w:pPr>
        <w:rPr>
          <w:rFonts w:ascii="Verdana" w:hAnsi="Verdana"/>
        </w:rPr>
      </w:pPr>
    </w:p>
    <w:p w14:paraId="36621101" w14:textId="77777777" w:rsidR="00B4496A" w:rsidRDefault="00B4496A" w:rsidP="00B4496A">
      <w:pPr>
        <w:rPr>
          <w:rFonts w:ascii="Verdana" w:hAnsi="Verdana"/>
        </w:rPr>
      </w:pPr>
    </w:p>
    <w:p w14:paraId="6B332C13" w14:textId="7DC3B32A" w:rsidR="003D03C6" w:rsidRDefault="00F53C8D" w:rsidP="00232153">
      <w:pPr>
        <w:jc w:val="right"/>
        <w:rPr>
          <w:rFonts w:ascii="Verdana" w:hAnsi="Verdana"/>
        </w:rPr>
      </w:pPr>
      <w:hyperlink w:anchor="_top" w:history="1">
        <w:r w:rsidR="00B4496A" w:rsidRPr="00F53C8D">
          <w:rPr>
            <w:rStyle w:val="Hyperlink"/>
            <w:rFonts w:ascii="Verdana" w:hAnsi="Verdana"/>
          </w:rPr>
          <w:t>Top of the Document</w:t>
        </w:r>
        <w:bookmarkStart w:id="20" w:name="_Override_Reference_Table"/>
        <w:bookmarkEnd w:id="20"/>
      </w:hyperlink>
      <w:r w:rsidR="00232153">
        <w:rPr>
          <w:rFonts w:ascii="Verdana" w:hAnsi="Verdana"/>
        </w:rPr>
        <w:t xml:space="preserve"> </w:t>
      </w:r>
    </w:p>
    <w:p w14:paraId="252ED781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71457B">
        <w:rPr>
          <w:rFonts w:ascii="Verdana" w:hAnsi="Verdana"/>
          <w:sz w:val="16"/>
          <w:szCs w:val="16"/>
        </w:rPr>
        <w:t>Or</w:t>
      </w:r>
      <w:proofErr w:type="gramEnd"/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110E3A6C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9E3EA71" w14:textId="77777777" w:rsidR="003414D9" w:rsidRDefault="003414D9" w:rsidP="00BC326F">
      <w:pPr>
        <w:jc w:val="right"/>
      </w:pPr>
    </w:p>
    <w:sectPr w:rsidR="003414D9" w:rsidSect="00F27518">
      <w:headerReference w:type="default" r:id="rId31"/>
      <w:footerReference w:type="defaul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2919F" w14:textId="77777777" w:rsidR="005E1412" w:rsidRDefault="005E1412" w:rsidP="001005FD">
      <w:r>
        <w:separator/>
      </w:r>
    </w:p>
  </w:endnote>
  <w:endnote w:type="continuationSeparator" w:id="0">
    <w:p w14:paraId="1BDA4E0D" w14:textId="77777777" w:rsidR="005E1412" w:rsidRDefault="005E1412" w:rsidP="001005FD">
      <w:r>
        <w:continuationSeparator/>
      </w:r>
    </w:p>
  </w:endnote>
  <w:endnote w:type="continuationNotice" w:id="1">
    <w:p w14:paraId="58417F9D" w14:textId="77777777" w:rsidR="005E1412" w:rsidRDefault="005E1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C0A74" w14:textId="77777777" w:rsidR="00E9341D" w:rsidRDefault="00E93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68F52" w14:textId="77777777" w:rsidR="005E1412" w:rsidRDefault="005E1412" w:rsidP="001005FD">
      <w:r>
        <w:separator/>
      </w:r>
    </w:p>
  </w:footnote>
  <w:footnote w:type="continuationSeparator" w:id="0">
    <w:p w14:paraId="2195B930" w14:textId="77777777" w:rsidR="005E1412" w:rsidRDefault="005E1412" w:rsidP="001005FD">
      <w:r>
        <w:continuationSeparator/>
      </w:r>
    </w:p>
  </w:footnote>
  <w:footnote w:type="continuationNotice" w:id="1">
    <w:p w14:paraId="55F8D582" w14:textId="77777777" w:rsidR="005E1412" w:rsidRDefault="005E14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BB4BA" w14:textId="77777777" w:rsidR="00E9341D" w:rsidRDefault="00E93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8pt;height:17.25pt" o:bullet="t">
        <v:imagedata r:id="rId1" o:title="Icon_-_Important_Information (1) (002)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25340"/>
    <w:multiLevelType w:val="hybridMultilevel"/>
    <w:tmpl w:val="D9263582"/>
    <w:lvl w:ilvl="0" w:tplc="72C435A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9E4B7B"/>
    <w:multiLevelType w:val="hybridMultilevel"/>
    <w:tmpl w:val="ACC20802"/>
    <w:lvl w:ilvl="0" w:tplc="D9B0B43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C35658"/>
    <w:multiLevelType w:val="hybridMultilevel"/>
    <w:tmpl w:val="D00861BC"/>
    <w:lvl w:ilvl="0" w:tplc="712C246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B17F4"/>
    <w:multiLevelType w:val="hybridMultilevel"/>
    <w:tmpl w:val="68668AB0"/>
    <w:lvl w:ilvl="0" w:tplc="D9B0B43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126B8"/>
    <w:multiLevelType w:val="hybridMultilevel"/>
    <w:tmpl w:val="3940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AF52A0"/>
    <w:multiLevelType w:val="hybridMultilevel"/>
    <w:tmpl w:val="F1A04DD0"/>
    <w:lvl w:ilvl="0" w:tplc="E1A054B0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C43685"/>
    <w:multiLevelType w:val="hybridMultilevel"/>
    <w:tmpl w:val="4D68FF7A"/>
    <w:lvl w:ilvl="0" w:tplc="AD26402A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80902819">
    <w:abstractNumId w:val="3"/>
  </w:num>
  <w:num w:numId="2" w16cid:durableId="1074548051">
    <w:abstractNumId w:val="28"/>
  </w:num>
  <w:num w:numId="3" w16cid:durableId="885146397">
    <w:abstractNumId w:val="1"/>
  </w:num>
  <w:num w:numId="4" w16cid:durableId="1740445614">
    <w:abstractNumId w:val="13"/>
  </w:num>
  <w:num w:numId="5" w16cid:durableId="751778976">
    <w:abstractNumId w:val="35"/>
  </w:num>
  <w:num w:numId="6" w16cid:durableId="2015718093">
    <w:abstractNumId w:val="2"/>
  </w:num>
  <w:num w:numId="7" w16cid:durableId="263535961">
    <w:abstractNumId w:val="33"/>
  </w:num>
  <w:num w:numId="8" w16cid:durableId="901865713">
    <w:abstractNumId w:val="26"/>
  </w:num>
  <w:num w:numId="9" w16cid:durableId="1103837131">
    <w:abstractNumId w:val="10"/>
  </w:num>
  <w:num w:numId="10" w16cid:durableId="331033570">
    <w:abstractNumId w:val="12"/>
  </w:num>
  <w:num w:numId="11" w16cid:durableId="1099062699">
    <w:abstractNumId w:val="29"/>
  </w:num>
  <w:num w:numId="12" w16cid:durableId="1014839457">
    <w:abstractNumId w:val="22"/>
  </w:num>
  <w:num w:numId="13" w16cid:durableId="692069685">
    <w:abstractNumId w:val="34"/>
  </w:num>
  <w:num w:numId="14" w16cid:durableId="778574595">
    <w:abstractNumId w:val="17"/>
  </w:num>
  <w:num w:numId="15" w16cid:durableId="1967462108">
    <w:abstractNumId w:val="19"/>
  </w:num>
  <w:num w:numId="16" w16cid:durableId="546456710">
    <w:abstractNumId w:val="16"/>
  </w:num>
  <w:num w:numId="17" w16cid:durableId="423035720">
    <w:abstractNumId w:val="7"/>
  </w:num>
  <w:num w:numId="18" w16cid:durableId="308873832">
    <w:abstractNumId w:val="0"/>
  </w:num>
  <w:num w:numId="19" w16cid:durableId="1519268000">
    <w:abstractNumId w:val="23"/>
  </w:num>
  <w:num w:numId="20" w16cid:durableId="367338603">
    <w:abstractNumId w:val="11"/>
  </w:num>
  <w:num w:numId="21" w16cid:durableId="1218275345">
    <w:abstractNumId w:val="18"/>
  </w:num>
  <w:num w:numId="22" w16cid:durableId="337006365">
    <w:abstractNumId w:val="6"/>
  </w:num>
  <w:num w:numId="23" w16cid:durableId="1370111632">
    <w:abstractNumId w:val="15"/>
  </w:num>
  <w:num w:numId="24" w16cid:durableId="1524706280">
    <w:abstractNumId w:val="30"/>
  </w:num>
  <w:num w:numId="25" w16cid:durableId="305939318">
    <w:abstractNumId w:val="32"/>
  </w:num>
  <w:num w:numId="26" w16cid:durableId="1243643723">
    <w:abstractNumId w:val="4"/>
  </w:num>
  <w:num w:numId="27" w16cid:durableId="729311390">
    <w:abstractNumId w:val="9"/>
  </w:num>
  <w:num w:numId="28" w16cid:durableId="1382948758">
    <w:abstractNumId w:val="8"/>
  </w:num>
  <w:num w:numId="29" w16cid:durableId="68887018">
    <w:abstractNumId w:val="31"/>
  </w:num>
  <w:num w:numId="30" w16cid:durableId="1249117216">
    <w:abstractNumId w:val="24"/>
  </w:num>
  <w:num w:numId="31" w16cid:durableId="1548446417">
    <w:abstractNumId w:val="5"/>
  </w:num>
  <w:num w:numId="32" w16cid:durableId="803698727">
    <w:abstractNumId w:val="27"/>
  </w:num>
  <w:num w:numId="33" w16cid:durableId="820391946">
    <w:abstractNumId w:val="36"/>
  </w:num>
  <w:num w:numId="34" w16cid:durableId="979458407">
    <w:abstractNumId w:val="25"/>
  </w:num>
  <w:num w:numId="35" w16cid:durableId="2087650887">
    <w:abstractNumId w:val="14"/>
  </w:num>
  <w:num w:numId="36" w16cid:durableId="2142963684">
    <w:abstractNumId w:val="21"/>
  </w:num>
  <w:num w:numId="37" w16cid:durableId="462620720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22E8"/>
    <w:rsid w:val="000747A2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05FD"/>
    <w:rsid w:val="0010140B"/>
    <w:rsid w:val="00103AEC"/>
    <w:rsid w:val="00111D9C"/>
    <w:rsid w:val="00112998"/>
    <w:rsid w:val="00113A5A"/>
    <w:rsid w:val="00123B94"/>
    <w:rsid w:val="0013218F"/>
    <w:rsid w:val="00136C1D"/>
    <w:rsid w:val="001427CE"/>
    <w:rsid w:val="00146CA0"/>
    <w:rsid w:val="00147812"/>
    <w:rsid w:val="00152FA6"/>
    <w:rsid w:val="00165A5A"/>
    <w:rsid w:val="00173802"/>
    <w:rsid w:val="00187AA8"/>
    <w:rsid w:val="001A0587"/>
    <w:rsid w:val="001A304D"/>
    <w:rsid w:val="001B77D8"/>
    <w:rsid w:val="001C673B"/>
    <w:rsid w:val="001C7D59"/>
    <w:rsid w:val="001C7F03"/>
    <w:rsid w:val="001D1C30"/>
    <w:rsid w:val="001D3D68"/>
    <w:rsid w:val="001D4A19"/>
    <w:rsid w:val="001E1951"/>
    <w:rsid w:val="001E2A52"/>
    <w:rsid w:val="001F50E1"/>
    <w:rsid w:val="00202B1A"/>
    <w:rsid w:val="00204217"/>
    <w:rsid w:val="002075AD"/>
    <w:rsid w:val="00210602"/>
    <w:rsid w:val="00211DE7"/>
    <w:rsid w:val="00212235"/>
    <w:rsid w:val="00216C1B"/>
    <w:rsid w:val="00222EB4"/>
    <w:rsid w:val="00232153"/>
    <w:rsid w:val="002355B1"/>
    <w:rsid w:val="00243946"/>
    <w:rsid w:val="002525D0"/>
    <w:rsid w:val="002544C3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2415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1F10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64C7B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E63F2"/>
    <w:rsid w:val="003F05CD"/>
    <w:rsid w:val="003F4694"/>
    <w:rsid w:val="003F47A7"/>
    <w:rsid w:val="003F5F0F"/>
    <w:rsid w:val="00411197"/>
    <w:rsid w:val="004135B9"/>
    <w:rsid w:val="004279E0"/>
    <w:rsid w:val="00440B72"/>
    <w:rsid w:val="004419F2"/>
    <w:rsid w:val="004655F9"/>
    <w:rsid w:val="0046564E"/>
    <w:rsid w:val="004777D4"/>
    <w:rsid w:val="00496A93"/>
    <w:rsid w:val="004A050A"/>
    <w:rsid w:val="004A0B39"/>
    <w:rsid w:val="004A58FE"/>
    <w:rsid w:val="004A7880"/>
    <w:rsid w:val="004C7C74"/>
    <w:rsid w:val="004D4F7D"/>
    <w:rsid w:val="004D6F62"/>
    <w:rsid w:val="004E1C73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B07DA"/>
    <w:rsid w:val="005B1455"/>
    <w:rsid w:val="005B34AE"/>
    <w:rsid w:val="005C2079"/>
    <w:rsid w:val="005C3CEE"/>
    <w:rsid w:val="005D127B"/>
    <w:rsid w:val="005D42D0"/>
    <w:rsid w:val="005E11ED"/>
    <w:rsid w:val="005E1412"/>
    <w:rsid w:val="005E602B"/>
    <w:rsid w:val="005E6994"/>
    <w:rsid w:val="005F2E73"/>
    <w:rsid w:val="005F2EFA"/>
    <w:rsid w:val="006120A1"/>
    <w:rsid w:val="00626007"/>
    <w:rsid w:val="0062723F"/>
    <w:rsid w:val="00630FE9"/>
    <w:rsid w:val="0064157C"/>
    <w:rsid w:val="00644370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E32DD"/>
    <w:rsid w:val="00701FF0"/>
    <w:rsid w:val="0071287A"/>
    <w:rsid w:val="00715DA1"/>
    <w:rsid w:val="00716297"/>
    <w:rsid w:val="00716884"/>
    <w:rsid w:val="0072107C"/>
    <w:rsid w:val="00725672"/>
    <w:rsid w:val="00727D08"/>
    <w:rsid w:val="0073000A"/>
    <w:rsid w:val="00744273"/>
    <w:rsid w:val="00756D3C"/>
    <w:rsid w:val="00761F5A"/>
    <w:rsid w:val="00767F96"/>
    <w:rsid w:val="007710BA"/>
    <w:rsid w:val="00774E2D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517F0"/>
    <w:rsid w:val="00856A87"/>
    <w:rsid w:val="00864578"/>
    <w:rsid w:val="00865FC6"/>
    <w:rsid w:val="00866E0A"/>
    <w:rsid w:val="00873A48"/>
    <w:rsid w:val="008741DE"/>
    <w:rsid w:val="00875302"/>
    <w:rsid w:val="00880DC5"/>
    <w:rsid w:val="00894650"/>
    <w:rsid w:val="008A2EBF"/>
    <w:rsid w:val="008C19AE"/>
    <w:rsid w:val="008C1B66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158D1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55A25"/>
    <w:rsid w:val="009774A8"/>
    <w:rsid w:val="00986297"/>
    <w:rsid w:val="00996F4D"/>
    <w:rsid w:val="009B0074"/>
    <w:rsid w:val="009B3759"/>
    <w:rsid w:val="009C3704"/>
    <w:rsid w:val="009C4CF4"/>
    <w:rsid w:val="009D0137"/>
    <w:rsid w:val="009E082D"/>
    <w:rsid w:val="00A01C58"/>
    <w:rsid w:val="00A04A3E"/>
    <w:rsid w:val="00A12366"/>
    <w:rsid w:val="00A31DF4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973BF"/>
    <w:rsid w:val="00AA57C4"/>
    <w:rsid w:val="00AB3C07"/>
    <w:rsid w:val="00AB3FBB"/>
    <w:rsid w:val="00AB5041"/>
    <w:rsid w:val="00AC4440"/>
    <w:rsid w:val="00AC76CD"/>
    <w:rsid w:val="00AD2A9D"/>
    <w:rsid w:val="00AD3C75"/>
    <w:rsid w:val="00AE5061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18E5"/>
    <w:rsid w:val="00B72219"/>
    <w:rsid w:val="00B73604"/>
    <w:rsid w:val="00B82EBF"/>
    <w:rsid w:val="00B9335B"/>
    <w:rsid w:val="00B943D6"/>
    <w:rsid w:val="00B95CF6"/>
    <w:rsid w:val="00BA5A93"/>
    <w:rsid w:val="00BB7168"/>
    <w:rsid w:val="00BC326F"/>
    <w:rsid w:val="00BC34EA"/>
    <w:rsid w:val="00BC6206"/>
    <w:rsid w:val="00BD1B32"/>
    <w:rsid w:val="00BD2AB5"/>
    <w:rsid w:val="00BD3A63"/>
    <w:rsid w:val="00BE6662"/>
    <w:rsid w:val="00BF5D8B"/>
    <w:rsid w:val="00C0225C"/>
    <w:rsid w:val="00C07298"/>
    <w:rsid w:val="00C16A3A"/>
    <w:rsid w:val="00C366FC"/>
    <w:rsid w:val="00C37F98"/>
    <w:rsid w:val="00C656F1"/>
    <w:rsid w:val="00C83C63"/>
    <w:rsid w:val="00C87330"/>
    <w:rsid w:val="00CA7ACB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CF5C4A"/>
    <w:rsid w:val="00D033DE"/>
    <w:rsid w:val="00D05AA7"/>
    <w:rsid w:val="00D162B0"/>
    <w:rsid w:val="00D167E3"/>
    <w:rsid w:val="00D23128"/>
    <w:rsid w:val="00D3045F"/>
    <w:rsid w:val="00D41DF4"/>
    <w:rsid w:val="00D445F8"/>
    <w:rsid w:val="00D65132"/>
    <w:rsid w:val="00D6562C"/>
    <w:rsid w:val="00D66D2E"/>
    <w:rsid w:val="00D67611"/>
    <w:rsid w:val="00D76F2E"/>
    <w:rsid w:val="00D8509C"/>
    <w:rsid w:val="00D85478"/>
    <w:rsid w:val="00DA7C37"/>
    <w:rsid w:val="00DB39E3"/>
    <w:rsid w:val="00DB4B07"/>
    <w:rsid w:val="00DB5906"/>
    <w:rsid w:val="00DE26C2"/>
    <w:rsid w:val="00DF2836"/>
    <w:rsid w:val="00DF49ED"/>
    <w:rsid w:val="00E018FC"/>
    <w:rsid w:val="00E0783B"/>
    <w:rsid w:val="00E10958"/>
    <w:rsid w:val="00E11908"/>
    <w:rsid w:val="00E162A5"/>
    <w:rsid w:val="00E3202C"/>
    <w:rsid w:val="00E4028B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341D"/>
    <w:rsid w:val="00E95B84"/>
    <w:rsid w:val="00EA046C"/>
    <w:rsid w:val="00EA459A"/>
    <w:rsid w:val="00EA522D"/>
    <w:rsid w:val="00EA5CB6"/>
    <w:rsid w:val="00EB087E"/>
    <w:rsid w:val="00EB41A1"/>
    <w:rsid w:val="00EB6DF3"/>
    <w:rsid w:val="00EC090C"/>
    <w:rsid w:val="00EC2BA5"/>
    <w:rsid w:val="00EC307A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3C8D"/>
    <w:rsid w:val="00F55D9A"/>
    <w:rsid w:val="00F55E62"/>
    <w:rsid w:val="00F5770B"/>
    <w:rsid w:val="00F731E2"/>
    <w:rsid w:val="00F775F2"/>
    <w:rsid w:val="00F8386D"/>
    <w:rsid w:val="00F86A35"/>
    <w:rsid w:val="00F87904"/>
    <w:rsid w:val="00F96C29"/>
    <w:rsid w:val="00FA67F8"/>
    <w:rsid w:val="00FA7AF9"/>
    <w:rsid w:val="00FB7669"/>
    <w:rsid w:val="00FC0231"/>
    <w:rsid w:val="00FC551F"/>
    <w:rsid w:val="00FD6095"/>
    <w:rsid w:val="00FF6381"/>
    <w:rsid w:val="7BB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BD69E"/>
  <w15:chartTrackingRefBased/>
  <w15:docId w15:val="{7214864D-F5F2-4560-AB2A-4BD1AA74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34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341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34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341D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712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policy.corp.cvscaremark.com/pnp/faces/DocRenderer?documentId=SPO-0135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D0386-9317-4749-8397-5BD9DF5045DC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595</Words>
  <Characters>3396</Characters>
  <Application>Microsoft Office Word</Application>
  <DocSecurity>0</DocSecurity>
  <Lines>28</Lines>
  <Paragraphs>7</Paragraphs>
  <ScaleCrop>false</ScaleCrop>
  <Company>CVS Health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Pipkin, Keri B</cp:lastModifiedBy>
  <cp:revision>4</cp:revision>
  <dcterms:created xsi:type="dcterms:W3CDTF">2025-02-20T14:25:00Z</dcterms:created>
  <dcterms:modified xsi:type="dcterms:W3CDTF">2025-02-20T14:35:00Z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2022-02-08T18:01:52Z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eeaa7669-a5d4-457a-ad44-9632d4f7ce62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mments">
    <vt:lpwstr/>
  </property>
</Properties>
</file>