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D7C4" w14:textId="167ADFB0" w:rsidR="00255C6B" w:rsidRPr="0058134F" w:rsidRDefault="000A6B99" w:rsidP="006A32A5">
      <w:pPr>
        <w:pStyle w:val="Heading1"/>
        <w:spacing w:before="120" w:after="120"/>
        <w:rPr>
          <w:rFonts w:ascii="Verdana" w:hAnsi="Verdana"/>
          <w:color w:val="000000"/>
          <w:sz w:val="36"/>
          <w:szCs w:val="36"/>
        </w:rPr>
      </w:pPr>
      <w:bookmarkStart w:id="0" w:name="_top"/>
      <w:bookmarkStart w:id="1" w:name="OLE_LINK20"/>
      <w:bookmarkEnd w:id="0"/>
      <w:r>
        <w:rPr>
          <w:rFonts w:ascii="Verdana" w:hAnsi="Verdana"/>
          <w:color w:val="000000"/>
          <w:sz w:val="36"/>
          <w:szCs w:val="36"/>
        </w:rPr>
        <w:t xml:space="preserve">Aetna </w:t>
      </w:r>
      <w:r w:rsidR="00D95DD3">
        <w:rPr>
          <w:rFonts w:ascii="Verdana" w:hAnsi="Verdana"/>
          <w:color w:val="000000"/>
          <w:sz w:val="36"/>
          <w:szCs w:val="36"/>
        </w:rPr>
        <w:t xml:space="preserve">Med D - </w:t>
      </w:r>
      <w:r w:rsidR="006571A8">
        <w:rPr>
          <w:rFonts w:ascii="Verdana" w:hAnsi="Verdana"/>
          <w:color w:val="000000"/>
          <w:sz w:val="36"/>
          <w:szCs w:val="36"/>
        </w:rPr>
        <w:t>202</w:t>
      </w:r>
      <w:r w:rsidR="00AB1E43">
        <w:rPr>
          <w:rFonts w:ascii="Verdana" w:hAnsi="Verdana"/>
          <w:color w:val="000000"/>
          <w:sz w:val="36"/>
          <w:szCs w:val="36"/>
        </w:rPr>
        <w:t>6</w:t>
      </w:r>
      <w:r w:rsidR="006571A8">
        <w:rPr>
          <w:rFonts w:ascii="Verdana" w:hAnsi="Verdana"/>
          <w:color w:val="000000"/>
          <w:sz w:val="36"/>
          <w:szCs w:val="36"/>
        </w:rPr>
        <w:t xml:space="preserve"> </w:t>
      </w:r>
      <w:r w:rsidR="002E4878">
        <w:rPr>
          <w:rFonts w:ascii="Verdana" w:hAnsi="Verdana"/>
          <w:color w:val="000000"/>
          <w:sz w:val="36"/>
          <w:szCs w:val="36"/>
        </w:rPr>
        <w:t xml:space="preserve">Low Income </w:t>
      </w:r>
      <w:bookmarkStart w:id="2" w:name="OLE_LINK31"/>
      <w:r w:rsidR="002E4878">
        <w:rPr>
          <w:rFonts w:ascii="Verdana" w:hAnsi="Verdana"/>
          <w:color w:val="000000"/>
          <w:sz w:val="36"/>
          <w:szCs w:val="36"/>
        </w:rPr>
        <w:t>Subsidy (LIS/LICS)</w:t>
      </w:r>
      <w:r w:rsidR="000706E2">
        <w:rPr>
          <w:rFonts w:ascii="Verdana" w:hAnsi="Verdana"/>
          <w:color w:val="000000"/>
          <w:sz w:val="36"/>
          <w:szCs w:val="36"/>
        </w:rPr>
        <w:t xml:space="preserve"> Levels</w:t>
      </w:r>
      <w:r w:rsidR="00313195">
        <w:rPr>
          <w:rFonts w:ascii="Verdana" w:hAnsi="Verdana"/>
          <w:color w:val="000000"/>
          <w:sz w:val="36"/>
          <w:szCs w:val="36"/>
        </w:rPr>
        <w:t xml:space="preserve"> / Copay</w:t>
      </w:r>
      <w:bookmarkEnd w:id="2"/>
    </w:p>
    <w:bookmarkEnd w:id="1"/>
    <w:p w14:paraId="2CFE5151" w14:textId="103BF085" w:rsidR="00541A81" w:rsidRDefault="00541A81" w:rsidP="00CC2354">
      <w:pPr>
        <w:pStyle w:val="TOC2"/>
      </w:pPr>
    </w:p>
    <w:p w14:paraId="2D0E3CD4" w14:textId="5B55FE9C" w:rsidR="00CC2354" w:rsidRDefault="0058134F" w:rsidP="00CC2354">
      <w:pPr>
        <w:pStyle w:val="TOC2"/>
        <w:rPr>
          <w:rFonts w:asciiTheme="minorHAnsi" w:eastAsiaTheme="minorEastAsia" w:hAnsiTheme="minorHAnsi" w:cstheme="minorBidi"/>
          <w:noProof/>
          <w:color w:val="auto"/>
          <w:kern w:val="2"/>
          <w:sz w:val="22"/>
          <w:szCs w:val="22"/>
          <w:u w:val="none"/>
          <w14:ligatures w14:val="standardContextual"/>
        </w:rPr>
      </w:pPr>
      <w:r w:rsidRPr="004C0BB2">
        <w:rPr>
          <w:u w:val="none"/>
        </w:rPr>
        <w:fldChar w:fldCharType="begin"/>
      </w:r>
      <w:r w:rsidRPr="004C0BB2">
        <w:rPr>
          <w:u w:val="none"/>
        </w:rPr>
        <w:instrText xml:space="preserve"> TOC \o "2-2" \n \h \z \u </w:instrText>
      </w:r>
      <w:r w:rsidRPr="004C0BB2">
        <w:rPr>
          <w:u w:val="none"/>
        </w:rPr>
        <w:fldChar w:fldCharType="separate"/>
      </w:r>
      <w:hyperlink w:anchor="_Toc175130384" w:history="1">
        <w:r w:rsidR="00CC2354" w:rsidRPr="009527C3">
          <w:rPr>
            <w:rStyle w:val="Hyperlink"/>
            <w:noProof/>
          </w:rPr>
          <w:t>2024 - 2025 Differences for LICS Coverage (Levels 1- 3)</w:t>
        </w:r>
      </w:hyperlink>
    </w:p>
    <w:p w14:paraId="164062FE" w14:textId="1059CBF3" w:rsidR="00CC2354" w:rsidRDefault="00CC2354" w:rsidP="00CC2354">
      <w:pPr>
        <w:pStyle w:val="TOC2"/>
        <w:rPr>
          <w:rFonts w:asciiTheme="minorHAnsi" w:eastAsiaTheme="minorEastAsia" w:hAnsiTheme="minorHAnsi" w:cstheme="minorBidi"/>
          <w:noProof/>
          <w:color w:val="auto"/>
          <w:kern w:val="2"/>
          <w:sz w:val="22"/>
          <w:szCs w:val="22"/>
          <w:u w:val="none"/>
          <w14:ligatures w14:val="standardContextual"/>
        </w:rPr>
      </w:pPr>
      <w:hyperlink w:anchor="_Toc175130385" w:history="1">
        <w:r w:rsidRPr="009527C3">
          <w:rPr>
            <w:rStyle w:val="Hyperlink"/>
            <w:noProof/>
          </w:rPr>
          <w:t>2025 - Low Income Subsidy Levels, Premium Subsides and Cost Shares</w:t>
        </w:r>
      </w:hyperlink>
    </w:p>
    <w:p w14:paraId="3F2269D0" w14:textId="5E9753CC" w:rsidR="00CC2354" w:rsidRDefault="00CC2354" w:rsidP="00CC2354">
      <w:pPr>
        <w:pStyle w:val="TOC2"/>
        <w:rPr>
          <w:rFonts w:asciiTheme="minorHAnsi" w:eastAsiaTheme="minorEastAsia" w:hAnsiTheme="minorHAnsi" w:cstheme="minorBidi"/>
          <w:noProof/>
          <w:color w:val="auto"/>
          <w:kern w:val="2"/>
          <w:sz w:val="22"/>
          <w:szCs w:val="22"/>
          <w:u w:val="none"/>
          <w14:ligatures w14:val="standardContextual"/>
        </w:rPr>
      </w:pPr>
      <w:hyperlink w:anchor="_Toc175130386" w:history="1">
        <w:r w:rsidRPr="009527C3">
          <w:rPr>
            <w:rStyle w:val="Hyperlink"/>
            <w:noProof/>
          </w:rPr>
          <w:t>Related Documents</w:t>
        </w:r>
      </w:hyperlink>
    </w:p>
    <w:p w14:paraId="4A2236AA" w14:textId="61EA8A30" w:rsidR="0058134F" w:rsidRDefault="0058134F" w:rsidP="00CC2354">
      <w:pPr>
        <w:pStyle w:val="TOC2"/>
      </w:pPr>
      <w:r w:rsidRPr="004C0BB2">
        <w:fldChar w:fldCharType="end"/>
      </w:r>
    </w:p>
    <w:p w14:paraId="0F5F8A32" w14:textId="77777777" w:rsidR="008B7360" w:rsidRPr="008B7360" w:rsidRDefault="008B7360" w:rsidP="006A32A5">
      <w:pPr>
        <w:spacing w:before="120" w:after="120"/>
      </w:pPr>
    </w:p>
    <w:p w14:paraId="1D97F007" w14:textId="33F61808" w:rsidR="006E7194" w:rsidRDefault="006A7EF8" w:rsidP="006A32A5">
      <w:pPr>
        <w:spacing w:before="120" w:after="120"/>
        <w:rPr>
          <w:rFonts w:ascii="Verdana" w:hAnsi="Verdana"/>
        </w:rPr>
      </w:pPr>
      <w:r>
        <w:rPr>
          <w:rFonts w:ascii="Verdana" w:hAnsi="Verdana"/>
          <w:b/>
        </w:rPr>
        <w:t>Description</w:t>
      </w:r>
      <w:proofErr w:type="gramStart"/>
      <w:r w:rsidR="006E7194" w:rsidRPr="00002AF0">
        <w:rPr>
          <w:rFonts w:ascii="Verdana" w:hAnsi="Verdana"/>
          <w:b/>
        </w:rPr>
        <w:t>:</w:t>
      </w:r>
      <w:r w:rsidR="00DC1E59">
        <w:rPr>
          <w:rFonts w:ascii="Verdana" w:hAnsi="Verdana"/>
          <w:b/>
        </w:rPr>
        <w:t xml:space="preserve">  </w:t>
      </w:r>
      <w:r w:rsidR="00541A81">
        <w:rPr>
          <w:rFonts w:ascii="Verdana" w:hAnsi="Verdana"/>
        </w:rPr>
        <w:t>C</w:t>
      </w:r>
      <w:r w:rsidR="00DC1E59">
        <w:rPr>
          <w:rFonts w:ascii="Verdana" w:hAnsi="Verdana"/>
        </w:rPr>
        <w:t>overs</w:t>
      </w:r>
      <w:proofErr w:type="gramEnd"/>
      <w:r w:rsidR="00DC1E59">
        <w:rPr>
          <w:rFonts w:ascii="Verdana" w:hAnsi="Verdana"/>
        </w:rPr>
        <w:t xml:space="preserve"> </w:t>
      </w:r>
      <w:r w:rsidR="000706E2">
        <w:rPr>
          <w:rFonts w:ascii="Verdana" w:hAnsi="Verdana"/>
        </w:rPr>
        <w:t xml:space="preserve">the program levels for </w:t>
      </w:r>
      <w:r w:rsidR="00DC1E59" w:rsidRPr="007D3FA2">
        <w:rPr>
          <w:rFonts w:ascii="Verdana" w:hAnsi="Verdana"/>
        </w:rPr>
        <w:t>Extra Help</w:t>
      </w:r>
      <w:r w:rsidR="00695FDE">
        <w:rPr>
          <w:rFonts w:ascii="Verdana" w:hAnsi="Verdana"/>
        </w:rPr>
        <w:t xml:space="preserve"> (</w:t>
      </w:r>
      <w:r w:rsidR="00DC1E59" w:rsidRPr="007D3FA2">
        <w:rPr>
          <w:rFonts w:ascii="Verdana" w:hAnsi="Verdana"/>
        </w:rPr>
        <w:t>Part D Low Income Subsidy</w:t>
      </w:r>
      <w:r w:rsidR="00695FDE">
        <w:rPr>
          <w:rFonts w:ascii="Verdana" w:hAnsi="Verdana"/>
        </w:rPr>
        <w:t>)</w:t>
      </w:r>
      <w:r w:rsidR="00DC1E59" w:rsidRPr="007D3FA2">
        <w:rPr>
          <w:rFonts w:ascii="Verdana" w:hAnsi="Verdana"/>
        </w:rPr>
        <w:t xml:space="preserve"> </w:t>
      </w:r>
      <w:r w:rsidR="00DC1E59">
        <w:rPr>
          <w:rFonts w:ascii="Verdana" w:hAnsi="Verdana"/>
        </w:rPr>
        <w:t xml:space="preserve">which </w:t>
      </w:r>
      <w:r w:rsidR="00DC1E59" w:rsidRPr="007D3FA2">
        <w:rPr>
          <w:rFonts w:ascii="Verdana" w:hAnsi="Verdana"/>
        </w:rPr>
        <w:t>is a program for members who need financial assist</w:t>
      </w:r>
      <w:r w:rsidR="00695FDE">
        <w:rPr>
          <w:rFonts w:ascii="Verdana" w:hAnsi="Verdana"/>
        </w:rPr>
        <w:t xml:space="preserve">ance with their </w:t>
      </w:r>
      <w:r w:rsidR="00DC1E59" w:rsidRPr="007D3FA2">
        <w:rPr>
          <w:rFonts w:ascii="Verdana" w:hAnsi="Verdana"/>
        </w:rPr>
        <w:t xml:space="preserve">plan costs.  </w:t>
      </w:r>
    </w:p>
    <w:p w14:paraId="4FB0BE98" w14:textId="269FD17E" w:rsidR="0048515B" w:rsidRDefault="0048515B" w:rsidP="006A32A5">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E7735" w:rsidRPr="007D3FA2" w14:paraId="1EC72FF9" w14:textId="77777777" w:rsidTr="004E4931">
        <w:tc>
          <w:tcPr>
            <w:tcW w:w="5000" w:type="pct"/>
            <w:shd w:val="clear" w:color="auto" w:fill="C0C0C0"/>
          </w:tcPr>
          <w:p w14:paraId="02F57CF3" w14:textId="3C3C6A46" w:rsidR="008E7735" w:rsidRPr="00D95DD3" w:rsidRDefault="006B11C1" w:rsidP="006A32A5">
            <w:pPr>
              <w:pStyle w:val="Heading2"/>
              <w:spacing w:before="120" w:after="120"/>
              <w:rPr>
                <w:rFonts w:ascii="Verdana" w:hAnsi="Verdana"/>
                <w:i w:val="0"/>
              </w:rPr>
            </w:pPr>
            <w:bookmarkStart w:id="3" w:name="_Toc175130384"/>
            <w:r>
              <w:rPr>
                <w:rFonts w:ascii="Verdana" w:hAnsi="Verdana"/>
                <w:i w:val="0"/>
              </w:rPr>
              <w:t>20</w:t>
            </w:r>
            <w:r w:rsidR="00541A81">
              <w:rPr>
                <w:rFonts w:ascii="Verdana" w:hAnsi="Verdana"/>
                <w:i w:val="0"/>
              </w:rPr>
              <w:t>2</w:t>
            </w:r>
            <w:r w:rsidR="00AB1E43">
              <w:rPr>
                <w:rFonts w:ascii="Verdana" w:hAnsi="Verdana"/>
                <w:i w:val="0"/>
              </w:rPr>
              <w:t>5</w:t>
            </w:r>
            <w:r>
              <w:rPr>
                <w:rFonts w:ascii="Verdana" w:hAnsi="Verdana"/>
                <w:i w:val="0"/>
              </w:rPr>
              <w:t xml:space="preserve"> - 20</w:t>
            </w:r>
            <w:r w:rsidR="00CC1995">
              <w:rPr>
                <w:rFonts w:ascii="Verdana" w:hAnsi="Verdana"/>
                <w:i w:val="0"/>
              </w:rPr>
              <w:t>2</w:t>
            </w:r>
            <w:r w:rsidR="00AB1E43">
              <w:rPr>
                <w:rFonts w:ascii="Verdana" w:hAnsi="Verdana"/>
                <w:i w:val="0"/>
              </w:rPr>
              <w:t>6</w:t>
            </w:r>
            <w:r w:rsidR="008E7735" w:rsidRPr="00D95DD3">
              <w:rPr>
                <w:rFonts w:ascii="Verdana" w:hAnsi="Verdana"/>
                <w:i w:val="0"/>
              </w:rPr>
              <w:t xml:space="preserve"> Differences for LICS Coverage</w:t>
            </w:r>
            <w:r w:rsidR="00E31C0F">
              <w:rPr>
                <w:rFonts w:ascii="Verdana" w:hAnsi="Verdana"/>
                <w:i w:val="0"/>
              </w:rPr>
              <w:t xml:space="preserve"> (Levels 1-</w:t>
            </w:r>
            <w:r w:rsidR="000706E2">
              <w:rPr>
                <w:rFonts w:ascii="Verdana" w:hAnsi="Verdana"/>
                <w:i w:val="0"/>
              </w:rPr>
              <w:t xml:space="preserve"> </w:t>
            </w:r>
            <w:r w:rsidR="00B83645">
              <w:rPr>
                <w:rFonts w:ascii="Verdana" w:hAnsi="Verdana"/>
                <w:i w:val="0"/>
              </w:rPr>
              <w:t>3</w:t>
            </w:r>
            <w:r w:rsidR="00E31C0F">
              <w:rPr>
                <w:rFonts w:ascii="Verdana" w:hAnsi="Verdana"/>
                <w:i w:val="0"/>
              </w:rPr>
              <w:t>)</w:t>
            </w:r>
            <w:bookmarkEnd w:id="3"/>
          </w:p>
        </w:tc>
      </w:tr>
    </w:tbl>
    <w:p w14:paraId="36DB3E57" w14:textId="68D7E1D9" w:rsidR="008B0F37" w:rsidRDefault="008B0F37" w:rsidP="006A32A5">
      <w:pPr>
        <w:spacing w:before="120" w:after="120"/>
        <w:jc w:val="center"/>
        <w:rPr>
          <w:rFonts w:ascii="Verdana" w:hAnsi="Verdana"/>
        </w:rPr>
      </w:pPr>
    </w:p>
    <w:p w14:paraId="28F50FE8" w14:textId="77777777" w:rsidR="00BE0916" w:rsidRDefault="00BE0916" w:rsidP="006A32A5">
      <w:pPr>
        <w:spacing w:before="120" w:after="120"/>
        <w:jc w:val="center"/>
        <w:rPr>
          <w:noProof/>
        </w:rPr>
      </w:pPr>
    </w:p>
    <w:p w14:paraId="29021E65" w14:textId="31789364" w:rsidR="00541A81" w:rsidRDefault="00B83645" w:rsidP="006A32A5">
      <w:pPr>
        <w:spacing w:before="120" w:after="120"/>
        <w:jc w:val="center"/>
        <w:rPr>
          <w:noProof/>
        </w:rPr>
      </w:pPr>
      <w:r>
        <w:rPr>
          <w:noProof/>
        </w:rPr>
        <w:t xml:space="preserve"> </w:t>
      </w:r>
    </w:p>
    <w:tbl>
      <w:tblPr>
        <w:tblW w:w="18000" w:type="dxa"/>
        <w:jc w:val="center"/>
        <w:tblBorders>
          <w:top w:val="single" w:sz="6" w:space="0" w:color="7B7265"/>
          <w:left w:val="single" w:sz="6" w:space="0" w:color="7B7265"/>
          <w:bottom w:val="single" w:sz="6" w:space="0" w:color="7B7265"/>
          <w:right w:val="single" w:sz="6" w:space="0" w:color="7B7265"/>
        </w:tblBorders>
        <w:tblCellMar>
          <w:top w:w="15" w:type="dxa"/>
          <w:left w:w="15" w:type="dxa"/>
          <w:bottom w:w="15" w:type="dxa"/>
          <w:right w:w="15" w:type="dxa"/>
        </w:tblCellMar>
        <w:tblLook w:val="04A0" w:firstRow="1" w:lastRow="0" w:firstColumn="1" w:lastColumn="0" w:noHBand="0" w:noVBand="1"/>
      </w:tblPr>
      <w:tblGrid>
        <w:gridCol w:w="731"/>
        <w:gridCol w:w="17269"/>
      </w:tblGrid>
      <w:tr w:rsidR="00B83645" w:rsidRPr="00B83645" w14:paraId="4251D73A" w14:textId="77777777" w:rsidTr="000D7E14">
        <w:trPr>
          <w:trHeight w:val="1008"/>
          <w:jc w:val="center"/>
        </w:trPr>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2910C0E2" w14:textId="77777777" w:rsidR="00B83645" w:rsidRPr="005B28D5" w:rsidRDefault="00B83645" w:rsidP="000D7E14">
            <w:pPr>
              <w:spacing w:before="120" w:after="120"/>
              <w:rPr>
                <w:rFonts w:ascii="Verdana" w:hAnsi="Verdana" w:cs="Arial"/>
              </w:rPr>
            </w:pPr>
            <w:r w:rsidRPr="00B83645">
              <w:rPr>
                <w:rFonts w:ascii="Arial" w:hAnsi="Arial" w:cs="Arial"/>
              </w:rPr>
              <w:t>​</w:t>
            </w:r>
            <w:r w:rsidRPr="005B28D5">
              <w:rPr>
                <w:rStyle w:val="Strong"/>
                <w:rFonts w:ascii="Verdana" w:hAnsi="Verdana" w:cs="Arial"/>
                <w:b w:val="0"/>
                <w:bCs w:val="0"/>
              </w:rPr>
              <w:t>[1]</w:t>
            </w:r>
          </w:p>
        </w:tc>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02C45DDF" w14:textId="77777777" w:rsidR="00B83645" w:rsidRPr="005B28D5" w:rsidRDefault="00B83645" w:rsidP="000D7E14">
            <w:pPr>
              <w:spacing w:before="120" w:after="120"/>
              <w:rPr>
                <w:rFonts w:ascii="Verdana" w:hAnsi="Verdana" w:cs="Arial"/>
              </w:rPr>
            </w:pPr>
            <w:r w:rsidRPr="005B28D5">
              <w:rPr>
                <w:rFonts w:ascii="Verdana" w:hAnsi="Verdana" w:cs="Arial"/>
              </w:rPr>
              <w:t>During Initial Coverage, Extra Help beneficiaries will pay the lesser amount: </w:t>
            </w:r>
            <w:r w:rsidRPr="005B28D5">
              <w:rPr>
                <w:rStyle w:val="Strong"/>
                <w:rFonts w:ascii="Verdana" w:hAnsi="Verdana" w:cs="Arial"/>
                <w:b w:val="0"/>
                <w:bCs w:val="0"/>
              </w:rPr>
              <w:t>Either</w:t>
            </w:r>
            <w:r w:rsidRPr="005B28D5">
              <w:rPr>
                <w:rFonts w:ascii="Verdana" w:hAnsi="Verdana" w:cs="Arial"/>
              </w:rPr>
              <w:t> the Extra Help cost share listed above (based on their LIS Level) </w:t>
            </w:r>
            <w:r w:rsidRPr="005B28D5">
              <w:rPr>
                <w:rStyle w:val="Strong"/>
                <w:rFonts w:ascii="Verdana" w:hAnsi="Verdana" w:cs="Arial"/>
                <w:b w:val="0"/>
                <w:bCs w:val="0"/>
              </w:rPr>
              <w:t>or</w:t>
            </w:r>
            <w:r w:rsidRPr="005B28D5">
              <w:rPr>
                <w:rFonts w:ascii="Verdana" w:hAnsi="Verdana" w:cs="Arial"/>
              </w:rPr>
              <w:t> the plan's regular copay or coinsurance. During Initial Coverage, the regular cost share for some medications may be lower than the Extra Help cost share listed above (based on the beneficiary's LIS Level). </w:t>
            </w:r>
            <w:hyperlink r:id="rId11" w:tgtFrame="_blank" w:history="1">
              <w:r w:rsidRPr="005B28D5">
                <w:rPr>
                  <w:rStyle w:val="Hyperlink"/>
                  <w:rFonts w:ascii="Verdana" w:hAnsi="Verdana" w:cs="Arial"/>
                </w:rPr>
                <w:t>View example image here.</w:t>
              </w:r>
            </w:hyperlink>
          </w:p>
        </w:tc>
      </w:tr>
      <w:tr w:rsidR="00B83645" w:rsidRPr="00B83645" w14:paraId="7E69E556" w14:textId="77777777" w:rsidTr="000D7E14">
        <w:trPr>
          <w:trHeight w:val="1008"/>
          <w:jc w:val="center"/>
        </w:trPr>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58BAB426" w14:textId="77777777" w:rsidR="00B83645" w:rsidRPr="005B28D5" w:rsidRDefault="00B83645" w:rsidP="000D7E14">
            <w:pPr>
              <w:spacing w:before="120" w:after="120"/>
              <w:rPr>
                <w:rFonts w:ascii="Verdana" w:hAnsi="Verdana" w:cs="Arial"/>
              </w:rPr>
            </w:pPr>
            <w:r w:rsidRPr="00B83645">
              <w:rPr>
                <w:rFonts w:ascii="Arial" w:hAnsi="Arial" w:cs="Arial"/>
              </w:rPr>
              <w:t>​​</w:t>
            </w:r>
            <w:r w:rsidRPr="005B28D5">
              <w:rPr>
                <w:rStyle w:val="Strong"/>
                <w:rFonts w:ascii="Verdana" w:hAnsi="Verdana" w:cs="Arial"/>
                <w:b w:val="0"/>
                <w:bCs w:val="0"/>
              </w:rPr>
              <w:t>[2]</w:t>
            </w:r>
          </w:p>
        </w:tc>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0D9DEBC0" w14:textId="2DC76744" w:rsidR="00B83645" w:rsidRPr="005B28D5" w:rsidRDefault="00B83645" w:rsidP="000D7E14">
            <w:pPr>
              <w:spacing w:before="120" w:after="120"/>
              <w:rPr>
                <w:rFonts w:ascii="Verdana" w:hAnsi="Verdana" w:cs="Arial"/>
              </w:rPr>
            </w:pPr>
            <w:r w:rsidRPr="005B28D5">
              <w:rPr>
                <w:rFonts w:ascii="Verdana" w:hAnsi="Verdana" w:cs="Arial"/>
              </w:rPr>
              <w:t xml:space="preserve">Once a LIS member's Rx OOP (out of pocket, also referred to as </w:t>
            </w:r>
            <w:proofErr w:type="spellStart"/>
            <w:r w:rsidRPr="005B28D5">
              <w:rPr>
                <w:rFonts w:ascii="Verdana" w:hAnsi="Verdana" w:cs="Arial"/>
              </w:rPr>
              <w:t>TrOOP</w:t>
            </w:r>
            <w:proofErr w:type="spellEnd"/>
            <w:r w:rsidRPr="005B28D5">
              <w:rPr>
                <w:rFonts w:ascii="Verdana" w:hAnsi="Verdana" w:cs="Arial"/>
              </w:rPr>
              <w:t>, which includes what Medicare pays on the beneficiary's behalf as extra help), reaches $2,</w:t>
            </w:r>
            <w:r w:rsidR="00F024E9">
              <w:rPr>
                <w:rFonts w:ascii="Verdana" w:hAnsi="Verdana" w:cs="Arial"/>
              </w:rPr>
              <w:t>1</w:t>
            </w:r>
            <w:r w:rsidRPr="005B28D5">
              <w:rPr>
                <w:rFonts w:ascii="Verdana" w:hAnsi="Verdana" w:cs="Arial"/>
              </w:rPr>
              <w:t xml:space="preserve">00 (reaching the Catastrophic benefit stage), the member's cost share will go down to $0 per prescription (generic or all others). </w:t>
            </w:r>
            <w:r w:rsidRPr="00B83645">
              <w:rPr>
                <w:rFonts w:ascii="Arial" w:hAnsi="Arial" w:cs="Arial"/>
              </w:rPr>
              <w:t>​</w:t>
            </w:r>
          </w:p>
        </w:tc>
      </w:tr>
      <w:tr w:rsidR="00B83645" w:rsidRPr="00B83645" w14:paraId="30277817" w14:textId="77777777" w:rsidTr="000D7E14">
        <w:trPr>
          <w:trHeight w:val="1008"/>
          <w:jc w:val="center"/>
        </w:trPr>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3F90041C" w14:textId="77777777" w:rsidR="00B83645" w:rsidRPr="005B28D5" w:rsidRDefault="00B83645" w:rsidP="000D7E14">
            <w:pPr>
              <w:spacing w:before="120" w:after="120"/>
              <w:rPr>
                <w:rFonts w:ascii="Verdana" w:hAnsi="Verdana" w:cs="Arial"/>
              </w:rPr>
            </w:pPr>
            <w:r w:rsidRPr="00B83645">
              <w:rPr>
                <w:rFonts w:ascii="Arial" w:hAnsi="Arial" w:cs="Arial"/>
              </w:rPr>
              <w:t>​​</w:t>
            </w:r>
            <w:r w:rsidRPr="005B28D5">
              <w:rPr>
                <w:rStyle w:val="Strong"/>
                <w:rFonts w:ascii="Verdana" w:hAnsi="Verdana" w:cs="Arial"/>
                <w:b w:val="0"/>
                <w:bCs w:val="0"/>
              </w:rPr>
              <w:t>[3]</w:t>
            </w:r>
          </w:p>
        </w:tc>
        <w:tc>
          <w:tcPr>
            <w:tcW w:w="0" w:type="auto"/>
            <w:tcBorders>
              <w:top w:val="single" w:sz="6" w:space="0" w:color="7B7265"/>
              <w:left w:val="single" w:sz="6" w:space="0" w:color="7B7265"/>
              <w:bottom w:val="single" w:sz="6" w:space="0" w:color="7B7265"/>
              <w:right w:val="single" w:sz="6" w:space="0" w:color="7B7265"/>
            </w:tcBorders>
            <w:shd w:val="clear" w:color="auto" w:fill="auto"/>
            <w:tcMar>
              <w:top w:w="120" w:type="dxa"/>
              <w:left w:w="120" w:type="dxa"/>
              <w:bottom w:w="120" w:type="dxa"/>
              <w:right w:w="240" w:type="dxa"/>
            </w:tcMar>
            <w:vAlign w:val="center"/>
            <w:hideMark/>
          </w:tcPr>
          <w:p w14:paraId="12FA875B" w14:textId="77777777" w:rsidR="00B83645" w:rsidRPr="005B28D5" w:rsidRDefault="00B83645" w:rsidP="000D7E14">
            <w:pPr>
              <w:spacing w:before="120" w:after="120"/>
              <w:rPr>
                <w:rFonts w:ascii="Verdana" w:hAnsi="Verdana" w:cs="Arial"/>
              </w:rPr>
            </w:pPr>
            <w:r w:rsidRPr="005B28D5">
              <w:rPr>
                <w:rFonts w:ascii="Verdana" w:hAnsi="Verdana" w:cs="Arial"/>
              </w:rPr>
              <w:t xml:space="preserve">The cost share listed as </w:t>
            </w:r>
            <w:proofErr w:type="gramStart"/>
            <w:r w:rsidRPr="005B28D5">
              <w:rPr>
                <w:rFonts w:ascii="Verdana" w:hAnsi="Verdana" w:cs="Arial"/>
              </w:rPr>
              <w:t>a co</w:t>
            </w:r>
            <w:proofErr w:type="gramEnd"/>
            <w:r w:rsidRPr="005B28D5">
              <w:rPr>
                <w:rFonts w:ascii="Verdana" w:hAnsi="Verdana" w:cs="Arial"/>
              </w:rPr>
              <w:t>-pay (set dollar amount instead of a percentage) is NOT based on the "</w:t>
            </w:r>
            <w:proofErr w:type="spellStart"/>
            <w:r w:rsidRPr="005B28D5">
              <w:rPr>
                <w:rFonts w:ascii="Verdana" w:hAnsi="Verdana" w:cs="Arial"/>
              </w:rPr>
              <w:t>days</w:t>
            </w:r>
            <w:proofErr w:type="spellEnd"/>
            <w:r w:rsidRPr="005B28D5">
              <w:rPr>
                <w:rFonts w:ascii="Verdana" w:hAnsi="Verdana" w:cs="Arial"/>
              </w:rPr>
              <w:t xml:space="preserve"> supply" filled. This is a cost-effective option for Extra Help members using medications that are eligible for 90-day fills. </w:t>
            </w:r>
            <w:hyperlink r:id="rId12" w:tgtFrame="_blank" w:history="1">
              <w:r w:rsidRPr="005B28D5">
                <w:rPr>
                  <w:rStyle w:val="Hyperlink"/>
                  <w:rFonts w:ascii="Verdana" w:hAnsi="Verdana" w:cs="Arial"/>
                </w:rPr>
                <w:t>View example image here.</w:t>
              </w:r>
            </w:hyperlink>
          </w:p>
        </w:tc>
      </w:tr>
    </w:tbl>
    <w:p w14:paraId="770B817C" w14:textId="77777777" w:rsidR="00B83645" w:rsidRDefault="00B83645" w:rsidP="006A32A5">
      <w:pPr>
        <w:spacing w:before="120" w:after="120"/>
        <w:jc w:val="center"/>
        <w:rPr>
          <w:noProof/>
        </w:rPr>
      </w:pPr>
    </w:p>
    <w:p w14:paraId="7711E78D" w14:textId="77777777" w:rsidR="00B83645" w:rsidRDefault="00B83645" w:rsidP="006A32A5">
      <w:pPr>
        <w:spacing w:before="120" w:after="120"/>
        <w:jc w:val="center"/>
        <w:rPr>
          <w:noProof/>
        </w:rPr>
      </w:pPr>
    </w:p>
    <w:p w14:paraId="13F34D80" w14:textId="77777777" w:rsidR="00F76360" w:rsidRDefault="00F76360" w:rsidP="006A32A5">
      <w:pPr>
        <w:spacing w:before="120" w:after="120"/>
        <w:rPr>
          <w:rFonts w:ascii="Verdana" w:hAnsi="Verdana"/>
        </w:rPr>
      </w:pPr>
    </w:p>
    <w:p w14:paraId="77F0DC52" w14:textId="1DCCEB00" w:rsidR="00E31C0F" w:rsidRDefault="00E31C0F" w:rsidP="006A32A5">
      <w:pPr>
        <w:spacing w:before="120" w:after="120"/>
        <w:rPr>
          <w:rFonts w:ascii="Verdana" w:hAnsi="Verdana"/>
        </w:rPr>
      </w:pPr>
      <w:r w:rsidRPr="004D7D5D">
        <w:rPr>
          <w:rFonts w:ascii="Verdana" w:hAnsi="Verdana"/>
        </w:rPr>
        <w:t xml:space="preserve">There are </w:t>
      </w:r>
      <w:r w:rsidR="00BE0916">
        <w:rPr>
          <w:rFonts w:ascii="Verdana" w:hAnsi="Verdana"/>
        </w:rPr>
        <w:t>3</w:t>
      </w:r>
      <w:r w:rsidRPr="004D7D5D">
        <w:rPr>
          <w:rFonts w:ascii="Verdana" w:hAnsi="Verdana"/>
        </w:rPr>
        <w:t xml:space="preserve"> categories (levels) of extra help. The level of extra help someone gets affects what they pay. Typically, your level of extra help depends on your income and resources.</w:t>
      </w:r>
    </w:p>
    <w:p w14:paraId="51B62937" w14:textId="77777777" w:rsidR="00725A00" w:rsidRPr="00725A00" w:rsidRDefault="00725A00" w:rsidP="006A32A5">
      <w:pPr>
        <w:spacing w:before="120" w:after="120"/>
        <w:rPr>
          <w:rFonts w:ascii="Verdana" w:hAnsi="Verdana"/>
        </w:rPr>
      </w:pPr>
    </w:p>
    <w:p w14:paraId="4A34BCAC" w14:textId="4633DB59" w:rsidR="00725A00" w:rsidRDefault="00725A00" w:rsidP="006A32A5">
      <w:pPr>
        <w:spacing w:before="120" w:after="120"/>
        <w:rPr>
          <w:rFonts w:ascii="Verdana" w:hAnsi="Verdana"/>
        </w:rPr>
      </w:pPr>
      <w:r>
        <w:rPr>
          <w:rFonts w:ascii="Verdana" w:hAnsi="Verdana"/>
          <w:noProof/>
        </w:rPr>
        <w:drawing>
          <wp:inline distT="0" distB="0" distL="0" distR="0" wp14:anchorId="57E32D1C" wp14:editId="1434C074">
            <wp:extent cx="247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pic:spPr>
                </pic:pic>
              </a:graphicData>
            </a:graphic>
          </wp:inline>
        </w:drawing>
      </w:r>
      <w:r>
        <w:rPr>
          <w:rFonts w:ascii="Verdana" w:hAnsi="Verdana"/>
        </w:rPr>
        <w:t xml:space="preserve"> </w:t>
      </w:r>
      <w:r w:rsidR="00D00F83">
        <w:rPr>
          <w:rFonts w:ascii="Verdana" w:hAnsi="Verdana"/>
        </w:rPr>
        <w:t>There</w:t>
      </w:r>
      <w:r w:rsidRPr="00725A00">
        <w:rPr>
          <w:rFonts w:ascii="Verdana" w:hAnsi="Verdana"/>
        </w:rPr>
        <w:t xml:space="preserve"> will be no more partial LIS </w:t>
      </w:r>
      <w:proofErr w:type="gramStart"/>
      <w:r w:rsidRPr="00725A00">
        <w:rPr>
          <w:rFonts w:ascii="Verdana" w:hAnsi="Verdana"/>
        </w:rPr>
        <w:t>benefit</w:t>
      </w:r>
      <w:proofErr w:type="gramEnd"/>
      <w:r w:rsidRPr="00725A00">
        <w:rPr>
          <w:rFonts w:ascii="Verdana" w:hAnsi="Verdana"/>
        </w:rPr>
        <w:t xml:space="preserve"> of 25%, 50% or 75%. </w:t>
      </w:r>
      <w:r w:rsidR="00D00F83">
        <w:rPr>
          <w:rFonts w:ascii="Verdana" w:hAnsi="Verdana"/>
        </w:rPr>
        <w:t>A</w:t>
      </w:r>
      <w:r w:rsidRPr="00725A00">
        <w:rPr>
          <w:rFonts w:ascii="Verdana" w:hAnsi="Verdana"/>
        </w:rPr>
        <w:t>ll qualified beneficiaries will be awarded the full 100% of the determined benefit amount.</w:t>
      </w:r>
    </w:p>
    <w:p w14:paraId="6D6F5738" w14:textId="77777777" w:rsidR="00725A00" w:rsidRDefault="00725A00" w:rsidP="006A32A5">
      <w:pPr>
        <w:spacing w:before="120" w:after="120"/>
        <w:rPr>
          <w:rFonts w:ascii="Verdana" w:hAnsi="Verdana"/>
        </w:rPr>
      </w:pPr>
    </w:p>
    <w:p w14:paraId="48607635" w14:textId="59603158" w:rsidR="005F2BAB" w:rsidRPr="005F2BAB" w:rsidRDefault="00000000" w:rsidP="006A32A5">
      <w:pPr>
        <w:spacing w:before="120" w:after="120"/>
        <w:rPr>
          <w:rFonts w:ascii="Verdana" w:hAnsi="Verdana"/>
          <w:b/>
        </w:rPr>
      </w:pPr>
      <w:r>
        <w:pict w14:anchorId="78097040">
          <v:shape id="Picture 2" o:spid="_x0000_i1028" type="#_x0000_t75" style="width:19pt;height:17.5pt;visibility:visible">
            <v:imagedata r:id="rId14" o:title=""/>
          </v:shape>
        </w:pict>
      </w:r>
      <w:r w:rsidR="005F2BAB">
        <w:rPr>
          <w:rFonts w:ascii="Verdana" w:hAnsi="Verdana"/>
          <w:b/>
        </w:rPr>
        <w:t xml:space="preserve">  </w:t>
      </w:r>
      <w:proofErr w:type="gramStart"/>
      <w:r w:rsidR="00E31C0F" w:rsidRPr="005F2BAB">
        <w:rPr>
          <w:rFonts w:ascii="Verdana" w:hAnsi="Verdana"/>
          <w:b/>
        </w:rPr>
        <w:t>LIS eligible</w:t>
      </w:r>
      <w:proofErr w:type="gramEnd"/>
      <w:r w:rsidR="00E31C0F" w:rsidRPr="005F2BAB">
        <w:rPr>
          <w:rFonts w:ascii="Verdana" w:hAnsi="Verdana"/>
          <w:b/>
        </w:rPr>
        <w:t xml:space="preserve"> members </w:t>
      </w:r>
      <w:r w:rsidR="00462655" w:rsidRPr="005F2BAB">
        <w:rPr>
          <w:rFonts w:ascii="Verdana" w:hAnsi="Verdana"/>
          <w:b/>
        </w:rPr>
        <w:t xml:space="preserve">will </w:t>
      </w:r>
      <w:r w:rsidR="005F2BAB">
        <w:rPr>
          <w:rFonts w:ascii="Verdana" w:hAnsi="Verdana"/>
          <w:b/>
        </w:rPr>
        <w:t>pay their LIS cost share, either</w:t>
      </w:r>
      <w:r w:rsidR="00E31C0F" w:rsidRPr="005F2BAB">
        <w:rPr>
          <w:rFonts w:ascii="Verdana" w:hAnsi="Verdana"/>
          <w:b/>
        </w:rPr>
        <w:t xml:space="preserve"> the plan’s cost share or the negotiated pric</w:t>
      </w:r>
      <w:r w:rsidR="005F2BAB">
        <w:rPr>
          <w:rFonts w:ascii="Verdana" w:hAnsi="Verdana"/>
          <w:b/>
        </w:rPr>
        <w:t xml:space="preserve">e of the drug, whichever is </w:t>
      </w:r>
      <w:r w:rsidR="005F2BAB" w:rsidRPr="008B7360">
        <w:rPr>
          <w:rFonts w:ascii="Verdana" w:hAnsi="Verdana"/>
          <w:b/>
          <w:iCs/>
        </w:rPr>
        <w:t>LESS</w:t>
      </w:r>
      <w:r w:rsidR="00E31C0F" w:rsidRPr="008B7360">
        <w:rPr>
          <w:rFonts w:ascii="Verdana" w:hAnsi="Verdana"/>
          <w:b/>
          <w:iCs/>
        </w:rPr>
        <w:t>.</w:t>
      </w:r>
    </w:p>
    <w:p w14:paraId="37A3AF50" w14:textId="77777777" w:rsidR="00E31C0F" w:rsidRDefault="00E31C0F" w:rsidP="006A32A5">
      <w:pPr>
        <w:spacing w:before="120" w:after="120"/>
        <w:rPr>
          <w:rFonts w:ascii="Verdana" w:hAnsi="Verdana"/>
          <w:b/>
          <w:bCs/>
          <w:iCs/>
        </w:rPr>
      </w:pPr>
    </w:p>
    <w:tbl>
      <w:tblPr>
        <w:tblW w:w="4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10835"/>
      </w:tblGrid>
      <w:tr w:rsidR="00E31C0F" w:rsidRPr="004D7D5D" w14:paraId="3AE75DA5" w14:textId="77777777" w:rsidTr="00270E70">
        <w:tc>
          <w:tcPr>
            <w:tcW w:w="5000" w:type="pct"/>
            <w:tcBorders>
              <w:top w:val="nil"/>
              <w:left w:val="nil"/>
              <w:bottom w:val="nil"/>
              <w:right w:val="nil"/>
            </w:tcBorders>
            <w:shd w:val="clear" w:color="auto" w:fill="auto"/>
          </w:tcPr>
          <w:p w14:paraId="1D8964A9" w14:textId="77777777" w:rsidR="00E31C0F" w:rsidRPr="004D7D5D" w:rsidRDefault="00E31C0F" w:rsidP="006A32A5">
            <w:pPr>
              <w:spacing w:before="120" w:after="120"/>
              <w:rPr>
                <w:rFonts w:ascii="Verdana" w:hAnsi="Verdana"/>
                <w:b/>
              </w:rPr>
            </w:pPr>
            <w:r w:rsidRPr="004D7D5D">
              <w:rPr>
                <w:rFonts w:ascii="Verdana" w:hAnsi="Verdana"/>
                <w:b/>
              </w:rPr>
              <w:t xml:space="preserve">LIS Levels 1, 2, &amp; 3: </w:t>
            </w:r>
          </w:p>
        </w:tc>
      </w:tr>
    </w:tbl>
    <w:p w14:paraId="590049E6" w14:textId="77777777" w:rsidR="00E31C0F" w:rsidRPr="004D7D5D" w:rsidRDefault="00E31C0F" w:rsidP="006A32A5">
      <w:pPr>
        <w:numPr>
          <w:ilvl w:val="0"/>
          <w:numId w:val="21"/>
        </w:numPr>
        <w:spacing w:before="120" w:after="120"/>
        <w:rPr>
          <w:rFonts w:ascii="Verdana" w:hAnsi="Verdana"/>
        </w:rPr>
      </w:pPr>
      <w:r w:rsidRPr="004D7D5D">
        <w:rPr>
          <w:rFonts w:ascii="Verdana" w:hAnsi="Verdana"/>
        </w:rPr>
        <w:t>Qualifying</w:t>
      </w:r>
      <w:proofErr w:type="gramStart"/>
      <w:r w:rsidRPr="004D7D5D">
        <w:rPr>
          <w:rFonts w:ascii="Verdana" w:hAnsi="Verdana"/>
        </w:rPr>
        <w:t>:  Includes</w:t>
      </w:r>
      <w:proofErr w:type="gramEnd"/>
      <w:r w:rsidR="00A36D7C">
        <w:rPr>
          <w:rFonts w:ascii="Verdana" w:hAnsi="Verdana"/>
        </w:rPr>
        <w:t xml:space="preserve"> those with Medicare &amp; Medicaid.</w:t>
      </w:r>
    </w:p>
    <w:p w14:paraId="7B1FD6EA" w14:textId="1CC59BAF" w:rsidR="00E31C0F" w:rsidRPr="00DC6A92" w:rsidRDefault="00E31C0F" w:rsidP="006A32A5">
      <w:pPr>
        <w:numPr>
          <w:ilvl w:val="0"/>
          <w:numId w:val="22"/>
        </w:numPr>
        <w:spacing w:before="120" w:after="120"/>
        <w:rPr>
          <w:rFonts w:ascii="Verdana" w:hAnsi="Verdana"/>
        </w:rPr>
      </w:pPr>
      <w:r w:rsidRPr="00DC6A92">
        <w:rPr>
          <w:rFonts w:ascii="Verdana" w:hAnsi="Verdana"/>
        </w:rPr>
        <w:t>Premium: Members plan premium = $0 (if they</w:t>
      </w:r>
      <w:r w:rsidR="000706E2">
        <w:rPr>
          <w:rFonts w:ascii="Verdana" w:hAnsi="Verdana"/>
        </w:rPr>
        <w:t xml:space="preserve"> are</w:t>
      </w:r>
      <w:r w:rsidR="00324BB5">
        <w:rPr>
          <w:rFonts w:ascii="Verdana" w:hAnsi="Verdana"/>
        </w:rPr>
        <w:t xml:space="preserve"> in a </w:t>
      </w:r>
      <w:r w:rsidR="00A36D7C">
        <w:rPr>
          <w:rFonts w:ascii="Verdana" w:hAnsi="Verdana"/>
        </w:rPr>
        <w:t>plan below benchmark).</w:t>
      </w:r>
    </w:p>
    <w:p w14:paraId="0F84D176" w14:textId="77777777" w:rsidR="00E31C0F" w:rsidRPr="004D7D5D" w:rsidRDefault="00E31C0F" w:rsidP="006A32A5">
      <w:pPr>
        <w:numPr>
          <w:ilvl w:val="1"/>
          <w:numId w:val="22"/>
        </w:numPr>
        <w:spacing w:before="120" w:after="120"/>
        <w:rPr>
          <w:rFonts w:ascii="Verdana" w:hAnsi="Verdana"/>
        </w:rPr>
      </w:pPr>
      <w:r w:rsidRPr="004D7D5D">
        <w:rPr>
          <w:rFonts w:ascii="Verdana" w:hAnsi="Verdana"/>
        </w:rPr>
        <w:t xml:space="preserve">Some members choose to enroll in plans where the plan premium is above what Medicare covers.  If this happens, the </w:t>
      </w:r>
      <w:proofErr w:type="gramStart"/>
      <w:r w:rsidRPr="004D7D5D">
        <w:rPr>
          <w:rFonts w:ascii="Verdana" w:hAnsi="Verdana"/>
        </w:rPr>
        <w:t>member</w:t>
      </w:r>
      <w:proofErr w:type="gramEnd"/>
      <w:r w:rsidRPr="004D7D5D">
        <w:rPr>
          <w:rFonts w:ascii="Verdana" w:hAnsi="Verdana"/>
        </w:rPr>
        <w:t xml:space="preserve"> may have to pay for a portion of their premium.  </w:t>
      </w:r>
    </w:p>
    <w:p w14:paraId="25A364DD" w14:textId="51381F07" w:rsidR="00E31C0F" w:rsidRPr="00DC6A92" w:rsidRDefault="00E31C0F" w:rsidP="006A32A5">
      <w:pPr>
        <w:numPr>
          <w:ilvl w:val="1"/>
          <w:numId w:val="22"/>
        </w:numPr>
        <w:spacing w:before="120" w:after="120"/>
        <w:rPr>
          <w:rFonts w:ascii="Verdana" w:hAnsi="Verdana"/>
        </w:rPr>
      </w:pPr>
      <w:r w:rsidRPr="00DC6A92">
        <w:rPr>
          <w:rFonts w:ascii="Verdana" w:hAnsi="Verdana"/>
        </w:rPr>
        <w:t>Deductible: Members do not pay a deductible</w:t>
      </w:r>
      <w:r w:rsidR="00A36D7C">
        <w:rPr>
          <w:rFonts w:ascii="Verdana" w:hAnsi="Verdana"/>
        </w:rPr>
        <w:t>.</w:t>
      </w:r>
    </w:p>
    <w:p w14:paraId="086147A2" w14:textId="77777777" w:rsidR="00DC6A92" w:rsidRPr="00DC6A92" w:rsidRDefault="00DC6A92" w:rsidP="006A32A5">
      <w:pPr>
        <w:spacing w:before="120" w:after="120"/>
        <w:ind w:left="1440"/>
        <w:rPr>
          <w:rFonts w:ascii="Verdana" w:hAnsi="Verdana"/>
        </w:rPr>
      </w:pPr>
      <w:r w:rsidRPr="00A36D7C">
        <w:rPr>
          <w:rFonts w:ascii="Verdana" w:hAnsi="Verdana"/>
          <w:b/>
        </w:rPr>
        <w:t>Note</w:t>
      </w:r>
      <w:proofErr w:type="gramStart"/>
      <w:r w:rsidRPr="00DC6A92">
        <w:rPr>
          <w:rFonts w:ascii="Verdana" w:hAnsi="Verdana"/>
        </w:rPr>
        <w:t>:  Members</w:t>
      </w:r>
      <w:proofErr w:type="gramEnd"/>
      <w:r w:rsidRPr="00DC6A92">
        <w:rPr>
          <w:rFonts w:ascii="Verdana" w:hAnsi="Verdana"/>
        </w:rPr>
        <w:t xml:space="preserve"> are still responsible for their LIS/LICS cost-share</w:t>
      </w:r>
      <w:r w:rsidR="00A36D7C">
        <w:rPr>
          <w:rFonts w:ascii="Verdana" w:hAnsi="Verdana"/>
        </w:rPr>
        <w:t>.</w:t>
      </w:r>
    </w:p>
    <w:p w14:paraId="1705C10F" w14:textId="77777777" w:rsidR="00E31C0F" w:rsidRDefault="00E31C0F" w:rsidP="006A32A5">
      <w:pPr>
        <w:spacing w:before="120" w:after="120"/>
        <w:rPr>
          <w:rFonts w:ascii="Verdana" w:hAnsi="Verdana"/>
          <w:b/>
          <w:bCs/>
          <w:iCs/>
        </w:rPr>
      </w:pPr>
    </w:p>
    <w:p w14:paraId="6FFFB533" w14:textId="77777777" w:rsidR="000706E2" w:rsidRDefault="000706E2" w:rsidP="006A32A5">
      <w:pPr>
        <w:spacing w:before="120" w:after="120"/>
        <w:rPr>
          <w:rFonts w:ascii="Verdana" w:hAnsi="Verdana"/>
          <w:b/>
          <w:bCs/>
          <w:iCs/>
        </w:rPr>
      </w:pPr>
    </w:p>
    <w:p w14:paraId="52CC208F" w14:textId="77777777" w:rsidR="008E7735" w:rsidRPr="00632F81" w:rsidRDefault="008E7735" w:rsidP="006A32A5">
      <w:pPr>
        <w:spacing w:before="120" w:after="120"/>
        <w:rPr>
          <w:rFonts w:ascii="Verdana" w:hAnsi="Verdana"/>
        </w:rPr>
      </w:pPr>
      <w:r w:rsidRPr="00632F81">
        <w:rPr>
          <w:rFonts w:ascii="Verdana" w:hAnsi="Verdana"/>
          <w:b/>
          <w:bCs/>
          <w:iCs/>
        </w:rPr>
        <w:t>Level 1</w:t>
      </w:r>
    </w:p>
    <w:p w14:paraId="7C09EC0E" w14:textId="58167A0B" w:rsidR="008E7735" w:rsidRPr="00632F81" w:rsidRDefault="008E7735" w:rsidP="006A32A5">
      <w:pPr>
        <w:spacing w:before="120" w:after="120"/>
        <w:rPr>
          <w:rFonts w:ascii="Verdana" w:hAnsi="Verdan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2"/>
        <w:gridCol w:w="1530"/>
        <w:gridCol w:w="1530"/>
      </w:tblGrid>
      <w:tr w:rsidR="00D26A94" w:rsidRPr="00632F81" w14:paraId="17032EB0" w14:textId="720D85E9" w:rsidTr="009D0148">
        <w:tc>
          <w:tcPr>
            <w:tcW w:w="4302" w:type="dxa"/>
            <w:shd w:val="clear" w:color="auto" w:fill="D9D9D9"/>
            <w:vAlign w:val="center"/>
          </w:tcPr>
          <w:p w14:paraId="23B1DAAF" w14:textId="77777777" w:rsidR="00D26A94" w:rsidRPr="00632F81" w:rsidRDefault="00D26A94" w:rsidP="006A32A5">
            <w:pPr>
              <w:spacing w:before="120" w:after="120"/>
              <w:jc w:val="center"/>
              <w:rPr>
                <w:rFonts w:ascii="Verdana" w:hAnsi="Verdana"/>
              </w:rPr>
            </w:pPr>
            <w:bookmarkStart w:id="4" w:name="OLE_LINK6"/>
            <w:r w:rsidRPr="00632F81">
              <w:rPr>
                <w:rFonts w:ascii="Verdana" w:hAnsi="Verdana"/>
                <w:b/>
                <w:bCs/>
              </w:rPr>
              <w:t>Benefit</w:t>
            </w:r>
          </w:p>
        </w:tc>
        <w:tc>
          <w:tcPr>
            <w:tcW w:w="1530" w:type="dxa"/>
            <w:shd w:val="clear" w:color="auto" w:fill="D9D9D9"/>
          </w:tcPr>
          <w:p w14:paraId="2DF78D87" w14:textId="5F72BFDC" w:rsidR="00D26A94" w:rsidRDefault="00D26A94" w:rsidP="006A32A5">
            <w:pPr>
              <w:spacing w:before="120" w:after="120"/>
              <w:jc w:val="center"/>
              <w:rPr>
                <w:rFonts w:ascii="Verdana" w:hAnsi="Verdana"/>
                <w:b/>
                <w:bCs/>
              </w:rPr>
            </w:pPr>
            <w:r>
              <w:rPr>
                <w:rFonts w:ascii="Verdana" w:hAnsi="Verdana"/>
                <w:b/>
                <w:bCs/>
              </w:rPr>
              <w:t>2025</w:t>
            </w:r>
          </w:p>
        </w:tc>
        <w:tc>
          <w:tcPr>
            <w:tcW w:w="1530" w:type="dxa"/>
            <w:shd w:val="clear" w:color="auto" w:fill="D9D9D9"/>
          </w:tcPr>
          <w:p w14:paraId="0BD73EC6" w14:textId="5CD65CB9" w:rsidR="00D26A94" w:rsidRDefault="00D26A94" w:rsidP="006A32A5">
            <w:pPr>
              <w:spacing w:before="120" w:after="120"/>
              <w:jc w:val="center"/>
              <w:rPr>
                <w:rFonts w:ascii="Verdana" w:hAnsi="Verdana"/>
                <w:b/>
                <w:bCs/>
              </w:rPr>
            </w:pPr>
            <w:r>
              <w:rPr>
                <w:rFonts w:ascii="Verdana" w:hAnsi="Verdana"/>
                <w:b/>
                <w:bCs/>
              </w:rPr>
              <w:t>2026</w:t>
            </w:r>
          </w:p>
        </w:tc>
      </w:tr>
      <w:tr w:rsidR="00D26A94" w:rsidRPr="00632F81" w14:paraId="4C1A73B4" w14:textId="189F2A34" w:rsidTr="009D0148">
        <w:tc>
          <w:tcPr>
            <w:tcW w:w="4302" w:type="dxa"/>
            <w:vAlign w:val="center"/>
          </w:tcPr>
          <w:p w14:paraId="7022D89F" w14:textId="77777777" w:rsidR="00D26A94" w:rsidRPr="00632F81" w:rsidRDefault="00D26A94" w:rsidP="00D07200">
            <w:pPr>
              <w:spacing w:before="120" w:after="120"/>
              <w:rPr>
                <w:rFonts w:ascii="Verdana" w:hAnsi="Verdana"/>
              </w:rPr>
            </w:pPr>
            <w:r w:rsidRPr="00632F81">
              <w:rPr>
                <w:rFonts w:ascii="Verdana" w:hAnsi="Verdana"/>
              </w:rPr>
              <w:t>Deductible</w:t>
            </w:r>
          </w:p>
        </w:tc>
        <w:tc>
          <w:tcPr>
            <w:tcW w:w="1530" w:type="dxa"/>
          </w:tcPr>
          <w:p w14:paraId="69B36A86" w14:textId="45201AD8" w:rsidR="00D26A94" w:rsidRDefault="00D26A94" w:rsidP="00D07200">
            <w:pPr>
              <w:spacing w:before="120" w:after="120"/>
              <w:rPr>
                <w:rFonts w:ascii="Verdana" w:hAnsi="Verdana"/>
              </w:rPr>
            </w:pPr>
            <w:r>
              <w:rPr>
                <w:rFonts w:ascii="Verdana" w:hAnsi="Verdana"/>
              </w:rPr>
              <w:t>$0</w:t>
            </w:r>
          </w:p>
        </w:tc>
        <w:tc>
          <w:tcPr>
            <w:tcW w:w="1530" w:type="dxa"/>
          </w:tcPr>
          <w:p w14:paraId="2D22DDD1" w14:textId="7CD594CA" w:rsidR="00D26A94" w:rsidRDefault="00D26A94" w:rsidP="00D07200">
            <w:pPr>
              <w:spacing w:before="120" w:after="120"/>
              <w:rPr>
                <w:rFonts w:ascii="Verdana" w:hAnsi="Verdana"/>
              </w:rPr>
            </w:pPr>
            <w:r>
              <w:rPr>
                <w:rFonts w:ascii="Verdana" w:hAnsi="Verdana"/>
              </w:rPr>
              <w:t>$0</w:t>
            </w:r>
          </w:p>
        </w:tc>
      </w:tr>
      <w:tr w:rsidR="00D26A94" w:rsidRPr="00632F81" w14:paraId="45C6CB79" w14:textId="63C58D1F" w:rsidTr="009D0148">
        <w:tc>
          <w:tcPr>
            <w:tcW w:w="4302" w:type="dxa"/>
            <w:vAlign w:val="center"/>
          </w:tcPr>
          <w:p w14:paraId="2DD59609" w14:textId="77777777" w:rsidR="00D26A94" w:rsidRPr="00632F81" w:rsidRDefault="00D26A94" w:rsidP="00D07200">
            <w:pPr>
              <w:spacing w:before="120" w:after="120"/>
              <w:rPr>
                <w:rFonts w:ascii="Verdana" w:hAnsi="Verdana"/>
              </w:rPr>
            </w:pPr>
            <w:r w:rsidRPr="00632F81">
              <w:rPr>
                <w:rFonts w:ascii="Verdana" w:hAnsi="Verdana"/>
              </w:rPr>
              <w:t>Generic Copays</w:t>
            </w:r>
          </w:p>
        </w:tc>
        <w:tc>
          <w:tcPr>
            <w:tcW w:w="1530" w:type="dxa"/>
          </w:tcPr>
          <w:p w14:paraId="68708C17" w14:textId="4B6C0886" w:rsidR="00D26A94" w:rsidRDefault="00D26A94" w:rsidP="00D07200">
            <w:pPr>
              <w:spacing w:before="120" w:after="120"/>
              <w:rPr>
                <w:rFonts w:ascii="Verdana" w:hAnsi="Verdana"/>
              </w:rPr>
            </w:pPr>
            <w:r>
              <w:rPr>
                <w:rFonts w:ascii="Verdana" w:hAnsi="Verdana"/>
              </w:rPr>
              <w:t xml:space="preserve"> </w:t>
            </w:r>
            <w:bookmarkStart w:id="5" w:name="OLE_LINK1"/>
            <w:r>
              <w:rPr>
                <w:rFonts w:ascii="Verdana" w:hAnsi="Verdana"/>
              </w:rPr>
              <w:t>$</w:t>
            </w:r>
            <w:bookmarkStart w:id="6" w:name="OLE_LINK11"/>
            <w:r>
              <w:rPr>
                <w:rFonts w:ascii="Verdana" w:hAnsi="Verdana"/>
              </w:rPr>
              <w:t>4.9</w:t>
            </w:r>
            <w:bookmarkEnd w:id="5"/>
            <w:r>
              <w:rPr>
                <w:rFonts w:ascii="Verdana" w:hAnsi="Verdana"/>
              </w:rPr>
              <w:t>0</w:t>
            </w:r>
            <w:bookmarkEnd w:id="6"/>
          </w:p>
        </w:tc>
        <w:tc>
          <w:tcPr>
            <w:tcW w:w="1530" w:type="dxa"/>
          </w:tcPr>
          <w:p w14:paraId="2CC3CD75" w14:textId="00589D3B" w:rsidR="00D26A94" w:rsidRDefault="00D26A94" w:rsidP="00D07200">
            <w:pPr>
              <w:spacing w:before="120" w:after="120"/>
              <w:rPr>
                <w:rFonts w:ascii="Verdana" w:hAnsi="Verdana"/>
              </w:rPr>
            </w:pPr>
            <w:r>
              <w:rPr>
                <w:rFonts w:ascii="Verdana" w:hAnsi="Verdana"/>
              </w:rPr>
              <w:t>$5.10</w:t>
            </w:r>
          </w:p>
        </w:tc>
      </w:tr>
      <w:tr w:rsidR="00D26A94" w:rsidRPr="00632F81" w14:paraId="32C3ECCB" w14:textId="3F376E0C" w:rsidTr="009D0148">
        <w:tc>
          <w:tcPr>
            <w:tcW w:w="4302" w:type="dxa"/>
            <w:vAlign w:val="center"/>
          </w:tcPr>
          <w:p w14:paraId="7678B912" w14:textId="77777777" w:rsidR="00D26A94" w:rsidRPr="00632F81" w:rsidRDefault="00D26A94" w:rsidP="00D07200">
            <w:pPr>
              <w:spacing w:before="120" w:after="120"/>
              <w:rPr>
                <w:rFonts w:ascii="Verdana" w:hAnsi="Verdana"/>
              </w:rPr>
            </w:pPr>
            <w:r w:rsidRPr="00632F81">
              <w:rPr>
                <w:rFonts w:ascii="Verdana" w:hAnsi="Verdana"/>
              </w:rPr>
              <w:t>Brand Copays</w:t>
            </w:r>
          </w:p>
        </w:tc>
        <w:tc>
          <w:tcPr>
            <w:tcW w:w="1530" w:type="dxa"/>
          </w:tcPr>
          <w:p w14:paraId="6A68D0A6" w14:textId="7678483C" w:rsidR="00D26A94" w:rsidRDefault="00D26A94" w:rsidP="00D07200">
            <w:pPr>
              <w:spacing w:before="120" w:after="120"/>
              <w:rPr>
                <w:rFonts w:ascii="Verdana" w:hAnsi="Verdana"/>
              </w:rPr>
            </w:pPr>
            <w:r>
              <w:rPr>
                <w:rFonts w:ascii="Verdana" w:hAnsi="Verdana"/>
              </w:rPr>
              <w:t xml:space="preserve"> </w:t>
            </w:r>
            <w:bookmarkStart w:id="7" w:name="OLE_LINK2"/>
            <w:r>
              <w:rPr>
                <w:rFonts w:ascii="Verdana" w:hAnsi="Verdana"/>
              </w:rPr>
              <w:t>$</w:t>
            </w:r>
            <w:bookmarkEnd w:id="7"/>
            <w:r>
              <w:rPr>
                <w:rFonts w:ascii="Verdana" w:hAnsi="Verdana"/>
              </w:rPr>
              <w:t>12.15</w:t>
            </w:r>
          </w:p>
        </w:tc>
        <w:tc>
          <w:tcPr>
            <w:tcW w:w="1530" w:type="dxa"/>
          </w:tcPr>
          <w:p w14:paraId="4C8595D4" w14:textId="6633D36D" w:rsidR="00D26A94" w:rsidRDefault="00D26A94" w:rsidP="00D07200">
            <w:pPr>
              <w:spacing w:before="120" w:after="120"/>
              <w:rPr>
                <w:rFonts w:ascii="Verdana" w:hAnsi="Verdana"/>
              </w:rPr>
            </w:pPr>
            <w:r w:rsidRPr="007926C9">
              <w:rPr>
                <w:rFonts w:ascii="Verdana" w:hAnsi="Verdana"/>
              </w:rPr>
              <w:t>$12.</w:t>
            </w:r>
            <w:r>
              <w:rPr>
                <w:rFonts w:ascii="Verdana" w:hAnsi="Verdana"/>
              </w:rPr>
              <w:t>6</w:t>
            </w:r>
            <w:r w:rsidRPr="007926C9">
              <w:rPr>
                <w:rFonts w:ascii="Verdana" w:hAnsi="Verdana"/>
              </w:rPr>
              <w:t>5</w:t>
            </w:r>
          </w:p>
        </w:tc>
      </w:tr>
      <w:tr w:rsidR="00D26A94" w:rsidRPr="00632F81" w14:paraId="7612CE4B" w14:textId="40837F5D" w:rsidTr="009D0148">
        <w:tc>
          <w:tcPr>
            <w:tcW w:w="4302" w:type="dxa"/>
            <w:vAlign w:val="center"/>
          </w:tcPr>
          <w:p w14:paraId="215FF3CD" w14:textId="77777777" w:rsidR="00D26A94" w:rsidRPr="00632F81" w:rsidRDefault="00D26A94" w:rsidP="00D07200">
            <w:pPr>
              <w:spacing w:before="120" w:after="120"/>
              <w:rPr>
                <w:rFonts w:ascii="Verdana" w:hAnsi="Verdana"/>
              </w:rPr>
            </w:pPr>
            <w:r w:rsidRPr="00632F81">
              <w:rPr>
                <w:rFonts w:ascii="Verdana" w:hAnsi="Verdana"/>
              </w:rPr>
              <w:t>Catastrophic Copay</w:t>
            </w:r>
          </w:p>
        </w:tc>
        <w:tc>
          <w:tcPr>
            <w:tcW w:w="1530" w:type="dxa"/>
          </w:tcPr>
          <w:p w14:paraId="31C50204" w14:textId="1D4E2311" w:rsidR="00D26A94" w:rsidRDefault="00D26A94" w:rsidP="00D07200">
            <w:pPr>
              <w:spacing w:before="120" w:after="120"/>
              <w:rPr>
                <w:rFonts w:ascii="Verdana" w:hAnsi="Verdana"/>
              </w:rPr>
            </w:pPr>
            <w:r>
              <w:rPr>
                <w:rFonts w:ascii="Verdana" w:hAnsi="Verdana"/>
              </w:rPr>
              <w:t>$0</w:t>
            </w:r>
          </w:p>
        </w:tc>
        <w:tc>
          <w:tcPr>
            <w:tcW w:w="1530" w:type="dxa"/>
          </w:tcPr>
          <w:p w14:paraId="0FB9D70C" w14:textId="0C667F71" w:rsidR="00D26A94" w:rsidRDefault="00D26A94" w:rsidP="00D07200">
            <w:pPr>
              <w:spacing w:before="120" w:after="120"/>
              <w:rPr>
                <w:rFonts w:ascii="Verdana" w:hAnsi="Verdana"/>
              </w:rPr>
            </w:pPr>
            <w:r>
              <w:rPr>
                <w:rFonts w:ascii="Verdana" w:hAnsi="Verdana"/>
              </w:rPr>
              <w:t>$0</w:t>
            </w:r>
          </w:p>
        </w:tc>
      </w:tr>
      <w:bookmarkEnd w:id="4"/>
    </w:tbl>
    <w:p w14:paraId="4A810822" w14:textId="77777777" w:rsidR="008E7735" w:rsidRPr="00632F81" w:rsidRDefault="008E7735" w:rsidP="006A32A5">
      <w:pPr>
        <w:spacing w:before="120" w:after="120"/>
        <w:rPr>
          <w:rFonts w:ascii="Verdana" w:hAnsi="Verdana"/>
        </w:rPr>
      </w:pPr>
    </w:p>
    <w:p w14:paraId="3FD76954" w14:textId="77777777" w:rsidR="000706E2" w:rsidRDefault="000706E2" w:rsidP="006A32A5">
      <w:pPr>
        <w:spacing w:before="120" w:after="120"/>
        <w:rPr>
          <w:rFonts w:ascii="Verdana" w:hAnsi="Verdana"/>
          <w:b/>
          <w:bCs/>
          <w:iCs/>
        </w:rPr>
      </w:pPr>
    </w:p>
    <w:p w14:paraId="5321E7FA" w14:textId="77777777" w:rsidR="008E7735" w:rsidRPr="00632F81" w:rsidRDefault="008E7735" w:rsidP="006A32A5">
      <w:pPr>
        <w:spacing w:before="120" w:after="120"/>
        <w:rPr>
          <w:rFonts w:ascii="Verdana" w:hAnsi="Verdana"/>
        </w:rPr>
      </w:pPr>
      <w:r w:rsidRPr="00632F81">
        <w:rPr>
          <w:rFonts w:ascii="Verdana" w:hAnsi="Verdana"/>
          <w:b/>
          <w:bCs/>
          <w:iCs/>
        </w:rPr>
        <w:t>Level 2</w:t>
      </w:r>
    </w:p>
    <w:p w14:paraId="56CD43AD" w14:textId="0A81E9FB" w:rsidR="008E7735" w:rsidRPr="00632F81" w:rsidRDefault="008E7735" w:rsidP="006A32A5">
      <w:pPr>
        <w:spacing w:before="120" w:after="120"/>
        <w:rPr>
          <w:rFonts w:ascii="Verdana" w:hAnsi="Verdan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2"/>
        <w:gridCol w:w="1530"/>
        <w:gridCol w:w="1530"/>
      </w:tblGrid>
      <w:tr w:rsidR="00D26A94" w:rsidRPr="00632F81" w14:paraId="77BD0726" w14:textId="464638E0" w:rsidTr="00D26A94">
        <w:tc>
          <w:tcPr>
            <w:tcW w:w="4302" w:type="dxa"/>
            <w:shd w:val="clear" w:color="auto" w:fill="D9D9D9"/>
            <w:vAlign w:val="center"/>
          </w:tcPr>
          <w:p w14:paraId="1BAA263B" w14:textId="77777777" w:rsidR="00D26A94" w:rsidRPr="00632F81" w:rsidRDefault="00D26A94" w:rsidP="006A32A5">
            <w:pPr>
              <w:spacing w:before="120" w:after="120"/>
              <w:jc w:val="center"/>
              <w:rPr>
                <w:rFonts w:ascii="Verdana" w:hAnsi="Verdana"/>
              </w:rPr>
            </w:pPr>
            <w:r w:rsidRPr="00632F81">
              <w:rPr>
                <w:rFonts w:ascii="Verdana" w:hAnsi="Verdana"/>
                <w:b/>
                <w:bCs/>
              </w:rPr>
              <w:t>Benefit</w:t>
            </w:r>
          </w:p>
        </w:tc>
        <w:tc>
          <w:tcPr>
            <w:tcW w:w="1530" w:type="dxa"/>
            <w:shd w:val="clear" w:color="auto" w:fill="D9D9D9"/>
          </w:tcPr>
          <w:p w14:paraId="5158D07B" w14:textId="34F9E58D" w:rsidR="00D26A94" w:rsidRDefault="00D26A94" w:rsidP="006A32A5">
            <w:pPr>
              <w:spacing w:before="120" w:after="120"/>
              <w:jc w:val="center"/>
              <w:rPr>
                <w:rFonts w:ascii="Verdana" w:hAnsi="Verdana"/>
                <w:b/>
                <w:bCs/>
              </w:rPr>
            </w:pPr>
            <w:r>
              <w:rPr>
                <w:rFonts w:ascii="Verdana" w:hAnsi="Verdana"/>
                <w:b/>
                <w:bCs/>
              </w:rPr>
              <w:t>2025</w:t>
            </w:r>
          </w:p>
        </w:tc>
        <w:tc>
          <w:tcPr>
            <w:tcW w:w="1530" w:type="dxa"/>
            <w:shd w:val="clear" w:color="auto" w:fill="D9D9D9"/>
          </w:tcPr>
          <w:p w14:paraId="0F00C59D" w14:textId="0FDDAE9E" w:rsidR="00D26A94" w:rsidRDefault="00D26A94" w:rsidP="006A32A5">
            <w:pPr>
              <w:spacing w:before="120" w:after="120"/>
              <w:jc w:val="center"/>
              <w:rPr>
                <w:rFonts w:ascii="Verdana" w:hAnsi="Verdana"/>
                <w:b/>
                <w:bCs/>
              </w:rPr>
            </w:pPr>
            <w:r>
              <w:rPr>
                <w:rFonts w:ascii="Verdana" w:hAnsi="Verdana"/>
                <w:b/>
                <w:bCs/>
              </w:rPr>
              <w:t>2026</w:t>
            </w:r>
          </w:p>
        </w:tc>
      </w:tr>
      <w:tr w:rsidR="00D26A94" w:rsidRPr="00632F81" w14:paraId="014F57F9" w14:textId="1D930A2A" w:rsidTr="00D26A94">
        <w:tc>
          <w:tcPr>
            <w:tcW w:w="4302" w:type="dxa"/>
            <w:vAlign w:val="center"/>
          </w:tcPr>
          <w:p w14:paraId="29C84374" w14:textId="77777777" w:rsidR="00D26A94" w:rsidRPr="00632F81" w:rsidRDefault="00D26A94" w:rsidP="00D07200">
            <w:pPr>
              <w:spacing w:before="120" w:after="120"/>
              <w:rPr>
                <w:rFonts w:ascii="Verdana" w:hAnsi="Verdana"/>
              </w:rPr>
            </w:pPr>
            <w:r w:rsidRPr="00632F81">
              <w:rPr>
                <w:rFonts w:ascii="Verdana" w:hAnsi="Verdana"/>
              </w:rPr>
              <w:t>Deductible</w:t>
            </w:r>
          </w:p>
        </w:tc>
        <w:tc>
          <w:tcPr>
            <w:tcW w:w="1530" w:type="dxa"/>
          </w:tcPr>
          <w:p w14:paraId="39068F09" w14:textId="49AC83FC" w:rsidR="00D26A94" w:rsidRDefault="00D26A94" w:rsidP="00D07200">
            <w:pPr>
              <w:spacing w:before="120" w:after="120"/>
              <w:rPr>
                <w:rFonts w:ascii="Verdana" w:hAnsi="Verdana"/>
              </w:rPr>
            </w:pPr>
            <w:r>
              <w:rPr>
                <w:rFonts w:ascii="Verdana" w:hAnsi="Verdana"/>
              </w:rPr>
              <w:t>$0</w:t>
            </w:r>
          </w:p>
        </w:tc>
        <w:tc>
          <w:tcPr>
            <w:tcW w:w="1530" w:type="dxa"/>
          </w:tcPr>
          <w:p w14:paraId="2CF9BB69" w14:textId="0A161593" w:rsidR="00D26A94" w:rsidRDefault="00D26A94" w:rsidP="00D07200">
            <w:pPr>
              <w:spacing w:before="120" w:after="120"/>
              <w:rPr>
                <w:rFonts w:ascii="Verdana" w:hAnsi="Verdana"/>
              </w:rPr>
            </w:pPr>
            <w:r>
              <w:rPr>
                <w:rFonts w:ascii="Verdana" w:hAnsi="Verdana"/>
              </w:rPr>
              <w:t>$0</w:t>
            </w:r>
          </w:p>
        </w:tc>
      </w:tr>
      <w:tr w:rsidR="00D26A94" w:rsidRPr="00632F81" w14:paraId="0DC59E94" w14:textId="1DB3C776" w:rsidTr="00D26A94">
        <w:tc>
          <w:tcPr>
            <w:tcW w:w="4302" w:type="dxa"/>
            <w:vAlign w:val="center"/>
          </w:tcPr>
          <w:p w14:paraId="5BEEAC45" w14:textId="77777777" w:rsidR="00D26A94" w:rsidRPr="00632F81" w:rsidRDefault="00D26A94" w:rsidP="00D07200">
            <w:pPr>
              <w:spacing w:before="120" w:after="120"/>
              <w:rPr>
                <w:rFonts w:ascii="Verdana" w:hAnsi="Verdana"/>
              </w:rPr>
            </w:pPr>
            <w:r w:rsidRPr="00632F81">
              <w:rPr>
                <w:rFonts w:ascii="Verdana" w:hAnsi="Verdana"/>
              </w:rPr>
              <w:t>Generic Copays</w:t>
            </w:r>
          </w:p>
        </w:tc>
        <w:tc>
          <w:tcPr>
            <w:tcW w:w="1530" w:type="dxa"/>
          </w:tcPr>
          <w:p w14:paraId="58A1BC0F" w14:textId="42CDBC27" w:rsidR="00D26A94" w:rsidRDefault="00D26A94" w:rsidP="00D07200">
            <w:pPr>
              <w:spacing w:before="120" w:after="120"/>
              <w:rPr>
                <w:rFonts w:ascii="Verdana" w:hAnsi="Verdana"/>
              </w:rPr>
            </w:pPr>
            <w:r>
              <w:rPr>
                <w:rFonts w:ascii="Verdana" w:hAnsi="Verdana"/>
              </w:rPr>
              <w:t xml:space="preserve"> </w:t>
            </w:r>
            <w:bookmarkStart w:id="8" w:name="OLE_LINK5"/>
            <w:r>
              <w:rPr>
                <w:rFonts w:ascii="Verdana" w:hAnsi="Verdana"/>
              </w:rPr>
              <w:t>$1.60</w:t>
            </w:r>
            <w:bookmarkEnd w:id="8"/>
          </w:p>
        </w:tc>
        <w:tc>
          <w:tcPr>
            <w:tcW w:w="1530" w:type="dxa"/>
          </w:tcPr>
          <w:p w14:paraId="14F7AB8C" w14:textId="4FA04C32" w:rsidR="00D26A94" w:rsidRDefault="00D26A94" w:rsidP="00D07200">
            <w:pPr>
              <w:spacing w:before="120" w:after="120"/>
              <w:rPr>
                <w:rFonts w:ascii="Verdana" w:hAnsi="Verdana"/>
              </w:rPr>
            </w:pPr>
            <w:r w:rsidRPr="00D26A94">
              <w:rPr>
                <w:rFonts w:ascii="Verdana" w:hAnsi="Verdana"/>
              </w:rPr>
              <w:t>$1.60</w:t>
            </w:r>
          </w:p>
        </w:tc>
      </w:tr>
      <w:tr w:rsidR="00D26A94" w:rsidRPr="00632F81" w14:paraId="3C1610E1" w14:textId="6ED0D986" w:rsidTr="00D26A94">
        <w:tc>
          <w:tcPr>
            <w:tcW w:w="4302" w:type="dxa"/>
            <w:vAlign w:val="center"/>
          </w:tcPr>
          <w:p w14:paraId="716141C5" w14:textId="77777777" w:rsidR="00D26A94" w:rsidRPr="00632F81" w:rsidRDefault="00D26A94" w:rsidP="00D07200">
            <w:pPr>
              <w:spacing w:before="120" w:after="120"/>
              <w:rPr>
                <w:rFonts w:ascii="Verdana" w:hAnsi="Verdana"/>
              </w:rPr>
            </w:pPr>
            <w:r w:rsidRPr="00632F81">
              <w:rPr>
                <w:rFonts w:ascii="Verdana" w:hAnsi="Verdana"/>
              </w:rPr>
              <w:t>Brand Copays</w:t>
            </w:r>
          </w:p>
        </w:tc>
        <w:tc>
          <w:tcPr>
            <w:tcW w:w="1530" w:type="dxa"/>
          </w:tcPr>
          <w:p w14:paraId="72CD1A20" w14:textId="26AE3A5C" w:rsidR="00D26A94" w:rsidRDefault="00D26A94" w:rsidP="00D07200">
            <w:pPr>
              <w:spacing w:before="120" w:after="120"/>
              <w:rPr>
                <w:rFonts w:ascii="Verdana" w:hAnsi="Verdana"/>
              </w:rPr>
            </w:pPr>
            <w:r>
              <w:rPr>
                <w:rFonts w:ascii="Verdana" w:hAnsi="Verdana"/>
              </w:rPr>
              <w:t xml:space="preserve"> $4.80</w:t>
            </w:r>
          </w:p>
        </w:tc>
        <w:tc>
          <w:tcPr>
            <w:tcW w:w="1530" w:type="dxa"/>
          </w:tcPr>
          <w:p w14:paraId="5D35EA8E" w14:textId="59A0490A" w:rsidR="00D26A94" w:rsidRDefault="00D26A94" w:rsidP="00D07200">
            <w:pPr>
              <w:spacing w:before="120" w:after="120"/>
              <w:rPr>
                <w:rFonts w:ascii="Verdana" w:hAnsi="Verdana"/>
              </w:rPr>
            </w:pPr>
            <w:r w:rsidRPr="00D26A94">
              <w:rPr>
                <w:rFonts w:ascii="Verdana" w:hAnsi="Verdana"/>
              </w:rPr>
              <w:t>$4.</w:t>
            </w:r>
            <w:r>
              <w:rPr>
                <w:rFonts w:ascii="Verdana" w:hAnsi="Verdana"/>
              </w:rPr>
              <w:t>9</w:t>
            </w:r>
            <w:r w:rsidRPr="00D26A94">
              <w:rPr>
                <w:rFonts w:ascii="Verdana" w:hAnsi="Verdana"/>
              </w:rPr>
              <w:t>0</w:t>
            </w:r>
          </w:p>
        </w:tc>
      </w:tr>
      <w:tr w:rsidR="00D26A94" w:rsidRPr="00632F81" w14:paraId="19D51B04" w14:textId="41E82EFD" w:rsidTr="00D26A94">
        <w:tc>
          <w:tcPr>
            <w:tcW w:w="4302" w:type="dxa"/>
            <w:vAlign w:val="center"/>
          </w:tcPr>
          <w:p w14:paraId="35926A45" w14:textId="77777777" w:rsidR="00D26A94" w:rsidRPr="00632F81" w:rsidRDefault="00D26A94" w:rsidP="00D07200">
            <w:pPr>
              <w:spacing w:before="120" w:after="120"/>
              <w:rPr>
                <w:rFonts w:ascii="Verdana" w:hAnsi="Verdana"/>
              </w:rPr>
            </w:pPr>
            <w:r w:rsidRPr="00632F81">
              <w:rPr>
                <w:rFonts w:ascii="Verdana" w:hAnsi="Verdana"/>
              </w:rPr>
              <w:t>Catastrophic Copay</w:t>
            </w:r>
          </w:p>
        </w:tc>
        <w:tc>
          <w:tcPr>
            <w:tcW w:w="1530" w:type="dxa"/>
          </w:tcPr>
          <w:p w14:paraId="09572752" w14:textId="27A0E79B" w:rsidR="00D26A94" w:rsidRDefault="00D26A94" w:rsidP="00D07200">
            <w:pPr>
              <w:spacing w:before="120" w:after="120"/>
              <w:rPr>
                <w:rFonts w:ascii="Verdana" w:hAnsi="Verdana"/>
              </w:rPr>
            </w:pPr>
            <w:r>
              <w:rPr>
                <w:rFonts w:ascii="Verdana" w:hAnsi="Verdana"/>
              </w:rPr>
              <w:t xml:space="preserve"> $0</w:t>
            </w:r>
          </w:p>
        </w:tc>
        <w:tc>
          <w:tcPr>
            <w:tcW w:w="1530" w:type="dxa"/>
          </w:tcPr>
          <w:p w14:paraId="035F8046" w14:textId="10CDDECD" w:rsidR="00D26A94" w:rsidRDefault="00D26A94" w:rsidP="00D07200">
            <w:pPr>
              <w:spacing w:before="120" w:after="120"/>
              <w:rPr>
                <w:rFonts w:ascii="Verdana" w:hAnsi="Verdana"/>
              </w:rPr>
            </w:pPr>
            <w:r w:rsidRPr="00D26A94">
              <w:rPr>
                <w:rFonts w:ascii="Verdana" w:hAnsi="Verdana"/>
              </w:rPr>
              <w:t>$0</w:t>
            </w:r>
          </w:p>
        </w:tc>
      </w:tr>
    </w:tbl>
    <w:p w14:paraId="1F7A1B55" w14:textId="77777777" w:rsidR="008E7735" w:rsidRPr="00632F81" w:rsidRDefault="008E7735" w:rsidP="006A32A5">
      <w:pPr>
        <w:spacing w:before="120" w:after="120"/>
        <w:rPr>
          <w:rFonts w:ascii="Verdana" w:hAnsi="Verdana"/>
        </w:rPr>
      </w:pPr>
    </w:p>
    <w:p w14:paraId="45F08279" w14:textId="77777777" w:rsidR="000706E2" w:rsidRDefault="000706E2" w:rsidP="006A32A5">
      <w:pPr>
        <w:spacing w:before="120" w:after="120"/>
        <w:rPr>
          <w:rFonts w:ascii="Verdana" w:hAnsi="Verdana"/>
          <w:b/>
          <w:bCs/>
          <w:iCs/>
        </w:rPr>
      </w:pPr>
    </w:p>
    <w:p w14:paraId="2A774C2B" w14:textId="77777777" w:rsidR="008E7735" w:rsidRPr="00632F81" w:rsidRDefault="008E7735" w:rsidP="006A32A5">
      <w:pPr>
        <w:spacing w:before="120" w:after="120"/>
        <w:rPr>
          <w:rFonts w:ascii="Verdana" w:hAnsi="Verdana"/>
        </w:rPr>
      </w:pPr>
      <w:r w:rsidRPr="00632F81">
        <w:rPr>
          <w:rFonts w:ascii="Verdana" w:hAnsi="Verdana"/>
          <w:b/>
          <w:bCs/>
          <w:iCs/>
        </w:rPr>
        <w:t>Level 3</w:t>
      </w:r>
    </w:p>
    <w:p w14:paraId="3DB1E19E" w14:textId="38B2BD15" w:rsidR="008E7735" w:rsidRPr="00632F81" w:rsidRDefault="008E7735" w:rsidP="006A32A5">
      <w:pPr>
        <w:spacing w:before="120" w:after="120"/>
        <w:rPr>
          <w:rFonts w:ascii="Verdana" w:hAnsi="Verdana"/>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2"/>
        <w:gridCol w:w="1530"/>
        <w:gridCol w:w="1530"/>
      </w:tblGrid>
      <w:tr w:rsidR="00976135" w:rsidRPr="00632F81" w14:paraId="4774011F" w14:textId="19E92E5A" w:rsidTr="00D07200">
        <w:tc>
          <w:tcPr>
            <w:tcW w:w="4302" w:type="dxa"/>
            <w:shd w:val="clear" w:color="auto" w:fill="D9D9D9"/>
            <w:vAlign w:val="center"/>
          </w:tcPr>
          <w:p w14:paraId="6C2935A0" w14:textId="77777777" w:rsidR="00976135" w:rsidRPr="00632F81" w:rsidRDefault="00976135" w:rsidP="006A32A5">
            <w:pPr>
              <w:spacing w:before="120" w:after="120"/>
              <w:jc w:val="center"/>
              <w:rPr>
                <w:rFonts w:ascii="Verdana" w:hAnsi="Verdana"/>
              </w:rPr>
            </w:pPr>
            <w:r w:rsidRPr="00632F81">
              <w:rPr>
                <w:rFonts w:ascii="Verdana" w:hAnsi="Verdana"/>
                <w:b/>
                <w:bCs/>
              </w:rPr>
              <w:t>Benefit</w:t>
            </w:r>
          </w:p>
        </w:tc>
        <w:tc>
          <w:tcPr>
            <w:tcW w:w="1530" w:type="dxa"/>
            <w:shd w:val="clear" w:color="auto" w:fill="D9D9D9"/>
          </w:tcPr>
          <w:p w14:paraId="72282385" w14:textId="0B9E10E5" w:rsidR="00976135" w:rsidRDefault="00976135" w:rsidP="006A32A5">
            <w:pPr>
              <w:spacing w:before="120" w:after="120"/>
              <w:jc w:val="center"/>
              <w:rPr>
                <w:rFonts w:ascii="Verdana" w:hAnsi="Verdana"/>
                <w:b/>
                <w:bCs/>
              </w:rPr>
            </w:pPr>
            <w:r>
              <w:rPr>
                <w:rFonts w:ascii="Verdana" w:hAnsi="Verdana"/>
                <w:b/>
                <w:bCs/>
              </w:rPr>
              <w:t>20</w:t>
            </w:r>
            <w:r w:rsidR="006571A8">
              <w:rPr>
                <w:rFonts w:ascii="Verdana" w:hAnsi="Verdana"/>
                <w:b/>
                <w:bCs/>
              </w:rPr>
              <w:t>2</w:t>
            </w:r>
            <w:r w:rsidR="00D26A94">
              <w:rPr>
                <w:rFonts w:ascii="Verdana" w:hAnsi="Verdana"/>
                <w:b/>
                <w:bCs/>
              </w:rPr>
              <w:t>5</w:t>
            </w:r>
          </w:p>
        </w:tc>
        <w:tc>
          <w:tcPr>
            <w:tcW w:w="1530" w:type="dxa"/>
            <w:shd w:val="clear" w:color="auto" w:fill="D9D9D9"/>
          </w:tcPr>
          <w:p w14:paraId="21A3FD7A" w14:textId="49FAD2B8" w:rsidR="00976135" w:rsidRDefault="00976135" w:rsidP="006A32A5">
            <w:pPr>
              <w:spacing w:before="120" w:after="120"/>
              <w:jc w:val="center"/>
              <w:rPr>
                <w:rFonts w:ascii="Verdana" w:hAnsi="Verdana"/>
                <w:b/>
                <w:bCs/>
              </w:rPr>
            </w:pPr>
            <w:r>
              <w:rPr>
                <w:rFonts w:ascii="Verdana" w:hAnsi="Verdana"/>
                <w:b/>
                <w:bCs/>
              </w:rPr>
              <w:t>202</w:t>
            </w:r>
            <w:r w:rsidR="00D26A94">
              <w:rPr>
                <w:rFonts w:ascii="Verdana" w:hAnsi="Verdana"/>
                <w:b/>
                <w:bCs/>
              </w:rPr>
              <w:t>6</w:t>
            </w:r>
          </w:p>
        </w:tc>
      </w:tr>
      <w:tr w:rsidR="00D07200" w:rsidRPr="00632F81" w14:paraId="7457244F" w14:textId="2B3FEF70" w:rsidTr="00D07200">
        <w:tc>
          <w:tcPr>
            <w:tcW w:w="4302" w:type="dxa"/>
            <w:vAlign w:val="center"/>
          </w:tcPr>
          <w:p w14:paraId="485BEC6F" w14:textId="77777777" w:rsidR="00D07200" w:rsidRPr="00632F81" w:rsidRDefault="00D07200" w:rsidP="00D07200">
            <w:pPr>
              <w:spacing w:before="120" w:after="120"/>
              <w:rPr>
                <w:rFonts w:ascii="Verdana" w:hAnsi="Verdana"/>
              </w:rPr>
            </w:pPr>
            <w:r w:rsidRPr="00632F81">
              <w:rPr>
                <w:rFonts w:ascii="Verdana" w:hAnsi="Verdana"/>
              </w:rPr>
              <w:t>Deductible</w:t>
            </w:r>
          </w:p>
        </w:tc>
        <w:tc>
          <w:tcPr>
            <w:tcW w:w="1530" w:type="dxa"/>
          </w:tcPr>
          <w:p w14:paraId="357319DC" w14:textId="6F47E418" w:rsidR="00D07200" w:rsidRDefault="00D07200" w:rsidP="00D07200">
            <w:pPr>
              <w:spacing w:before="120" w:after="120"/>
              <w:rPr>
                <w:rFonts w:ascii="Verdana" w:hAnsi="Verdana"/>
              </w:rPr>
            </w:pPr>
            <w:r>
              <w:rPr>
                <w:rFonts w:ascii="Verdana" w:hAnsi="Verdana"/>
              </w:rPr>
              <w:t>$0</w:t>
            </w:r>
          </w:p>
        </w:tc>
        <w:tc>
          <w:tcPr>
            <w:tcW w:w="1530" w:type="dxa"/>
          </w:tcPr>
          <w:p w14:paraId="4ED1656B" w14:textId="7E4E162E" w:rsidR="00D07200" w:rsidRDefault="00D07200" w:rsidP="00D07200">
            <w:pPr>
              <w:spacing w:before="120" w:after="120"/>
              <w:rPr>
                <w:rFonts w:ascii="Verdana" w:hAnsi="Verdana"/>
              </w:rPr>
            </w:pPr>
            <w:r>
              <w:rPr>
                <w:rFonts w:ascii="Verdana" w:hAnsi="Verdana"/>
              </w:rPr>
              <w:t>$0</w:t>
            </w:r>
          </w:p>
        </w:tc>
      </w:tr>
      <w:tr w:rsidR="00976135" w:rsidRPr="00632F81" w14:paraId="3304ECAB" w14:textId="522C8985" w:rsidTr="00D07200">
        <w:tc>
          <w:tcPr>
            <w:tcW w:w="4302" w:type="dxa"/>
            <w:vAlign w:val="center"/>
          </w:tcPr>
          <w:p w14:paraId="4E18DC5D" w14:textId="77777777" w:rsidR="00976135" w:rsidRPr="00632F81" w:rsidRDefault="00976135" w:rsidP="006A32A5">
            <w:pPr>
              <w:spacing w:before="120" w:after="120"/>
              <w:rPr>
                <w:rFonts w:ascii="Verdana" w:hAnsi="Verdana"/>
              </w:rPr>
            </w:pPr>
            <w:r w:rsidRPr="00632F81">
              <w:rPr>
                <w:rFonts w:ascii="Verdana" w:hAnsi="Verdana"/>
              </w:rPr>
              <w:t>Generic Copays</w:t>
            </w:r>
          </w:p>
        </w:tc>
        <w:tc>
          <w:tcPr>
            <w:tcW w:w="1530" w:type="dxa"/>
          </w:tcPr>
          <w:p w14:paraId="5B952775" w14:textId="5070D4A9" w:rsidR="00976135" w:rsidRDefault="00976135" w:rsidP="006A32A5">
            <w:pPr>
              <w:spacing w:before="120" w:after="120"/>
              <w:rPr>
                <w:rFonts w:ascii="Verdana" w:hAnsi="Verdana"/>
              </w:rPr>
            </w:pPr>
            <w:r>
              <w:rPr>
                <w:rFonts w:ascii="Verdana" w:hAnsi="Verdana"/>
              </w:rPr>
              <w:t>$0</w:t>
            </w:r>
          </w:p>
        </w:tc>
        <w:tc>
          <w:tcPr>
            <w:tcW w:w="1530" w:type="dxa"/>
          </w:tcPr>
          <w:p w14:paraId="11A49061" w14:textId="743D33D1" w:rsidR="00976135" w:rsidRDefault="00976135" w:rsidP="006A32A5">
            <w:pPr>
              <w:spacing w:before="120" w:after="120"/>
              <w:rPr>
                <w:rFonts w:ascii="Verdana" w:hAnsi="Verdana"/>
              </w:rPr>
            </w:pPr>
            <w:bookmarkStart w:id="9" w:name="OLE_LINK8"/>
            <w:r>
              <w:rPr>
                <w:rFonts w:ascii="Verdana" w:hAnsi="Verdana"/>
              </w:rPr>
              <w:t>$0</w:t>
            </w:r>
            <w:bookmarkEnd w:id="9"/>
          </w:p>
        </w:tc>
      </w:tr>
      <w:tr w:rsidR="00976135" w:rsidRPr="00632F81" w14:paraId="7E2C706D" w14:textId="7143A3A4" w:rsidTr="00D07200">
        <w:tc>
          <w:tcPr>
            <w:tcW w:w="4302" w:type="dxa"/>
            <w:vAlign w:val="center"/>
          </w:tcPr>
          <w:p w14:paraId="5EF820E7" w14:textId="77777777" w:rsidR="00976135" w:rsidRPr="00632F81" w:rsidRDefault="00976135" w:rsidP="006A32A5">
            <w:pPr>
              <w:spacing w:before="120" w:after="120"/>
              <w:rPr>
                <w:rFonts w:ascii="Verdana" w:hAnsi="Verdana"/>
              </w:rPr>
            </w:pPr>
            <w:r w:rsidRPr="00632F81">
              <w:rPr>
                <w:rFonts w:ascii="Verdana" w:hAnsi="Verdana"/>
              </w:rPr>
              <w:t>Brand Copays</w:t>
            </w:r>
          </w:p>
        </w:tc>
        <w:tc>
          <w:tcPr>
            <w:tcW w:w="1530" w:type="dxa"/>
          </w:tcPr>
          <w:p w14:paraId="167C5BCF" w14:textId="472F14C4" w:rsidR="00976135" w:rsidRDefault="00976135" w:rsidP="006A32A5">
            <w:pPr>
              <w:spacing w:before="120" w:after="120"/>
              <w:rPr>
                <w:rFonts w:ascii="Verdana" w:hAnsi="Verdana"/>
              </w:rPr>
            </w:pPr>
            <w:r>
              <w:rPr>
                <w:rFonts w:ascii="Verdana" w:hAnsi="Verdana"/>
              </w:rPr>
              <w:t>$0</w:t>
            </w:r>
          </w:p>
        </w:tc>
        <w:tc>
          <w:tcPr>
            <w:tcW w:w="1530" w:type="dxa"/>
          </w:tcPr>
          <w:p w14:paraId="4AE9B294" w14:textId="6AF9D4DB" w:rsidR="00976135" w:rsidRDefault="00976135" w:rsidP="006A32A5">
            <w:pPr>
              <w:spacing w:before="120" w:after="120"/>
              <w:rPr>
                <w:rFonts w:ascii="Verdana" w:hAnsi="Verdana"/>
              </w:rPr>
            </w:pPr>
            <w:r>
              <w:rPr>
                <w:rFonts w:ascii="Verdana" w:hAnsi="Verdana"/>
              </w:rPr>
              <w:t>$0</w:t>
            </w:r>
          </w:p>
        </w:tc>
      </w:tr>
      <w:tr w:rsidR="00976135" w:rsidRPr="00632F81" w14:paraId="164B88FA" w14:textId="0274B61B" w:rsidTr="00D07200">
        <w:tc>
          <w:tcPr>
            <w:tcW w:w="4302" w:type="dxa"/>
            <w:vAlign w:val="center"/>
          </w:tcPr>
          <w:p w14:paraId="09E1EFDA" w14:textId="77777777" w:rsidR="00976135" w:rsidRPr="00632F81" w:rsidRDefault="00976135" w:rsidP="006A32A5">
            <w:pPr>
              <w:spacing w:before="120" w:after="120"/>
              <w:rPr>
                <w:rFonts w:ascii="Verdana" w:hAnsi="Verdana"/>
              </w:rPr>
            </w:pPr>
            <w:r w:rsidRPr="00632F81">
              <w:rPr>
                <w:rFonts w:ascii="Verdana" w:hAnsi="Verdana"/>
              </w:rPr>
              <w:t>Catastrophic Copay</w:t>
            </w:r>
          </w:p>
        </w:tc>
        <w:tc>
          <w:tcPr>
            <w:tcW w:w="1530" w:type="dxa"/>
          </w:tcPr>
          <w:p w14:paraId="52E8EC7E" w14:textId="743C7D6A" w:rsidR="00976135" w:rsidRDefault="00976135" w:rsidP="006A32A5">
            <w:pPr>
              <w:spacing w:before="120" w:after="120"/>
              <w:rPr>
                <w:rFonts w:ascii="Verdana" w:hAnsi="Verdana"/>
              </w:rPr>
            </w:pPr>
            <w:r>
              <w:rPr>
                <w:rFonts w:ascii="Verdana" w:hAnsi="Verdana"/>
              </w:rPr>
              <w:t>$0</w:t>
            </w:r>
          </w:p>
        </w:tc>
        <w:tc>
          <w:tcPr>
            <w:tcW w:w="1530" w:type="dxa"/>
          </w:tcPr>
          <w:p w14:paraId="527AD138" w14:textId="0D67C02F" w:rsidR="00976135" w:rsidRDefault="00976135" w:rsidP="006A32A5">
            <w:pPr>
              <w:spacing w:before="120" w:after="120"/>
              <w:rPr>
                <w:rFonts w:ascii="Verdana" w:hAnsi="Verdana"/>
              </w:rPr>
            </w:pPr>
            <w:r>
              <w:rPr>
                <w:rFonts w:ascii="Verdana" w:hAnsi="Verdana"/>
              </w:rPr>
              <w:t>$0</w:t>
            </w:r>
          </w:p>
        </w:tc>
      </w:tr>
    </w:tbl>
    <w:p w14:paraId="0EACFDF2" w14:textId="77777777" w:rsidR="00C354A2" w:rsidRPr="00127926" w:rsidRDefault="00C354A2" w:rsidP="006A32A5">
      <w:pPr>
        <w:spacing w:before="120" w:after="120"/>
        <w:rPr>
          <w:rFonts w:ascii="Verdana" w:hAnsi="Verdana" w:cs="Arial"/>
          <w:bCs/>
          <w:color w:val="333333"/>
        </w:rPr>
      </w:pPr>
    </w:p>
    <w:p w14:paraId="1D96F24D" w14:textId="77777777" w:rsidR="007D3FA2" w:rsidRPr="007D3FA2" w:rsidRDefault="007D3FA2" w:rsidP="006A32A5">
      <w:pPr>
        <w:spacing w:before="120" w:after="120"/>
        <w:jc w:val="right"/>
        <w:rPr>
          <w:rFonts w:ascii="Verdana" w:hAnsi="Verdana"/>
        </w:rPr>
      </w:pPr>
      <w:hyperlink w:anchor="_top" w:history="1">
        <w:r w:rsidRPr="007D3FA2">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D3FA2" w:rsidRPr="007D3FA2" w14:paraId="474D6B42" w14:textId="77777777" w:rsidTr="004E5CC6">
        <w:tc>
          <w:tcPr>
            <w:tcW w:w="5000" w:type="pct"/>
            <w:shd w:val="clear" w:color="auto" w:fill="C0C0C0"/>
          </w:tcPr>
          <w:p w14:paraId="42DA2F17" w14:textId="6A3604FA" w:rsidR="007D3FA2" w:rsidRPr="00D95DD3" w:rsidRDefault="00A36D7C" w:rsidP="006A32A5">
            <w:pPr>
              <w:pStyle w:val="Heading2"/>
              <w:spacing w:before="120" w:after="120"/>
              <w:rPr>
                <w:rFonts w:ascii="Verdana" w:hAnsi="Verdana"/>
                <w:i w:val="0"/>
              </w:rPr>
            </w:pPr>
            <w:bookmarkStart w:id="10" w:name="_Toc175130385"/>
            <w:r>
              <w:rPr>
                <w:rFonts w:ascii="Verdana" w:hAnsi="Verdana"/>
                <w:i w:val="0"/>
              </w:rPr>
              <w:t>202</w:t>
            </w:r>
            <w:r w:rsidR="00D26A94">
              <w:rPr>
                <w:rFonts w:ascii="Verdana" w:hAnsi="Verdana"/>
                <w:i w:val="0"/>
              </w:rPr>
              <w:t xml:space="preserve">6 </w:t>
            </w:r>
            <w:r w:rsidR="00E11CAF" w:rsidRPr="00D95DD3">
              <w:rPr>
                <w:rFonts w:ascii="Verdana" w:hAnsi="Verdana"/>
                <w:i w:val="0"/>
              </w:rPr>
              <w:t>- Low Income Subsidy Levels, Premium Subsides and Cost Shares</w:t>
            </w:r>
            <w:bookmarkEnd w:id="10"/>
          </w:p>
        </w:tc>
      </w:tr>
    </w:tbl>
    <w:p w14:paraId="00189E05" w14:textId="77777777" w:rsidR="00A16DD9" w:rsidRPr="00FC1A72" w:rsidRDefault="00A16DD9" w:rsidP="006A32A5">
      <w:pPr>
        <w:spacing w:before="120" w:after="120"/>
        <w:ind w:left="720"/>
        <w:rPr>
          <w:rFonts w:ascii="Verdana" w:hAnsi="Verdana" w:cs="Arial"/>
          <w:bCs/>
        </w:rPr>
      </w:pPr>
    </w:p>
    <w:p w14:paraId="4B72CD87" w14:textId="67300023"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Beneficiaries applying and qualifying for LIS may enroll in a Part D plan on their own and would not be part of an auto-assignment or facilitated enrollment process. </w:t>
      </w:r>
    </w:p>
    <w:p w14:paraId="0E43983A"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As with all Aetna pharmacy plans, Medicare Advantage plans with Rx (MAPD) members always pay the lowest cost share available to them. </w:t>
      </w:r>
    </w:p>
    <w:p w14:paraId="5233A490"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If the negotiated price of the medication is lower than the </w:t>
      </w:r>
      <w:proofErr w:type="gramStart"/>
      <w:r w:rsidRPr="00FC1A72">
        <w:rPr>
          <w:rFonts w:ascii="Verdana" w:hAnsi="Verdana" w:cs="Arial"/>
          <w:bCs/>
        </w:rPr>
        <w:t>established plan</w:t>
      </w:r>
      <w:proofErr w:type="gramEnd"/>
      <w:r w:rsidRPr="00FC1A72">
        <w:rPr>
          <w:rFonts w:ascii="Verdana" w:hAnsi="Verdana" w:cs="Arial"/>
          <w:bCs/>
        </w:rPr>
        <w:t xml:space="preserve"> cost share, the member is responsible for paying the negotiated price only.  </w:t>
      </w:r>
    </w:p>
    <w:p w14:paraId="223D0AB2"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Similarly, for LIS eligible members, if the negotiated price is less than the member’s LIS cost share and the plan cost share, then the member is responsible for paying the negotiated price only. </w:t>
      </w:r>
    </w:p>
    <w:p w14:paraId="1AD01519"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LICS does not apply to member cost sharing for Non-Part D medications that might be included as supplemental coverage under the plan. </w:t>
      </w:r>
    </w:p>
    <w:p w14:paraId="3BC63008"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The plan copay applies to all Non-Part D medications (if the plan offers coverage for the medication).  </w:t>
      </w:r>
    </w:p>
    <w:p w14:paraId="3D2D757A"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Member's Medicaid coverage may cover certain non-Part D drugs. </w:t>
      </w:r>
    </w:p>
    <w:p w14:paraId="1400A99B" w14:textId="77777777" w:rsidR="00A92A17" w:rsidRPr="00FC1A72" w:rsidRDefault="00A92A17" w:rsidP="006A32A5">
      <w:pPr>
        <w:numPr>
          <w:ilvl w:val="0"/>
          <w:numId w:val="9"/>
        </w:numPr>
        <w:spacing w:before="120" w:after="120"/>
        <w:rPr>
          <w:rFonts w:ascii="Verdana" w:hAnsi="Verdana" w:cs="Arial"/>
          <w:bCs/>
        </w:rPr>
      </w:pPr>
      <w:r w:rsidRPr="00FC1A72">
        <w:rPr>
          <w:rFonts w:ascii="Verdana" w:hAnsi="Verdana" w:cs="Arial"/>
          <w:bCs/>
        </w:rPr>
        <w:t xml:space="preserve">Dual eligible members may want to consult their Medicaid caseworker regarding coverage for non-Part D drugs.  </w:t>
      </w:r>
    </w:p>
    <w:p w14:paraId="78776271" w14:textId="2E8DB2CD" w:rsidR="00A92A17" w:rsidRPr="00FC1A72" w:rsidRDefault="00A92A17" w:rsidP="006A32A5">
      <w:pPr>
        <w:numPr>
          <w:ilvl w:val="0"/>
          <w:numId w:val="9"/>
        </w:numPr>
        <w:spacing w:before="120" w:after="120"/>
        <w:rPr>
          <w:rFonts w:ascii="Verdana" w:hAnsi="Verdana" w:cs="Arial"/>
          <w:b/>
          <w:bCs/>
        </w:rPr>
      </w:pPr>
      <w:r w:rsidRPr="00FC1A72">
        <w:rPr>
          <w:rFonts w:ascii="Verdana" w:hAnsi="Verdana" w:cs="Arial"/>
          <w:bCs/>
        </w:rPr>
        <w:t xml:space="preserve">Members must make sure their pharmacy knows that they have Medicaid.  This allows the pharmacist to bill Medicaid for any drugs that Part D does not cover. </w:t>
      </w:r>
      <w:r w:rsidR="005F2BAB" w:rsidRPr="00FC1A72">
        <w:rPr>
          <w:rFonts w:ascii="Verdana" w:hAnsi="Verdana" w:cs="Arial"/>
          <w:b/>
          <w:bCs/>
        </w:rPr>
        <w:t>Example</w:t>
      </w:r>
      <w:proofErr w:type="gramStart"/>
      <w:r w:rsidR="005F2BAB" w:rsidRPr="00FC1A72">
        <w:rPr>
          <w:rFonts w:ascii="Verdana" w:hAnsi="Verdana" w:cs="Arial"/>
          <w:b/>
          <w:bCs/>
        </w:rPr>
        <w:t xml:space="preserve">: </w:t>
      </w:r>
      <w:r w:rsidR="00F55CBC" w:rsidRPr="00FC1A72">
        <w:rPr>
          <w:rFonts w:ascii="Verdana" w:hAnsi="Verdana" w:cs="Arial"/>
          <w:b/>
          <w:bCs/>
        </w:rPr>
        <w:t xml:space="preserve"> </w:t>
      </w:r>
      <w:r w:rsidR="005F2BAB" w:rsidRPr="00FC1A72">
        <w:rPr>
          <w:rFonts w:ascii="Verdana" w:hAnsi="Verdana" w:cs="Arial"/>
          <w:bCs/>
        </w:rPr>
        <w:t>Some</w:t>
      </w:r>
      <w:proofErr w:type="gramEnd"/>
      <w:r w:rsidR="005F2BAB" w:rsidRPr="00FC1A72">
        <w:rPr>
          <w:rFonts w:ascii="Verdana" w:hAnsi="Verdana" w:cs="Arial"/>
          <w:bCs/>
        </w:rPr>
        <w:t xml:space="preserve"> medicat</w:t>
      </w:r>
      <w:r w:rsidR="00F55CBC" w:rsidRPr="00FC1A72">
        <w:rPr>
          <w:rFonts w:ascii="Verdana" w:hAnsi="Verdana" w:cs="Arial"/>
          <w:bCs/>
        </w:rPr>
        <w:t>ions excluded from Part D law.</w:t>
      </w:r>
    </w:p>
    <w:p w14:paraId="52F7FEE5" w14:textId="77777777" w:rsidR="003E22D1" w:rsidRPr="003E22D1" w:rsidRDefault="003E22D1" w:rsidP="005B28D5">
      <w:pPr>
        <w:spacing w:before="120" w:after="120"/>
        <w:rPr>
          <w:rFonts w:ascii="Verdana" w:hAnsi="Verdana" w:cs="Arial"/>
          <w:bCs/>
          <w:color w:val="333333"/>
        </w:rPr>
      </w:pPr>
    </w:p>
    <w:p w14:paraId="422A3BC6" w14:textId="77777777" w:rsidR="00634FA4" w:rsidRDefault="00147247" w:rsidP="006A32A5">
      <w:pPr>
        <w:spacing w:before="120" w:after="120"/>
        <w:rPr>
          <w:rFonts w:ascii="Verdana" w:hAnsi="Verdana" w:cs="Arial"/>
          <w:bCs/>
          <w:color w:val="333333"/>
        </w:rPr>
      </w:pPr>
      <w:r>
        <w:rPr>
          <w:rFonts w:ascii="Verdana" w:hAnsi="Verdana" w:cs="Arial"/>
          <w:bCs/>
          <w:color w:val="333333"/>
        </w:rPr>
        <w:t>Reference Table:</w:t>
      </w:r>
    </w:p>
    <w:p w14:paraId="694401CE" w14:textId="77777777" w:rsidR="00E31C0F" w:rsidRDefault="00E31C0F" w:rsidP="006A32A5">
      <w:pPr>
        <w:numPr>
          <w:ilvl w:val="0"/>
          <w:numId w:val="24"/>
        </w:numPr>
        <w:spacing w:before="120" w:after="120"/>
        <w:rPr>
          <w:rFonts w:ascii="Verdana" w:hAnsi="Verdana" w:cs="Arial"/>
          <w:bCs/>
          <w:color w:val="333333"/>
        </w:rPr>
      </w:pPr>
      <w:hyperlink w:anchor="lvl1" w:history="1">
        <w:r w:rsidRPr="00E31C0F">
          <w:rPr>
            <w:rStyle w:val="Hyperlink"/>
            <w:rFonts w:ascii="Verdana" w:hAnsi="Verdana" w:cs="Arial"/>
            <w:bCs/>
          </w:rPr>
          <w:t>Level 1</w:t>
        </w:r>
      </w:hyperlink>
    </w:p>
    <w:p w14:paraId="710624BC" w14:textId="77777777" w:rsidR="00E31C0F" w:rsidRDefault="00E31C0F" w:rsidP="006A32A5">
      <w:pPr>
        <w:numPr>
          <w:ilvl w:val="0"/>
          <w:numId w:val="24"/>
        </w:numPr>
        <w:spacing w:before="120" w:after="120"/>
        <w:rPr>
          <w:rFonts w:ascii="Verdana" w:hAnsi="Verdana" w:cs="Arial"/>
          <w:bCs/>
          <w:color w:val="333333"/>
        </w:rPr>
      </w:pPr>
      <w:hyperlink w:anchor="lvl2" w:history="1">
        <w:r w:rsidRPr="00E31C0F">
          <w:rPr>
            <w:rStyle w:val="Hyperlink"/>
            <w:rFonts w:ascii="Verdana" w:hAnsi="Verdana" w:cs="Arial"/>
            <w:bCs/>
          </w:rPr>
          <w:t>Level 2</w:t>
        </w:r>
      </w:hyperlink>
    </w:p>
    <w:p w14:paraId="33F86ECE" w14:textId="347DF375" w:rsidR="00E31C0F" w:rsidRPr="00BE0916" w:rsidRDefault="00E31C0F" w:rsidP="00BE0916">
      <w:pPr>
        <w:numPr>
          <w:ilvl w:val="0"/>
          <w:numId w:val="24"/>
        </w:numPr>
        <w:spacing w:before="120" w:after="120"/>
        <w:rPr>
          <w:rFonts w:ascii="Verdana" w:hAnsi="Verdana" w:cs="Arial"/>
          <w:bCs/>
          <w:color w:val="333333"/>
        </w:rPr>
      </w:pPr>
      <w:hyperlink w:anchor="lvl3" w:history="1">
        <w:r w:rsidRPr="00E31C0F">
          <w:rPr>
            <w:rStyle w:val="Hyperlink"/>
            <w:rFonts w:ascii="Verdana" w:hAnsi="Verdana" w:cs="Arial"/>
            <w:bCs/>
          </w:rPr>
          <w:t>Level 3</w:t>
        </w:r>
      </w:hyperlink>
    </w:p>
    <w:p w14:paraId="5CBFA89B" w14:textId="77777777" w:rsidR="00E31C0F" w:rsidRDefault="00E31C0F" w:rsidP="006A32A5">
      <w:pPr>
        <w:spacing w:before="120" w:after="120"/>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9837"/>
      </w:tblGrid>
      <w:tr w:rsidR="00E31C0F" w:rsidRPr="00270E70" w14:paraId="7C15EA8F" w14:textId="77777777" w:rsidTr="009D0148">
        <w:tc>
          <w:tcPr>
            <w:tcW w:w="5000" w:type="pct"/>
            <w:gridSpan w:val="2"/>
            <w:shd w:val="clear" w:color="auto" w:fill="D9D9D9"/>
          </w:tcPr>
          <w:p w14:paraId="3FB41EFF" w14:textId="77777777" w:rsidR="00E31C0F" w:rsidRPr="00270E70" w:rsidRDefault="00E31C0F" w:rsidP="006A32A5">
            <w:pPr>
              <w:spacing w:before="120" w:after="120"/>
              <w:rPr>
                <w:rFonts w:ascii="Verdana" w:hAnsi="Verdana" w:cs="Arial"/>
                <w:b/>
                <w:bCs/>
                <w:color w:val="333333"/>
              </w:rPr>
            </w:pPr>
            <w:bookmarkStart w:id="11" w:name="lvl1"/>
            <w:r w:rsidRPr="00270E70">
              <w:rPr>
                <w:rFonts w:ascii="Verdana" w:hAnsi="Verdana" w:cs="Arial"/>
                <w:b/>
                <w:bCs/>
                <w:color w:val="333333"/>
              </w:rPr>
              <w:t>LEVEL 1</w:t>
            </w:r>
            <w:bookmarkEnd w:id="11"/>
          </w:p>
        </w:tc>
      </w:tr>
      <w:tr w:rsidR="00E31C0F" w:rsidRPr="00270E70" w14:paraId="1804006F" w14:textId="77777777" w:rsidTr="009D0148">
        <w:tc>
          <w:tcPr>
            <w:tcW w:w="1202" w:type="pct"/>
          </w:tcPr>
          <w:p w14:paraId="6FD46C8D" w14:textId="77777777" w:rsidR="00E31C0F" w:rsidRPr="00270E70" w:rsidRDefault="00E31C0F" w:rsidP="006A32A5">
            <w:pPr>
              <w:spacing w:before="120" w:after="120"/>
              <w:rPr>
                <w:rFonts w:ascii="Verdana" w:hAnsi="Verdana" w:cs="Arial"/>
                <w:b/>
                <w:bCs/>
                <w:color w:val="333333"/>
              </w:rPr>
            </w:pPr>
            <w:r w:rsidRPr="00270E70">
              <w:rPr>
                <w:rFonts w:ascii="Verdana" w:hAnsi="Verdana" w:cs="Arial"/>
                <w:b/>
                <w:bCs/>
                <w:color w:val="333333"/>
              </w:rPr>
              <w:t>Definition</w:t>
            </w:r>
          </w:p>
        </w:tc>
        <w:tc>
          <w:tcPr>
            <w:tcW w:w="3798" w:type="pct"/>
          </w:tcPr>
          <w:p w14:paraId="4355601F" w14:textId="77777777" w:rsidR="00E31C0F" w:rsidRPr="00270E70" w:rsidRDefault="00E31C0F" w:rsidP="006A32A5">
            <w:pPr>
              <w:spacing w:before="120" w:after="120"/>
              <w:rPr>
                <w:rFonts w:ascii="Verdana" w:hAnsi="Verdana" w:cs="Arial"/>
                <w:bCs/>
                <w:color w:val="333333"/>
              </w:rPr>
            </w:pPr>
            <w:r w:rsidRPr="00270E70">
              <w:rPr>
                <w:rFonts w:ascii="Verdana" w:hAnsi="Verdana" w:cs="Arial"/>
                <w:bCs/>
                <w:color w:val="333333"/>
              </w:rPr>
              <w:t>Includes the following beneficiaries:</w:t>
            </w:r>
          </w:p>
          <w:p w14:paraId="3D556BB0" w14:textId="6C0CD46E" w:rsidR="00E31C0F" w:rsidRPr="00270E70" w:rsidRDefault="00E31C0F" w:rsidP="006A32A5">
            <w:pPr>
              <w:numPr>
                <w:ilvl w:val="0"/>
                <w:numId w:val="10"/>
              </w:numPr>
              <w:spacing w:before="120" w:after="120"/>
              <w:rPr>
                <w:rFonts w:ascii="Verdana" w:hAnsi="Verdana" w:cs="Arial"/>
                <w:bCs/>
                <w:color w:val="333333"/>
              </w:rPr>
            </w:pPr>
            <w:r w:rsidRPr="00270E70">
              <w:rPr>
                <w:rFonts w:ascii="Verdana" w:hAnsi="Verdana" w:cs="Arial"/>
                <w:bCs/>
                <w:color w:val="333333"/>
              </w:rPr>
              <w:t xml:space="preserve">Full Benefit Dual Eligible (Medicare &amp; Medicaid) with income </w:t>
            </w:r>
            <w:r w:rsidR="00B46351">
              <w:rPr>
                <w:rFonts w:ascii="Verdana" w:hAnsi="Verdana" w:cs="Arial"/>
                <w:bCs/>
                <w:color w:val="333333"/>
              </w:rPr>
              <w:t>between</w:t>
            </w:r>
            <w:r w:rsidR="00B46351" w:rsidRPr="00270E70">
              <w:rPr>
                <w:rFonts w:ascii="Verdana" w:hAnsi="Verdana" w:cs="Arial"/>
                <w:bCs/>
                <w:color w:val="333333"/>
              </w:rPr>
              <w:t xml:space="preserve"> </w:t>
            </w:r>
            <w:r w:rsidRPr="00270E70">
              <w:rPr>
                <w:rFonts w:ascii="Verdana" w:hAnsi="Verdana" w:cs="Arial"/>
                <w:bCs/>
                <w:color w:val="333333"/>
              </w:rPr>
              <w:t xml:space="preserve">100% </w:t>
            </w:r>
            <w:r w:rsidR="00B46351">
              <w:rPr>
                <w:rFonts w:ascii="Verdana" w:hAnsi="Verdana" w:cs="Arial"/>
                <w:bCs/>
                <w:color w:val="333333"/>
              </w:rPr>
              <w:t xml:space="preserve">and 150% of </w:t>
            </w:r>
            <w:r w:rsidRPr="00270E70">
              <w:rPr>
                <w:rFonts w:ascii="Verdana" w:hAnsi="Verdana" w:cs="Arial"/>
                <w:bCs/>
                <w:color w:val="333333"/>
              </w:rPr>
              <w:t>Federal Poverty Level (FPL)</w:t>
            </w:r>
            <w:r w:rsidR="00541A81">
              <w:rPr>
                <w:rFonts w:ascii="Verdana" w:hAnsi="Verdana" w:cs="Arial"/>
                <w:bCs/>
                <w:color w:val="333333"/>
              </w:rPr>
              <w:t>.</w:t>
            </w:r>
            <w:r w:rsidRPr="00270E70">
              <w:rPr>
                <w:rFonts w:ascii="Verdana" w:hAnsi="Verdana" w:cs="Arial"/>
                <w:bCs/>
                <w:color w:val="333333"/>
              </w:rPr>
              <w:t xml:space="preserve"> </w:t>
            </w:r>
          </w:p>
          <w:p w14:paraId="11112465" w14:textId="34F59F97" w:rsidR="00E31C0F" w:rsidRPr="00270E70" w:rsidRDefault="00E31C0F" w:rsidP="006A32A5">
            <w:pPr>
              <w:numPr>
                <w:ilvl w:val="0"/>
                <w:numId w:val="10"/>
              </w:numPr>
              <w:spacing w:before="120" w:after="120"/>
              <w:rPr>
                <w:rFonts w:ascii="Verdana" w:hAnsi="Verdana" w:cs="Arial"/>
                <w:bCs/>
                <w:color w:val="333333"/>
              </w:rPr>
            </w:pPr>
            <w:r w:rsidRPr="00270E70">
              <w:rPr>
                <w:rFonts w:ascii="Verdana" w:hAnsi="Verdana" w:cs="Arial"/>
                <w:bCs/>
                <w:color w:val="333333"/>
              </w:rPr>
              <w:t>Medicare Savings Program participants (QMB-only, SLMB-only or QI)</w:t>
            </w:r>
            <w:r w:rsidR="00541A81">
              <w:rPr>
                <w:rFonts w:ascii="Verdana" w:hAnsi="Verdana" w:cs="Arial"/>
                <w:bCs/>
                <w:color w:val="333333"/>
              </w:rPr>
              <w:t>.</w:t>
            </w:r>
            <w:r w:rsidRPr="00270E70">
              <w:rPr>
                <w:rFonts w:ascii="Verdana" w:hAnsi="Verdana" w:cs="Arial"/>
                <w:bCs/>
                <w:color w:val="333333"/>
              </w:rPr>
              <w:t xml:space="preserve"> </w:t>
            </w:r>
          </w:p>
          <w:p w14:paraId="59ADE7EB" w14:textId="144FA73B" w:rsidR="00E31C0F" w:rsidRDefault="00E31C0F" w:rsidP="006A32A5">
            <w:pPr>
              <w:numPr>
                <w:ilvl w:val="0"/>
                <w:numId w:val="10"/>
              </w:numPr>
              <w:spacing w:before="120" w:after="120"/>
              <w:rPr>
                <w:rFonts w:ascii="Verdana" w:hAnsi="Verdana" w:cs="Arial"/>
                <w:bCs/>
                <w:color w:val="333333"/>
              </w:rPr>
            </w:pPr>
            <w:r w:rsidRPr="00270E70">
              <w:rPr>
                <w:rFonts w:ascii="Verdana" w:hAnsi="Verdana" w:cs="Arial"/>
                <w:bCs/>
                <w:color w:val="333333"/>
              </w:rPr>
              <w:t>Supplemental Security Income (SSI) recipients without Medicaid</w:t>
            </w:r>
            <w:r w:rsidR="00541A81">
              <w:rPr>
                <w:rFonts w:ascii="Verdana" w:hAnsi="Verdana" w:cs="Arial"/>
                <w:bCs/>
                <w:color w:val="333333"/>
              </w:rPr>
              <w:t>.</w:t>
            </w:r>
            <w:r w:rsidRPr="00270E70">
              <w:rPr>
                <w:rFonts w:ascii="Verdana" w:hAnsi="Verdana" w:cs="Arial"/>
                <w:bCs/>
                <w:color w:val="333333"/>
              </w:rPr>
              <w:t xml:space="preserve"> </w:t>
            </w:r>
          </w:p>
          <w:p w14:paraId="4617BEEA" w14:textId="45A5AC63" w:rsidR="00A16DD9" w:rsidRPr="00F55CBC" w:rsidRDefault="00A16DD9" w:rsidP="00CC2354">
            <w:pPr>
              <w:spacing w:before="120" w:after="120"/>
              <w:ind w:left="360"/>
              <w:rPr>
                <w:rFonts w:ascii="Verdana" w:hAnsi="Verdana" w:cs="Arial"/>
                <w:bCs/>
                <w:color w:val="333333"/>
              </w:rPr>
            </w:pPr>
          </w:p>
        </w:tc>
      </w:tr>
      <w:tr w:rsidR="00E31C0F" w:rsidRPr="00270E70" w14:paraId="13C51B7C" w14:textId="77777777" w:rsidTr="009D0148">
        <w:tc>
          <w:tcPr>
            <w:tcW w:w="1202" w:type="pct"/>
          </w:tcPr>
          <w:p w14:paraId="6C916B9A"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Monthly Premium subsidy from CMS</w:t>
            </w:r>
          </w:p>
        </w:tc>
        <w:tc>
          <w:tcPr>
            <w:tcW w:w="3798" w:type="pct"/>
          </w:tcPr>
          <w:p w14:paraId="3F46A217" w14:textId="70B92CC1" w:rsidR="00E31C0F" w:rsidRPr="00270E70" w:rsidRDefault="00E31C0F" w:rsidP="006A32A5">
            <w:pPr>
              <w:spacing w:before="120" w:after="120"/>
              <w:rPr>
                <w:rFonts w:ascii="Verdana" w:hAnsi="Verdana" w:cs="Arial"/>
                <w:bCs/>
                <w:color w:val="333333"/>
              </w:rPr>
            </w:pPr>
            <w:bookmarkStart w:id="12" w:name="OLE_LINK28"/>
            <w:r w:rsidRPr="00270E70">
              <w:rPr>
                <w:rFonts w:ascii="Verdana" w:hAnsi="Verdana" w:cs="Arial"/>
                <w:bCs/>
                <w:color w:val="333333"/>
              </w:rPr>
              <w:t>100% of the basic portion of the Part D premium</w:t>
            </w:r>
            <w:r w:rsidR="00F55CBC">
              <w:rPr>
                <w:rFonts w:ascii="Verdana" w:hAnsi="Verdana" w:cs="Arial"/>
                <w:bCs/>
                <w:color w:val="333333"/>
              </w:rPr>
              <w:t>.</w:t>
            </w:r>
            <w:bookmarkEnd w:id="12"/>
          </w:p>
        </w:tc>
      </w:tr>
      <w:tr w:rsidR="00E31C0F" w:rsidRPr="00270E70" w14:paraId="50675D9E" w14:textId="77777777" w:rsidTr="009D0148">
        <w:tc>
          <w:tcPr>
            <w:tcW w:w="1202" w:type="pct"/>
          </w:tcPr>
          <w:p w14:paraId="0BBC1055"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Copay Amounts</w:t>
            </w:r>
          </w:p>
        </w:tc>
        <w:tc>
          <w:tcPr>
            <w:tcW w:w="3798" w:type="pct"/>
          </w:tcPr>
          <w:p w14:paraId="48CB4DC4" w14:textId="4395332D" w:rsidR="00E31C0F" w:rsidRPr="00270E70" w:rsidRDefault="00E31C0F" w:rsidP="006A32A5">
            <w:pPr>
              <w:numPr>
                <w:ilvl w:val="0"/>
                <w:numId w:val="11"/>
              </w:numPr>
              <w:spacing w:before="120" w:after="120"/>
              <w:ind w:left="288"/>
              <w:rPr>
                <w:rFonts w:ascii="Verdana" w:hAnsi="Verdana" w:cs="Arial"/>
                <w:bCs/>
                <w:color w:val="333333"/>
              </w:rPr>
            </w:pPr>
            <w:r w:rsidRPr="00270E70">
              <w:rPr>
                <w:rFonts w:ascii="Verdana" w:hAnsi="Verdana" w:cs="Arial"/>
                <w:bCs/>
                <w:color w:val="333333"/>
              </w:rPr>
              <w:t>No deductible</w:t>
            </w:r>
            <w:r w:rsidR="00541A81">
              <w:rPr>
                <w:rFonts w:ascii="Verdana" w:hAnsi="Verdana" w:cs="Arial"/>
                <w:bCs/>
                <w:color w:val="333333"/>
              </w:rPr>
              <w:t>.</w:t>
            </w:r>
            <w:r w:rsidRPr="00270E70">
              <w:rPr>
                <w:rFonts w:ascii="Verdana" w:hAnsi="Verdana" w:cs="Arial"/>
                <w:bCs/>
                <w:color w:val="333333"/>
              </w:rPr>
              <w:t xml:space="preserve"> </w:t>
            </w:r>
          </w:p>
          <w:p w14:paraId="3A733D95" w14:textId="287DD91D" w:rsidR="00E31C0F" w:rsidRPr="00270E70" w:rsidRDefault="009D0148" w:rsidP="006A32A5">
            <w:pPr>
              <w:numPr>
                <w:ilvl w:val="0"/>
                <w:numId w:val="11"/>
              </w:numPr>
              <w:spacing w:before="120" w:after="120"/>
              <w:ind w:left="288"/>
              <w:rPr>
                <w:rFonts w:ascii="Verdana" w:hAnsi="Verdana" w:cs="Arial"/>
                <w:bCs/>
                <w:color w:val="333333"/>
              </w:rPr>
            </w:pPr>
            <w:bookmarkStart w:id="13" w:name="OLE_LINK3"/>
            <w:bookmarkStart w:id="14" w:name="OLE_LINK27"/>
            <w:r w:rsidRPr="009D0148">
              <w:rPr>
                <w:rFonts w:ascii="Verdana" w:hAnsi="Verdana" w:cs="Arial"/>
                <w:bCs/>
                <w:color w:val="333333"/>
              </w:rPr>
              <w:t>$5.10</w:t>
            </w:r>
            <w:bookmarkEnd w:id="13"/>
            <w:r>
              <w:rPr>
                <w:rFonts w:ascii="Verdana" w:hAnsi="Verdana" w:cs="Arial"/>
                <w:bCs/>
                <w:color w:val="333333"/>
              </w:rPr>
              <w:t xml:space="preserve"> </w:t>
            </w:r>
            <w:r w:rsidR="00E31C0F" w:rsidRPr="00270E70">
              <w:rPr>
                <w:rFonts w:ascii="Verdana" w:hAnsi="Verdana" w:cs="Arial"/>
                <w:bCs/>
                <w:color w:val="333333"/>
              </w:rPr>
              <w:t xml:space="preserve">generic / </w:t>
            </w:r>
            <w:bookmarkStart w:id="15" w:name="OLE_LINK4"/>
            <w:r w:rsidR="006F5313">
              <w:rPr>
                <w:rFonts w:ascii="Verdana" w:hAnsi="Verdana" w:cs="Arial"/>
                <w:bCs/>
                <w:color w:val="333333"/>
              </w:rPr>
              <w:t>$</w:t>
            </w:r>
            <w:r w:rsidR="00CC2354">
              <w:rPr>
                <w:rFonts w:ascii="Verdana" w:hAnsi="Verdana" w:cs="Arial"/>
                <w:bCs/>
                <w:color w:val="333333"/>
              </w:rPr>
              <w:t>12.</w:t>
            </w:r>
            <w:r>
              <w:rPr>
                <w:rFonts w:ascii="Verdana" w:hAnsi="Verdana" w:cs="Arial"/>
                <w:bCs/>
                <w:color w:val="333333"/>
              </w:rPr>
              <w:t>6</w:t>
            </w:r>
            <w:r w:rsidR="00CC2354">
              <w:rPr>
                <w:rFonts w:ascii="Verdana" w:hAnsi="Verdana" w:cs="Arial"/>
                <w:bCs/>
                <w:color w:val="333333"/>
              </w:rPr>
              <w:t xml:space="preserve">5 </w:t>
            </w:r>
            <w:bookmarkEnd w:id="15"/>
            <w:r w:rsidR="00E31C0F" w:rsidRPr="00270E70">
              <w:rPr>
                <w:rFonts w:ascii="Verdana" w:hAnsi="Verdana" w:cs="Arial"/>
                <w:bCs/>
                <w:color w:val="333333"/>
              </w:rPr>
              <w:t>other drugs</w:t>
            </w:r>
            <w:r w:rsidR="00541A81">
              <w:rPr>
                <w:rFonts w:ascii="Verdana" w:hAnsi="Verdana" w:cs="Arial"/>
                <w:bCs/>
                <w:color w:val="333333"/>
              </w:rPr>
              <w:t>.</w:t>
            </w:r>
            <w:r w:rsidR="00E31C0F" w:rsidRPr="00270E70">
              <w:rPr>
                <w:rFonts w:ascii="Verdana" w:hAnsi="Verdana" w:cs="Arial"/>
                <w:bCs/>
                <w:color w:val="333333"/>
              </w:rPr>
              <w:t xml:space="preserve"> </w:t>
            </w:r>
          </w:p>
          <w:p w14:paraId="720E4DC0" w14:textId="38E401F3" w:rsidR="00E31C0F" w:rsidRPr="00270E70" w:rsidRDefault="009D0148" w:rsidP="006A32A5">
            <w:pPr>
              <w:numPr>
                <w:ilvl w:val="0"/>
                <w:numId w:val="11"/>
              </w:numPr>
              <w:spacing w:before="120" w:after="120"/>
              <w:ind w:left="288"/>
              <w:rPr>
                <w:rFonts w:ascii="Verdana" w:hAnsi="Verdana" w:cs="Arial"/>
                <w:bCs/>
                <w:color w:val="333333"/>
              </w:rPr>
            </w:pPr>
            <w:r w:rsidRPr="009D0148">
              <w:rPr>
                <w:rFonts w:ascii="Verdana" w:hAnsi="Verdana" w:cs="Arial"/>
                <w:bCs/>
                <w:color w:val="333333"/>
              </w:rPr>
              <w:t>$5.10</w:t>
            </w:r>
            <w:r>
              <w:rPr>
                <w:rFonts w:ascii="Verdana" w:hAnsi="Verdana" w:cs="Arial"/>
                <w:bCs/>
                <w:color w:val="333333"/>
              </w:rPr>
              <w:t xml:space="preserve"> </w:t>
            </w:r>
            <w:r w:rsidR="00CC2354" w:rsidRPr="00270E70">
              <w:rPr>
                <w:rFonts w:ascii="Verdana" w:hAnsi="Verdana" w:cs="Arial"/>
                <w:bCs/>
                <w:color w:val="333333"/>
              </w:rPr>
              <w:t xml:space="preserve">generic / </w:t>
            </w:r>
            <w:r w:rsidR="00CC2354">
              <w:rPr>
                <w:rFonts w:ascii="Verdana" w:hAnsi="Verdana" w:cs="Arial"/>
                <w:bCs/>
                <w:color w:val="333333"/>
              </w:rPr>
              <w:t>$12.</w:t>
            </w:r>
            <w:r>
              <w:rPr>
                <w:rFonts w:ascii="Verdana" w:hAnsi="Verdana" w:cs="Arial"/>
                <w:bCs/>
                <w:color w:val="333333"/>
              </w:rPr>
              <w:t>6</w:t>
            </w:r>
            <w:r w:rsidR="00CC2354">
              <w:rPr>
                <w:rFonts w:ascii="Verdana" w:hAnsi="Verdana" w:cs="Arial"/>
                <w:bCs/>
                <w:color w:val="333333"/>
              </w:rPr>
              <w:t xml:space="preserve">5 </w:t>
            </w:r>
            <w:r w:rsidR="00E31C0F" w:rsidRPr="00270E70">
              <w:rPr>
                <w:rFonts w:ascii="Verdana" w:hAnsi="Verdana" w:cs="Arial"/>
                <w:bCs/>
                <w:color w:val="333333"/>
              </w:rPr>
              <w:t>copay applies for up to a 90-day supply</w:t>
            </w:r>
            <w:r w:rsidR="00541A81">
              <w:rPr>
                <w:rFonts w:ascii="Verdana" w:hAnsi="Verdana" w:cs="Arial"/>
                <w:bCs/>
                <w:color w:val="333333"/>
              </w:rPr>
              <w:t>.</w:t>
            </w:r>
            <w:r w:rsidR="00E31C0F" w:rsidRPr="00270E70">
              <w:rPr>
                <w:rFonts w:ascii="Verdana" w:hAnsi="Verdana" w:cs="Arial"/>
                <w:bCs/>
                <w:color w:val="333333"/>
              </w:rPr>
              <w:t xml:space="preserve"> </w:t>
            </w:r>
          </w:p>
          <w:p w14:paraId="29C9A9AD" w14:textId="77777777" w:rsidR="00E31C0F" w:rsidRPr="00270E70" w:rsidRDefault="00E31C0F" w:rsidP="006A32A5">
            <w:pPr>
              <w:numPr>
                <w:ilvl w:val="0"/>
                <w:numId w:val="11"/>
              </w:numPr>
              <w:spacing w:before="120" w:after="120"/>
              <w:ind w:left="288"/>
              <w:rPr>
                <w:rFonts w:ascii="Verdana" w:hAnsi="Verdana" w:cs="Arial"/>
                <w:bCs/>
                <w:color w:val="333333"/>
              </w:rPr>
            </w:pPr>
            <w:r w:rsidRPr="00270E70">
              <w:rPr>
                <w:rFonts w:ascii="Verdana" w:hAnsi="Verdana" w:cs="Arial"/>
                <w:bCs/>
                <w:color w:val="333333"/>
              </w:rPr>
              <w:t xml:space="preserve">Once catastrophic benefit level is reached, $0 copay for Pt D drugs.  </w:t>
            </w:r>
          </w:p>
          <w:bookmarkEnd w:id="14"/>
          <w:p w14:paraId="387F0D1E" w14:textId="77777777" w:rsidR="00E31C0F" w:rsidRPr="00270E70" w:rsidRDefault="00E31C0F" w:rsidP="006A32A5">
            <w:pPr>
              <w:spacing w:before="120" w:after="120"/>
              <w:ind w:left="288"/>
              <w:rPr>
                <w:rFonts w:ascii="Verdana" w:hAnsi="Verdana" w:cs="Arial"/>
                <w:bCs/>
                <w:color w:val="333333"/>
              </w:rPr>
            </w:pPr>
            <w:r w:rsidRPr="00270E70">
              <w:rPr>
                <w:rFonts w:ascii="Verdana" w:hAnsi="Verdana" w:cs="Arial"/>
                <w:bCs/>
                <w:color w:val="333333"/>
              </w:rPr>
              <w:t xml:space="preserve"> </w:t>
            </w:r>
          </w:p>
          <w:p w14:paraId="7D27055F" w14:textId="77777777" w:rsidR="00E31C0F" w:rsidRPr="00270E70" w:rsidRDefault="00E31C0F" w:rsidP="006A32A5">
            <w:pPr>
              <w:spacing w:before="120" w:after="120"/>
              <w:rPr>
                <w:rFonts w:ascii="Verdana" w:hAnsi="Verdana" w:cs="Arial"/>
                <w:b/>
                <w:bCs/>
                <w:color w:val="333333"/>
              </w:rPr>
            </w:pPr>
            <w:r w:rsidRPr="00270E70">
              <w:rPr>
                <w:rFonts w:ascii="Verdana" w:hAnsi="Verdana" w:cs="Arial"/>
                <w:b/>
                <w:bCs/>
                <w:color w:val="333333"/>
              </w:rPr>
              <w:t>Notes:</w:t>
            </w:r>
          </w:p>
          <w:p w14:paraId="5D0606AB" w14:textId="77777777" w:rsidR="00E31C0F" w:rsidRPr="00270E70" w:rsidRDefault="00E31C0F" w:rsidP="006A32A5">
            <w:pPr>
              <w:numPr>
                <w:ilvl w:val="0"/>
                <w:numId w:val="12"/>
              </w:numPr>
              <w:spacing w:before="120" w:after="120"/>
              <w:ind w:left="288"/>
              <w:rPr>
                <w:rFonts w:ascii="Verdana" w:hAnsi="Verdana" w:cs="Arial"/>
                <w:bCs/>
                <w:color w:val="333333"/>
              </w:rPr>
            </w:pPr>
            <w:bookmarkStart w:id="16" w:name="OLE_LINK29"/>
            <w:r w:rsidRPr="00270E70">
              <w:rPr>
                <w:rFonts w:ascii="Verdana" w:hAnsi="Verdana" w:cs="Arial"/>
                <w:bCs/>
                <w:color w:val="333333"/>
              </w:rPr>
              <w:t xml:space="preserve">For Part D drugs, LIS eligible members </w:t>
            </w:r>
            <w:r w:rsidR="00462655">
              <w:rPr>
                <w:rFonts w:ascii="Verdana" w:hAnsi="Verdana" w:cs="Arial"/>
                <w:bCs/>
                <w:color w:val="333333"/>
              </w:rPr>
              <w:t xml:space="preserve">will </w:t>
            </w:r>
            <w:r w:rsidRPr="00270E70">
              <w:rPr>
                <w:rFonts w:ascii="Verdana" w:hAnsi="Verdana" w:cs="Arial"/>
                <w:bCs/>
                <w:color w:val="333333"/>
              </w:rPr>
              <w:t>pay either the LIS cost share or the plan cost share,</w:t>
            </w:r>
            <w:r w:rsidR="002D4EE4">
              <w:rPr>
                <w:rFonts w:ascii="Verdana" w:hAnsi="Verdana" w:cs="Arial"/>
                <w:bCs/>
                <w:color w:val="333333"/>
              </w:rPr>
              <w:t xml:space="preserve"> </w:t>
            </w:r>
            <w:r w:rsidRPr="00270E70">
              <w:rPr>
                <w:rFonts w:ascii="Verdana" w:hAnsi="Verdana" w:cs="Arial"/>
                <w:bCs/>
                <w:color w:val="333333"/>
              </w:rPr>
              <w:t xml:space="preserve">whichever is less. </w:t>
            </w:r>
          </w:p>
          <w:p w14:paraId="4B3AC362" w14:textId="77777777" w:rsidR="00E31C0F" w:rsidRPr="00270E70" w:rsidRDefault="00E31C0F" w:rsidP="006A32A5">
            <w:pPr>
              <w:numPr>
                <w:ilvl w:val="0"/>
                <w:numId w:val="12"/>
              </w:numPr>
              <w:spacing w:before="120" w:after="120"/>
              <w:ind w:left="288"/>
              <w:rPr>
                <w:rFonts w:ascii="Verdana" w:hAnsi="Verdana" w:cs="Arial"/>
                <w:bCs/>
                <w:color w:val="333333"/>
              </w:rPr>
            </w:pPr>
            <w:r w:rsidRPr="00270E70">
              <w:rPr>
                <w:rFonts w:ascii="Verdana" w:hAnsi="Verdana" w:cs="Arial"/>
                <w:bCs/>
                <w:color w:val="333333"/>
              </w:rPr>
              <w:t>If the negotiated price of the drug is less than the LIS cost share and plan cost share, the member is responsible for the negotiated price of the drug only.</w:t>
            </w:r>
            <w:r w:rsidRPr="00270E70">
              <w:rPr>
                <w:rFonts w:ascii="Verdana" w:hAnsi="Verdana"/>
                <w:b/>
              </w:rPr>
              <w:t xml:space="preserve"> </w:t>
            </w:r>
          </w:p>
          <w:p w14:paraId="7C186F00" w14:textId="362EB35F" w:rsidR="00A16DD9" w:rsidRPr="00F55CBC" w:rsidRDefault="00E31C0F" w:rsidP="006A32A5">
            <w:pPr>
              <w:numPr>
                <w:ilvl w:val="0"/>
                <w:numId w:val="12"/>
              </w:numPr>
              <w:spacing w:before="120" w:after="120"/>
              <w:ind w:left="288"/>
              <w:rPr>
                <w:rFonts w:ascii="Verdana" w:hAnsi="Verdana" w:cs="Arial"/>
                <w:bCs/>
                <w:color w:val="333333"/>
              </w:rPr>
            </w:pPr>
            <w:r w:rsidRPr="00270E70">
              <w:rPr>
                <w:rFonts w:ascii="Verdana" w:hAnsi="Verdana"/>
              </w:rPr>
              <w:t xml:space="preserve">The generic pricing also applies to certain preferred drugs.  </w:t>
            </w:r>
            <w:bookmarkEnd w:id="16"/>
          </w:p>
        </w:tc>
      </w:tr>
      <w:tr w:rsidR="00E31C0F" w:rsidRPr="00270E70" w14:paraId="5796B8D9" w14:textId="77777777" w:rsidTr="009D0148">
        <w:tc>
          <w:tcPr>
            <w:tcW w:w="1202" w:type="pct"/>
          </w:tcPr>
          <w:p w14:paraId="287F51BD" w14:textId="77777777" w:rsidR="00E31C0F" w:rsidRPr="00270E70" w:rsidRDefault="00E31C0F" w:rsidP="006A32A5">
            <w:pPr>
              <w:spacing w:before="120" w:after="120"/>
              <w:rPr>
                <w:rFonts w:ascii="Verdana" w:hAnsi="Verdana" w:cs="Arial"/>
                <w:b/>
                <w:bCs/>
                <w:color w:val="333333"/>
                <w:sz w:val="22"/>
                <w:szCs w:val="22"/>
              </w:rPr>
            </w:pPr>
            <w:r w:rsidRPr="00270E70">
              <w:rPr>
                <w:rFonts w:ascii="Verdana" w:hAnsi="Verdana" w:cs="Arial"/>
                <w:b/>
                <w:bCs/>
                <w:color w:val="333333"/>
                <w:sz w:val="22"/>
                <w:szCs w:val="22"/>
              </w:rPr>
              <w:t>Comments</w:t>
            </w:r>
          </w:p>
        </w:tc>
        <w:tc>
          <w:tcPr>
            <w:tcW w:w="3798" w:type="pct"/>
          </w:tcPr>
          <w:p w14:paraId="4C0ADB95" w14:textId="18B4E611" w:rsidR="00A16DD9" w:rsidRPr="00270E70" w:rsidRDefault="00E31C0F" w:rsidP="006A32A5">
            <w:pPr>
              <w:spacing w:before="120" w:after="120"/>
              <w:rPr>
                <w:rFonts w:ascii="Verdana" w:hAnsi="Verdana" w:cs="Arial"/>
                <w:bCs/>
                <w:color w:val="333333"/>
              </w:rPr>
            </w:pPr>
            <w:bookmarkStart w:id="17" w:name="OLE_LINK30"/>
            <w:r w:rsidRPr="00270E70">
              <w:rPr>
                <w:rFonts w:ascii="Verdana" w:hAnsi="Verdana" w:cs="Arial"/>
                <w:bCs/>
                <w:color w:val="333333"/>
              </w:rPr>
              <w:t xml:space="preserve">A member’s reduced </w:t>
            </w:r>
            <w:proofErr w:type="gramStart"/>
            <w:r w:rsidRPr="00270E70">
              <w:rPr>
                <w:rFonts w:ascii="Verdana" w:hAnsi="Verdana" w:cs="Arial"/>
                <w:bCs/>
                <w:color w:val="333333"/>
              </w:rPr>
              <w:t>copays</w:t>
            </w:r>
            <w:proofErr w:type="gramEnd"/>
            <w:r w:rsidRPr="00270E70">
              <w:rPr>
                <w:rFonts w:ascii="Verdana" w:hAnsi="Verdana" w:cs="Arial"/>
                <w:bCs/>
                <w:color w:val="333333"/>
              </w:rPr>
              <w:t xml:space="preserve"> apply even if the member buys up to an enhanced plan. However, the member </w:t>
            </w:r>
            <w:r w:rsidR="008B7360" w:rsidRPr="00270E70">
              <w:rPr>
                <w:rFonts w:ascii="Verdana" w:hAnsi="Verdana" w:cs="Arial"/>
                <w:bCs/>
                <w:color w:val="333333"/>
              </w:rPr>
              <w:t>must</w:t>
            </w:r>
            <w:r w:rsidRPr="00270E70">
              <w:rPr>
                <w:rFonts w:ascii="Verdana" w:hAnsi="Verdana" w:cs="Arial"/>
                <w:bCs/>
                <w:color w:val="333333"/>
              </w:rPr>
              <w:t xml:space="preserve"> pay any difference in premium between his/her subsidy amount and the premium for that enhanced plan.</w:t>
            </w:r>
            <w:bookmarkEnd w:id="17"/>
          </w:p>
        </w:tc>
      </w:tr>
    </w:tbl>
    <w:p w14:paraId="4C3E2EE1" w14:textId="77777777" w:rsidR="00E31C0F" w:rsidRDefault="00E31C0F" w:rsidP="006A32A5">
      <w:pPr>
        <w:spacing w:before="120" w:after="120"/>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9837"/>
      </w:tblGrid>
      <w:tr w:rsidR="00E31C0F" w:rsidRPr="00270E70" w14:paraId="7AC3714A" w14:textId="77777777" w:rsidTr="00CC2354">
        <w:tc>
          <w:tcPr>
            <w:tcW w:w="5000" w:type="pct"/>
            <w:gridSpan w:val="2"/>
            <w:shd w:val="clear" w:color="auto" w:fill="D9D9D9"/>
          </w:tcPr>
          <w:p w14:paraId="0899439C" w14:textId="77777777" w:rsidR="00E31C0F" w:rsidRPr="00270E70" w:rsidRDefault="00E31C0F" w:rsidP="006A32A5">
            <w:pPr>
              <w:spacing w:before="120" w:after="120"/>
              <w:rPr>
                <w:rFonts w:ascii="Verdana" w:hAnsi="Verdana" w:cs="Arial"/>
                <w:b/>
                <w:bCs/>
                <w:color w:val="333333"/>
              </w:rPr>
            </w:pPr>
            <w:bookmarkStart w:id="18" w:name="lvl2"/>
            <w:r w:rsidRPr="00270E70">
              <w:rPr>
                <w:rFonts w:ascii="Verdana" w:hAnsi="Verdana" w:cs="Arial"/>
                <w:b/>
                <w:bCs/>
                <w:color w:val="333333"/>
              </w:rPr>
              <w:t>LEVEL 2</w:t>
            </w:r>
            <w:bookmarkEnd w:id="18"/>
          </w:p>
        </w:tc>
      </w:tr>
      <w:tr w:rsidR="00E31C0F" w:rsidRPr="00270E70" w14:paraId="21400EFB" w14:textId="77777777" w:rsidTr="00CC2354">
        <w:tc>
          <w:tcPr>
            <w:tcW w:w="1202" w:type="pct"/>
          </w:tcPr>
          <w:p w14:paraId="36DE17DF" w14:textId="77777777" w:rsidR="00E31C0F" w:rsidRPr="00270E70" w:rsidRDefault="00E31C0F" w:rsidP="006A32A5">
            <w:pPr>
              <w:spacing w:before="120" w:after="120"/>
              <w:rPr>
                <w:rFonts w:ascii="Verdana" w:hAnsi="Verdana" w:cs="Arial"/>
                <w:b/>
                <w:bCs/>
                <w:color w:val="333333"/>
              </w:rPr>
            </w:pPr>
            <w:r w:rsidRPr="00270E70">
              <w:rPr>
                <w:rFonts w:ascii="Verdana" w:hAnsi="Verdana" w:cs="Arial"/>
                <w:b/>
                <w:bCs/>
                <w:color w:val="333333"/>
              </w:rPr>
              <w:t>Definition</w:t>
            </w:r>
          </w:p>
        </w:tc>
        <w:tc>
          <w:tcPr>
            <w:tcW w:w="3798" w:type="pct"/>
          </w:tcPr>
          <w:p w14:paraId="0E77B3F9" w14:textId="249CFCFA"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Non-institutionalized Full benefit dual eligible (eligible for both Medicare and Medicaid)</w:t>
            </w:r>
            <w:r w:rsidR="00F55CBC">
              <w:rPr>
                <w:rFonts w:ascii="Verdana" w:hAnsi="Verdana" w:cs="Arial"/>
                <w:bCs/>
                <w:color w:val="333333"/>
              </w:rPr>
              <w:t>.</w:t>
            </w:r>
          </w:p>
        </w:tc>
      </w:tr>
      <w:tr w:rsidR="00E31C0F" w:rsidRPr="00270E70" w14:paraId="6792E9D4" w14:textId="77777777" w:rsidTr="00CC2354">
        <w:tc>
          <w:tcPr>
            <w:tcW w:w="1202" w:type="pct"/>
          </w:tcPr>
          <w:p w14:paraId="318B8904"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Monthly Premium subsidy from CMS</w:t>
            </w:r>
          </w:p>
        </w:tc>
        <w:tc>
          <w:tcPr>
            <w:tcW w:w="3798" w:type="pct"/>
          </w:tcPr>
          <w:p w14:paraId="0D469370" w14:textId="0B85B5DD"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100% of the basic portion of the Part D premium</w:t>
            </w:r>
            <w:r w:rsidR="00A16DD9">
              <w:rPr>
                <w:rFonts w:ascii="Verdana" w:hAnsi="Verdana" w:cs="Arial"/>
                <w:bCs/>
                <w:color w:val="333333"/>
              </w:rPr>
              <w:t>.</w:t>
            </w:r>
          </w:p>
        </w:tc>
      </w:tr>
      <w:tr w:rsidR="00E31C0F" w:rsidRPr="00270E70" w14:paraId="15D63285" w14:textId="77777777" w:rsidTr="00CC2354">
        <w:tc>
          <w:tcPr>
            <w:tcW w:w="1202" w:type="pct"/>
          </w:tcPr>
          <w:p w14:paraId="0A21686C"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Copay Amounts</w:t>
            </w:r>
          </w:p>
        </w:tc>
        <w:tc>
          <w:tcPr>
            <w:tcW w:w="3798" w:type="pct"/>
          </w:tcPr>
          <w:p w14:paraId="3EAFBB1F" w14:textId="239E9BD4" w:rsidR="00E31C0F" w:rsidRPr="00270E70" w:rsidRDefault="00E31C0F" w:rsidP="006A32A5">
            <w:pPr>
              <w:numPr>
                <w:ilvl w:val="0"/>
                <w:numId w:val="13"/>
              </w:numPr>
              <w:spacing w:before="120" w:after="120"/>
              <w:ind w:left="288"/>
              <w:rPr>
                <w:rFonts w:ascii="Verdana" w:hAnsi="Verdana" w:cs="Arial"/>
                <w:bCs/>
                <w:color w:val="333333"/>
              </w:rPr>
            </w:pPr>
            <w:r w:rsidRPr="00270E70">
              <w:rPr>
                <w:rFonts w:ascii="Verdana" w:hAnsi="Verdana" w:cs="Arial"/>
                <w:bCs/>
                <w:color w:val="333333"/>
              </w:rPr>
              <w:t>No deductible</w:t>
            </w:r>
            <w:r w:rsidR="00F55CBC">
              <w:rPr>
                <w:rFonts w:ascii="Verdana" w:hAnsi="Verdana" w:cs="Arial"/>
                <w:bCs/>
                <w:color w:val="333333"/>
              </w:rPr>
              <w:t>.</w:t>
            </w:r>
            <w:r w:rsidRPr="00270E70">
              <w:rPr>
                <w:rFonts w:ascii="Verdana" w:hAnsi="Verdana" w:cs="Arial"/>
                <w:bCs/>
                <w:color w:val="333333"/>
              </w:rPr>
              <w:t xml:space="preserve"> </w:t>
            </w:r>
          </w:p>
          <w:p w14:paraId="76AA5D77" w14:textId="64586C4F" w:rsidR="00E31C0F" w:rsidRPr="00270E70" w:rsidRDefault="00A36D7C" w:rsidP="006A32A5">
            <w:pPr>
              <w:numPr>
                <w:ilvl w:val="0"/>
                <w:numId w:val="13"/>
              </w:numPr>
              <w:spacing w:before="120" w:after="120"/>
              <w:ind w:left="288"/>
              <w:rPr>
                <w:rFonts w:ascii="Verdana" w:hAnsi="Verdana" w:cs="Arial"/>
                <w:bCs/>
                <w:color w:val="333333"/>
              </w:rPr>
            </w:pPr>
            <w:r>
              <w:rPr>
                <w:rFonts w:ascii="Verdana" w:hAnsi="Verdana" w:cs="Arial"/>
                <w:bCs/>
                <w:color w:val="333333"/>
              </w:rPr>
              <w:t>$</w:t>
            </w:r>
            <w:r w:rsidR="00E31C0F" w:rsidRPr="00270E70">
              <w:rPr>
                <w:rFonts w:ascii="Verdana" w:hAnsi="Verdana" w:cs="Arial"/>
                <w:bCs/>
                <w:color w:val="333333"/>
              </w:rPr>
              <w:t xml:space="preserve"> </w:t>
            </w:r>
            <w:r w:rsidR="000E2E28">
              <w:rPr>
                <w:rFonts w:ascii="Verdana" w:hAnsi="Verdana" w:cs="Arial"/>
                <w:bCs/>
                <w:color w:val="333333"/>
              </w:rPr>
              <w:t>1.</w:t>
            </w:r>
            <w:r w:rsidR="00CC2354">
              <w:rPr>
                <w:rFonts w:ascii="Verdana" w:hAnsi="Verdana" w:cs="Arial"/>
                <w:bCs/>
                <w:color w:val="333333"/>
              </w:rPr>
              <w:t>60</w:t>
            </w:r>
            <w:r w:rsidR="0019343D">
              <w:rPr>
                <w:rFonts w:ascii="Verdana" w:hAnsi="Verdana" w:cs="Arial"/>
                <w:bCs/>
                <w:color w:val="333333"/>
              </w:rPr>
              <w:t xml:space="preserve"> </w:t>
            </w:r>
            <w:r w:rsidR="00E31C0F" w:rsidRPr="00270E70">
              <w:rPr>
                <w:rFonts w:ascii="Verdana" w:hAnsi="Verdana" w:cs="Arial"/>
                <w:bCs/>
                <w:color w:val="333333"/>
              </w:rPr>
              <w:t>generic/</w:t>
            </w:r>
            <w:r w:rsidR="006F5313">
              <w:rPr>
                <w:rFonts w:ascii="Verdana" w:hAnsi="Verdana" w:cs="Arial"/>
                <w:bCs/>
                <w:color w:val="333333"/>
              </w:rPr>
              <w:t>$4.</w:t>
            </w:r>
            <w:r w:rsidR="009E1961">
              <w:rPr>
                <w:rFonts w:ascii="Verdana" w:hAnsi="Verdana" w:cs="Arial"/>
                <w:bCs/>
                <w:color w:val="333333"/>
              </w:rPr>
              <w:t>9</w:t>
            </w:r>
            <w:r w:rsidR="006F5313">
              <w:rPr>
                <w:rFonts w:ascii="Verdana" w:hAnsi="Verdana" w:cs="Arial"/>
                <w:bCs/>
                <w:color w:val="333333"/>
              </w:rPr>
              <w:t>0</w:t>
            </w:r>
            <w:r w:rsidR="00BE0916">
              <w:rPr>
                <w:rFonts w:ascii="Verdana" w:hAnsi="Verdana" w:cs="Arial"/>
                <w:bCs/>
                <w:color w:val="333333"/>
              </w:rPr>
              <w:t xml:space="preserve"> </w:t>
            </w:r>
            <w:r w:rsidR="0019343D" w:rsidRPr="00270E70">
              <w:rPr>
                <w:rFonts w:ascii="Verdana" w:hAnsi="Verdana" w:cs="Arial"/>
                <w:bCs/>
                <w:color w:val="333333"/>
              </w:rPr>
              <w:t xml:space="preserve">brand </w:t>
            </w:r>
            <w:r w:rsidR="00E31C0F" w:rsidRPr="00270E70">
              <w:rPr>
                <w:rFonts w:ascii="Verdana" w:hAnsi="Verdana" w:cs="Arial"/>
                <w:bCs/>
                <w:color w:val="333333"/>
              </w:rPr>
              <w:t>name drugs co</w:t>
            </w:r>
            <w:r w:rsidR="00F55CBC">
              <w:rPr>
                <w:rFonts w:ascii="Verdana" w:hAnsi="Verdana" w:cs="Arial"/>
                <w:bCs/>
                <w:color w:val="333333"/>
              </w:rPr>
              <w:t>pay applies for a 30-day supply.</w:t>
            </w:r>
          </w:p>
          <w:p w14:paraId="00D089D5" w14:textId="2F3FF156" w:rsidR="00E31C0F" w:rsidRPr="00270E70" w:rsidRDefault="00CC2354" w:rsidP="006A32A5">
            <w:pPr>
              <w:numPr>
                <w:ilvl w:val="0"/>
                <w:numId w:val="13"/>
              </w:numPr>
              <w:spacing w:before="120" w:after="120"/>
              <w:ind w:left="288"/>
              <w:rPr>
                <w:rFonts w:ascii="Verdana" w:hAnsi="Verdana" w:cs="Arial"/>
                <w:bCs/>
                <w:color w:val="333333"/>
              </w:rPr>
            </w:pPr>
            <w:r>
              <w:rPr>
                <w:rFonts w:ascii="Verdana" w:hAnsi="Verdana" w:cs="Arial"/>
                <w:bCs/>
                <w:color w:val="333333"/>
              </w:rPr>
              <w:t>$</w:t>
            </w:r>
            <w:r w:rsidRPr="00270E70">
              <w:rPr>
                <w:rFonts w:ascii="Verdana" w:hAnsi="Verdana" w:cs="Arial"/>
                <w:bCs/>
                <w:color w:val="333333"/>
              </w:rPr>
              <w:t xml:space="preserve"> </w:t>
            </w:r>
            <w:r>
              <w:rPr>
                <w:rFonts w:ascii="Verdana" w:hAnsi="Verdana" w:cs="Arial"/>
                <w:bCs/>
                <w:color w:val="333333"/>
              </w:rPr>
              <w:t xml:space="preserve">1.60 </w:t>
            </w:r>
            <w:r w:rsidRPr="00270E70">
              <w:rPr>
                <w:rFonts w:ascii="Verdana" w:hAnsi="Verdana" w:cs="Arial"/>
                <w:bCs/>
                <w:color w:val="333333"/>
              </w:rPr>
              <w:t>generic/</w:t>
            </w:r>
            <w:r>
              <w:rPr>
                <w:rFonts w:ascii="Verdana" w:hAnsi="Verdana" w:cs="Arial"/>
                <w:bCs/>
                <w:color w:val="333333"/>
              </w:rPr>
              <w:t>$4.</w:t>
            </w:r>
            <w:r w:rsidR="009E1961">
              <w:rPr>
                <w:rFonts w:ascii="Verdana" w:hAnsi="Verdana" w:cs="Arial"/>
                <w:bCs/>
                <w:color w:val="333333"/>
              </w:rPr>
              <w:t>9</w:t>
            </w:r>
            <w:r>
              <w:rPr>
                <w:rFonts w:ascii="Verdana" w:hAnsi="Verdana" w:cs="Arial"/>
                <w:bCs/>
                <w:color w:val="333333"/>
              </w:rPr>
              <w:t xml:space="preserve">0 </w:t>
            </w:r>
            <w:r w:rsidR="00E31C0F" w:rsidRPr="00270E70">
              <w:rPr>
                <w:rFonts w:ascii="Verdana" w:hAnsi="Verdana" w:cs="Arial"/>
                <w:bCs/>
                <w:color w:val="333333"/>
              </w:rPr>
              <w:t>copay ap</w:t>
            </w:r>
            <w:r w:rsidR="00F55CBC">
              <w:rPr>
                <w:rFonts w:ascii="Verdana" w:hAnsi="Verdana" w:cs="Arial"/>
                <w:bCs/>
                <w:color w:val="333333"/>
              </w:rPr>
              <w:t>plies for up to a 90-day supply.</w:t>
            </w:r>
          </w:p>
          <w:p w14:paraId="5B445D8F" w14:textId="77777777" w:rsidR="00E31C0F" w:rsidRPr="00270E70" w:rsidRDefault="00E31C0F" w:rsidP="006A32A5">
            <w:pPr>
              <w:numPr>
                <w:ilvl w:val="0"/>
                <w:numId w:val="13"/>
              </w:numPr>
              <w:spacing w:before="120" w:after="120"/>
              <w:ind w:left="288"/>
              <w:rPr>
                <w:rFonts w:ascii="Verdana" w:hAnsi="Verdana" w:cs="Arial"/>
                <w:bCs/>
                <w:color w:val="333333"/>
              </w:rPr>
            </w:pPr>
            <w:r w:rsidRPr="00270E70">
              <w:rPr>
                <w:rFonts w:ascii="Verdana" w:hAnsi="Verdana" w:cs="Arial"/>
                <w:bCs/>
                <w:color w:val="333333"/>
              </w:rPr>
              <w:t xml:space="preserve">Once catastrophic benefit level is reached, $0 copay for Part D drugs. </w:t>
            </w:r>
          </w:p>
          <w:p w14:paraId="68C62518" w14:textId="77777777" w:rsidR="00E31C0F" w:rsidRPr="00270E70" w:rsidRDefault="00E31C0F" w:rsidP="006A32A5">
            <w:pPr>
              <w:spacing w:before="120" w:after="120"/>
              <w:ind w:left="288"/>
              <w:rPr>
                <w:rFonts w:ascii="Verdana" w:hAnsi="Verdana" w:cs="Arial"/>
                <w:bCs/>
                <w:color w:val="333333"/>
              </w:rPr>
            </w:pPr>
          </w:p>
          <w:p w14:paraId="1489EF79" w14:textId="77777777" w:rsidR="00E31C0F" w:rsidRPr="00270E70" w:rsidRDefault="00E31C0F" w:rsidP="006A32A5">
            <w:pPr>
              <w:spacing w:before="120" w:after="120"/>
              <w:rPr>
                <w:rFonts w:ascii="Verdana" w:hAnsi="Verdana" w:cs="Arial"/>
                <w:b/>
                <w:bCs/>
                <w:color w:val="333333"/>
              </w:rPr>
            </w:pPr>
            <w:r w:rsidRPr="00270E70">
              <w:rPr>
                <w:rFonts w:ascii="Verdana" w:hAnsi="Verdana" w:cs="Arial"/>
                <w:b/>
                <w:bCs/>
                <w:color w:val="333333"/>
              </w:rPr>
              <w:t xml:space="preserve">Notes:  </w:t>
            </w:r>
          </w:p>
          <w:p w14:paraId="0AB4C210" w14:textId="77777777" w:rsidR="00E31C0F" w:rsidRPr="00270E70" w:rsidRDefault="00E31C0F" w:rsidP="006A32A5">
            <w:pPr>
              <w:numPr>
                <w:ilvl w:val="0"/>
                <w:numId w:val="14"/>
              </w:numPr>
              <w:spacing w:before="120" w:after="120"/>
              <w:ind w:left="288"/>
              <w:rPr>
                <w:rFonts w:ascii="Verdana" w:hAnsi="Verdana" w:cs="Arial"/>
                <w:bCs/>
                <w:color w:val="333333"/>
              </w:rPr>
            </w:pPr>
            <w:r w:rsidRPr="00270E70">
              <w:rPr>
                <w:rFonts w:ascii="Verdana" w:hAnsi="Verdana" w:cs="Arial"/>
                <w:bCs/>
                <w:color w:val="333333"/>
              </w:rPr>
              <w:t>For Part D drugs, LIS eligible members</w:t>
            </w:r>
            <w:r w:rsidR="00462655">
              <w:rPr>
                <w:rFonts w:ascii="Verdana" w:hAnsi="Verdana" w:cs="Arial"/>
                <w:bCs/>
                <w:color w:val="333333"/>
              </w:rPr>
              <w:t xml:space="preserve"> will</w:t>
            </w:r>
            <w:r w:rsidRPr="00270E70">
              <w:rPr>
                <w:rFonts w:ascii="Verdana" w:hAnsi="Verdana" w:cs="Arial"/>
                <w:bCs/>
                <w:color w:val="333333"/>
              </w:rPr>
              <w:t xml:space="preserve"> pay either the LIS cost share or the plan cost share, whichever is less. </w:t>
            </w:r>
          </w:p>
          <w:p w14:paraId="53858FC4" w14:textId="77777777" w:rsidR="00E31C0F" w:rsidRPr="00270E70" w:rsidRDefault="00E31C0F" w:rsidP="006A32A5">
            <w:pPr>
              <w:numPr>
                <w:ilvl w:val="0"/>
                <w:numId w:val="14"/>
              </w:numPr>
              <w:spacing w:before="120" w:after="120"/>
              <w:ind w:left="288"/>
              <w:rPr>
                <w:rFonts w:ascii="Verdana" w:hAnsi="Verdana" w:cs="Arial"/>
                <w:bCs/>
                <w:color w:val="333333"/>
              </w:rPr>
            </w:pPr>
            <w:r w:rsidRPr="00270E70">
              <w:rPr>
                <w:rFonts w:ascii="Verdana" w:hAnsi="Verdana" w:cs="Arial"/>
                <w:bCs/>
                <w:color w:val="333333"/>
              </w:rPr>
              <w:t>If the negotiated price of the drug is less than the LIS cost share and plan cost share, the member is responsible for the negotiated price of the drug only.</w:t>
            </w:r>
          </w:p>
          <w:p w14:paraId="1EBB631E" w14:textId="0E09A790" w:rsidR="00A16DD9" w:rsidRPr="00F55CBC" w:rsidRDefault="00E31C0F" w:rsidP="006A32A5">
            <w:pPr>
              <w:numPr>
                <w:ilvl w:val="0"/>
                <w:numId w:val="14"/>
              </w:numPr>
              <w:spacing w:before="120" w:after="120"/>
              <w:ind w:left="288"/>
              <w:rPr>
                <w:rFonts w:ascii="Verdana" w:hAnsi="Verdana" w:cs="Arial"/>
                <w:bCs/>
                <w:color w:val="333333"/>
              </w:rPr>
            </w:pPr>
            <w:r w:rsidRPr="00270E70">
              <w:rPr>
                <w:rFonts w:ascii="Verdana" w:hAnsi="Verdana"/>
              </w:rPr>
              <w:t xml:space="preserve">The generic pricing also applies to certain preferred drugs.  </w:t>
            </w:r>
          </w:p>
        </w:tc>
      </w:tr>
      <w:tr w:rsidR="00E31C0F" w:rsidRPr="00270E70" w14:paraId="23785918" w14:textId="77777777" w:rsidTr="00CC2354">
        <w:tc>
          <w:tcPr>
            <w:tcW w:w="1202" w:type="pct"/>
          </w:tcPr>
          <w:p w14:paraId="555CC9C5" w14:textId="77777777" w:rsidR="00E31C0F" w:rsidRPr="00270E70" w:rsidRDefault="00E31C0F" w:rsidP="006A32A5">
            <w:pPr>
              <w:spacing w:before="120" w:after="120"/>
              <w:rPr>
                <w:rFonts w:ascii="Verdana" w:hAnsi="Verdana" w:cs="Arial"/>
                <w:b/>
                <w:bCs/>
                <w:color w:val="333333"/>
                <w:sz w:val="22"/>
                <w:szCs w:val="22"/>
              </w:rPr>
            </w:pPr>
            <w:r w:rsidRPr="00270E70">
              <w:rPr>
                <w:rFonts w:ascii="Verdana" w:hAnsi="Verdana" w:cs="Arial"/>
                <w:b/>
                <w:bCs/>
                <w:color w:val="333333"/>
                <w:sz w:val="22"/>
                <w:szCs w:val="22"/>
              </w:rPr>
              <w:t>Comments</w:t>
            </w:r>
          </w:p>
        </w:tc>
        <w:tc>
          <w:tcPr>
            <w:tcW w:w="3798" w:type="pct"/>
          </w:tcPr>
          <w:p w14:paraId="402D4337" w14:textId="41814A19"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 xml:space="preserve">A member’s reduced </w:t>
            </w:r>
            <w:proofErr w:type="gramStart"/>
            <w:r w:rsidRPr="00270E70">
              <w:rPr>
                <w:rFonts w:ascii="Verdana" w:hAnsi="Verdana" w:cs="Arial"/>
                <w:bCs/>
                <w:color w:val="333333"/>
              </w:rPr>
              <w:t>copays</w:t>
            </w:r>
            <w:proofErr w:type="gramEnd"/>
            <w:r w:rsidRPr="00270E70">
              <w:rPr>
                <w:rFonts w:ascii="Verdana" w:hAnsi="Verdana" w:cs="Arial"/>
                <w:bCs/>
                <w:color w:val="333333"/>
              </w:rPr>
              <w:t xml:space="preserve"> apply even if the member buys up to an enhanced plan.  However, the member </w:t>
            </w:r>
            <w:r w:rsidR="008B7360" w:rsidRPr="00270E70">
              <w:rPr>
                <w:rFonts w:ascii="Verdana" w:hAnsi="Verdana" w:cs="Arial"/>
                <w:bCs/>
                <w:color w:val="333333"/>
              </w:rPr>
              <w:t>must</w:t>
            </w:r>
            <w:r w:rsidRPr="00270E70">
              <w:rPr>
                <w:rFonts w:ascii="Verdana" w:hAnsi="Verdana" w:cs="Arial"/>
                <w:bCs/>
                <w:color w:val="333333"/>
              </w:rPr>
              <w:t xml:space="preserve"> pay any difference in premium between his/her subsidy amount and the premium for that enhanced plan.</w:t>
            </w:r>
          </w:p>
        </w:tc>
      </w:tr>
    </w:tbl>
    <w:p w14:paraId="5AFEA577" w14:textId="77777777" w:rsidR="00E31C0F" w:rsidRDefault="00E31C0F" w:rsidP="006A32A5">
      <w:pPr>
        <w:spacing w:before="120" w:after="120"/>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9837"/>
      </w:tblGrid>
      <w:tr w:rsidR="00E31C0F" w:rsidRPr="00270E70" w14:paraId="10BE9AE7" w14:textId="77777777" w:rsidTr="004F115C">
        <w:tc>
          <w:tcPr>
            <w:tcW w:w="5000" w:type="pct"/>
            <w:gridSpan w:val="2"/>
            <w:shd w:val="clear" w:color="auto" w:fill="D9D9D9"/>
          </w:tcPr>
          <w:p w14:paraId="761EA576" w14:textId="77777777" w:rsidR="00E31C0F" w:rsidRPr="00270E70" w:rsidRDefault="00E31C0F" w:rsidP="006A32A5">
            <w:pPr>
              <w:spacing w:before="120" w:after="120"/>
              <w:jc w:val="both"/>
              <w:rPr>
                <w:rFonts w:ascii="Verdana" w:hAnsi="Verdana" w:cs="Arial"/>
                <w:b/>
                <w:bCs/>
                <w:color w:val="333333"/>
              </w:rPr>
            </w:pPr>
            <w:bookmarkStart w:id="19" w:name="lvl3"/>
            <w:r w:rsidRPr="00270E70">
              <w:rPr>
                <w:rFonts w:ascii="Verdana" w:hAnsi="Verdana" w:cs="Arial"/>
                <w:b/>
                <w:bCs/>
                <w:color w:val="333333"/>
              </w:rPr>
              <w:t>LEVEL 3</w:t>
            </w:r>
            <w:bookmarkEnd w:id="19"/>
          </w:p>
        </w:tc>
      </w:tr>
      <w:tr w:rsidR="00E31C0F" w:rsidRPr="00270E70" w14:paraId="76E08F14" w14:textId="77777777" w:rsidTr="004F115C">
        <w:tc>
          <w:tcPr>
            <w:tcW w:w="1202" w:type="pct"/>
          </w:tcPr>
          <w:p w14:paraId="7B494D48" w14:textId="77777777" w:rsidR="00E31C0F" w:rsidRPr="00270E70" w:rsidRDefault="00E31C0F" w:rsidP="006A32A5">
            <w:pPr>
              <w:spacing w:before="120" w:after="120"/>
              <w:rPr>
                <w:rFonts w:ascii="Verdana" w:hAnsi="Verdana" w:cs="Arial"/>
                <w:b/>
                <w:bCs/>
                <w:color w:val="333333"/>
              </w:rPr>
            </w:pPr>
            <w:r w:rsidRPr="00270E70">
              <w:rPr>
                <w:rFonts w:ascii="Verdana" w:hAnsi="Verdana" w:cs="Arial"/>
                <w:b/>
                <w:bCs/>
                <w:color w:val="333333"/>
              </w:rPr>
              <w:t>Definition</w:t>
            </w:r>
          </w:p>
        </w:tc>
        <w:tc>
          <w:tcPr>
            <w:tcW w:w="3798" w:type="pct"/>
          </w:tcPr>
          <w:p w14:paraId="56C5A1E4" w14:textId="4E5266AC"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 xml:space="preserve">Institutionalized Full benefit dual </w:t>
            </w:r>
            <w:proofErr w:type="gramStart"/>
            <w:r w:rsidRPr="00270E70">
              <w:rPr>
                <w:rFonts w:ascii="Verdana" w:hAnsi="Verdana" w:cs="Arial"/>
                <w:bCs/>
                <w:color w:val="333333"/>
              </w:rPr>
              <w:t>eligible</w:t>
            </w:r>
            <w:proofErr w:type="gramEnd"/>
            <w:r w:rsidRPr="00270E70">
              <w:rPr>
                <w:rFonts w:ascii="Verdana" w:hAnsi="Verdana" w:cs="Arial"/>
                <w:bCs/>
                <w:color w:val="333333"/>
              </w:rPr>
              <w:t xml:space="preserve"> (eligible for both Medicare and Medicaid) or Beneficiaries receiving Home and Community-Based Services (HCBS)</w:t>
            </w:r>
            <w:r w:rsidR="00A16DD9">
              <w:rPr>
                <w:rFonts w:ascii="Verdana" w:hAnsi="Verdana" w:cs="Arial"/>
                <w:bCs/>
                <w:color w:val="333333"/>
              </w:rPr>
              <w:t>.</w:t>
            </w:r>
          </w:p>
        </w:tc>
      </w:tr>
      <w:tr w:rsidR="00E31C0F" w:rsidRPr="00270E70" w14:paraId="2566F93F" w14:textId="77777777" w:rsidTr="004F115C">
        <w:tc>
          <w:tcPr>
            <w:tcW w:w="1202" w:type="pct"/>
          </w:tcPr>
          <w:p w14:paraId="1FDDD7A5"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Monthly Premium subsidy from CMS</w:t>
            </w:r>
          </w:p>
        </w:tc>
        <w:tc>
          <w:tcPr>
            <w:tcW w:w="3798" w:type="pct"/>
          </w:tcPr>
          <w:p w14:paraId="402D501B" w14:textId="4A39B12C" w:rsidR="00A16DD9" w:rsidRPr="00270E70" w:rsidRDefault="00A16DD9" w:rsidP="006A32A5">
            <w:pPr>
              <w:spacing w:before="120" w:after="120"/>
              <w:rPr>
                <w:rFonts w:ascii="Verdana" w:hAnsi="Verdana" w:cs="Arial"/>
                <w:bCs/>
                <w:color w:val="333333"/>
              </w:rPr>
            </w:pPr>
            <w:r>
              <w:rPr>
                <w:rFonts w:ascii="Verdana" w:hAnsi="Verdana" w:cs="Arial"/>
                <w:bCs/>
                <w:color w:val="333333"/>
              </w:rPr>
              <w:t xml:space="preserve">100% </w:t>
            </w:r>
            <w:r w:rsidR="00E31C0F" w:rsidRPr="00270E70">
              <w:rPr>
                <w:rFonts w:ascii="Verdana" w:hAnsi="Verdana" w:cs="Arial"/>
                <w:bCs/>
                <w:color w:val="333333"/>
              </w:rPr>
              <w:t>of the basic portion of the Part D premium</w:t>
            </w:r>
            <w:r>
              <w:rPr>
                <w:rFonts w:ascii="Verdana" w:hAnsi="Verdana" w:cs="Arial"/>
                <w:bCs/>
                <w:color w:val="333333"/>
              </w:rPr>
              <w:t>.</w:t>
            </w:r>
          </w:p>
        </w:tc>
      </w:tr>
      <w:tr w:rsidR="00E31C0F" w:rsidRPr="00270E70" w14:paraId="6C23E6CD" w14:textId="77777777" w:rsidTr="004F115C">
        <w:tc>
          <w:tcPr>
            <w:tcW w:w="1202" w:type="pct"/>
          </w:tcPr>
          <w:p w14:paraId="7A74ACC4" w14:textId="77777777" w:rsidR="00E31C0F" w:rsidRPr="00270E70" w:rsidRDefault="00E31C0F" w:rsidP="006A32A5">
            <w:pPr>
              <w:spacing w:before="120" w:after="120"/>
              <w:rPr>
                <w:rFonts w:ascii="Verdana" w:hAnsi="Verdana" w:cs="Arial"/>
                <w:bCs/>
                <w:color w:val="333333"/>
              </w:rPr>
            </w:pPr>
            <w:r w:rsidRPr="00270E70">
              <w:rPr>
                <w:rFonts w:ascii="Verdana" w:hAnsi="Verdana" w:cs="Arial"/>
                <w:b/>
                <w:bCs/>
                <w:color w:val="333333"/>
                <w:sz w:val="22"/>
                <w:szCs w:val="22"/>
              </w:rPr>
              <w:t>Copay Amounts</w:t>
            </w:r>
          </w:p>
        </w:tc>
        <w:tc>
          <w:tcPr>
            <w:tcW w:w="3798" w:type="pct"/>
          </w:tcPr>
          <w:p w14:paraId="5F3AC1A6" w14:textId="224EB2E9"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$0.00</w:t>
            </w:r>
          </w:p>
        </w:tc>
      </w:tr>
      <w:tr w:rsidR="00E31C0F" w:rsidRPr="00270E70" w14:paraId="1BDD1511" w14:textId="77777777" w:rsidTr="004F115C">
        <w:tc>
          <w:tcPr>
            <w:tcW w:w="1202" w:type="pct"/>
          </w:tcPr>
          <w:p w14:paraId="385A3D16" w14:textId="77777777" w:rsidR="00E31C0F" w:rsidRPr="00270E70" w:rsidRDefault="00E31C0F" w:rsidP="006A32A5">
            <w:pPr>
              <w:spacing w:before="120" w:after="120"/>
              <w:rPr>
                <w:rFonts w:ascii="Verdana" w:hAnsi="Verdana" w:cs="Arial"/>
                <w:b/>
                <w:bCs/>
                <w:color w:val="333333"/>
                <w:sz w:val="22"/>
                <w:szCs w:val="22"/>
              </w:rPr>
            </w:pPr>
            <w:r w:rsidRPr="00270E70">
              <w:rPr>
                <w:rFonts w:ascii="Verdana" w:hAnsi="Verdana" w:cs="Arial"/>
                <w:b/>
                <w:bCs/>
                <w:color w:val="333333"/>
                <w:sz w:val="22"/>
                <w:szCs w:val="22"/>
              </w:rPr>
              <w:t>Comments</w:t>
            </w:r>
          </w:p>
        </w:tc>
        <w:tc>
          <w:tcPr>
            <w:tcW w:w="3798" w:type="pct"/>
          </w:tcPr>
          <w:p w14:paraId="33C4B193" w14:textId="7ECA02F4" w:rsidR="00A16DD9" w:rsidRPr="00270E70" w:rsidRDefault="00E31C0F" w:rsidP="006A32A5">
            <w:pPr>
              <w:spacing w:before="120" w:after="120"/>
              <w:rPr>
                <w:rFonts w:ascii="Verdana" w:hAnsi="Verdana" w:cs="Arial"/>
                <w:bCs/>
                <w:color w:val="333333"/>
              </w:rPr>
            </w:pPr>
            <w:r w:rsidRPr="00270E70">
              <w:rPr>
                <w:rFonts w:ascii="Verdana" w:hAnsi="Verdana" w:cs="Arial"/>
                <w:bCs/>
                <w:color w:val="333333"/>
              </w:rPr>
              <w:t xml:space="preserve">A member’s reduced copays apply even If the member buys up to an enhanced plan.  However, the member </w:t>
            </w:r>
            <w:r w:rsidR="008B7360" w:rsidRPr="00270E70">
              <w:rPr>
                <w:rFonts w:ascii="Verdana" w:hAnsi="Verdana" w:cs="Arial"/>
                <w:bCs/>
                <w:color w:val="333333"/>
              </w:rPr>
              <w:t>must</w:t>
            </w:r>
            <w:r w:rsidRPr="00270E70">
              <w:rPr>
                <w:rFonts w:ascii="Verdana" w:hAnsi="Verdana" w:cs="Arial"/>
                <w:bCs/>
                <w:color w:val="333333"/>
              </w:rPr>
              <w:t xml:space="preserve"> pay any difference in premium between his/her subsidy amount and the premium for that enhanced plan.</w:t>
            </w:r>
          </w:p>
        </w:tc>
      </w:tr>
    </w:tbl>
    <w:p w14:paraId="0B7DFDA7" w14:textId="77777777" w:rsidR="00E31C0F" w:rsidRDefault="00E31C0F" w:rsidP="006A32A5">
      <w:pPr>
        <w:spacing w:before="120" w:after="120"/>
        <w:rPr>
          <w:rFonts w:ascii="Verdana" w:hAnsi="Verdana" w:cs="Arial"/>
          <w:bCs/>
          <w:color w:val="333333"/>
        </w:rPr>
      </w:pPr>
    </w:p>
    <w:p w14:paraId="10264A9D" w14:textId="431A3387" w:rsidR="00634FA4" w:rsidRPr="00634FA4" w:rsidRDefault="00634FA4" w:rsidP="006A32A5">
      <w:pPr>
        <w:spacing w:before="120" w:after="120"/>
        <w:rPr>
          <w:rFonts w:ascii="Verdana" w:hAnsi="Verdana" w:cs="Arial"/>
          <w:bCs/>
          <w:color w:val="333333"/>
        </w:rPr>
      </w:pPr>
      <w:r w:rsidRPr="00634FA4">
        <w:rPr>
          <w:rFonts w:ascii="Verdana" w:hAnsi="Verdana" w:cs="Arial"/>
          <w:b/>
          <w:bCs/>
          <w:color w:val="333333"/>
        </w:rPr>
        <w:t>Note</w:t>
      </w:r>
      <w:proofErr w:type="gramStart"/>
      <w:r w:rsidRPr="00634FA4">
        <w:rPr>
          <w:rFonts w:ascii="Verdana" w:hAnsi="Verdana" w:cs="Arial"/>
          <w:b/>
          <w:bCs/>
          <w:color w:val="333333"/>
        </w:rPr>
        <w:t>:</w:t>
      </w:r>
      <w:r w:rsidR="00147247">
        <w:rPr>
          <w:rFonts w:ascii="Verdana" w:hAnsi="Verdana" w:cs="Arial"/>
          <w:b/>
          <w:bCs/>
          <w:color w:val="333333"/>
        </w:rPr>
        <w:t xml:space="preserve"> </w:t>
      </w:r>
      <w:r>
        <w:rPr>
          <w:rFonts w:ascii="Verdana" w:hAnsi="Verdana" w:cs="Arial"/>
          <w:bCs/>
          <w:color w:val="333333"/>
        </w:rPr>
        <w:t xml:space="preserve"> </w:t>
      </w:r>
      <w:r w:rsidRPr="00634FA4">
        <w:rPr>
          <w:rFonts w:ascii="Verdana" w:hAnsi="Verdana" w:cs="Arial"/>
          <w:bCs/>
          <w:color w:val="333333"/>
        </w:rPr>
        <w:t>The</w:t>
      </w:r>
      <w:proofErr w:type="gramEnd"/>
      <w:r w:rsidRPr="00634FA4">
        <w:rPr>
          <w:rFonts w:ascii="Verdana" w:hAnsi="Verdana" w:cs="Arial"/>
          <w:bCs/>
          <w:color w:val="333333"/>
        </w:rPr>
        <w:t xml:space="preserve"> Center for Medicare and Medicaid Services (CMS) </w:t>
      </w:r>
      <w:r w:rsidR="001D7635">
        <w:rPr>
          <w:rFonts w:ascii="Verdana" w:hAnsi="Verdana" w:cs="Arial"/>
          <w:bCs/>
          <w:color w:val="333333"/>
        </w:rPr>
        <w:t xml:space="preserve">can </w:t>
      </w:r>
      <w:r w:rsidRPr="00634FA4">
        <w:rPr>
          <w:rFonts w:ascii="Verdana" w:hAnsi="Verdana" w:cs="Arial"/>
          <w:bCs/>
          <w:color w:val="333333"/>
        </w:rPr>
        <w:t>automatically enroll Low Income Cost Sharing Subsidy (LICS) eligible beneficiaries who have not elected a Part D plan on their own into Prescription Drug Plans (PDPs).</w:t>
      </w:r>
    </w:p>
    <w:p w14:paraId="50832F8B" w14:textId="77777777" w:rsidR="00DC1E59" w:rsidRPr="005D7976" w:rsidRDefault="00DC1E59" w:rsidP="006A32A5">
      <w:pPr>
        <w:spacing w:before="120" w:after="120"/>
        <w:jc w:val="right"/>
        <w:rPr>
          <w:rFonts w:ascii="Verdana" w:hAnsi="Verdana"/>
        </w:rPr>
      </w:pPr>
      <w:hyperlink w:anchor="_top" w:history="1">
        <w:r w:rsidRPr="005D797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C1E59" w:rsidRPr="005D7976" w14:paraId="168F60EB" w14:textId="77777777" w:rsidTr="00CC1995">
        <w:tc>
          <w:tcPr>
            <w:tcW w:w="5000" w:type="pct"/>
            <w:shd w:val="clear" w:color="auto" w:fill="C0C0C0"/>
          </w:tcPr>
          <w:p w14:paraId="53C3B8A4" w14:textId="77777777" w:rsidR="00DC1E59" w:rsidRPr="005D7976" w:rsidRDefault="00DC1E59" w:rsidP="006A32A5">
            <w:pPr>
              <w:pStyle w:val="Heading2"/>
              <w:spacing w:before="120" w:after="120"/>
              <w:rPr>
                <w:rFonts w:ascii="Verdana" w:hAnsi="Verdana"/>
                <w:i w:val="0"/>
                <w:iCs w:val="0"/>
              </w:rPr>
            </w:pPr>
            <w:bookmarkStart w:id="20" w:name="_Toc9940889"/>
            <w:bookmarkStart w:id="21" w:name="_Toc175130386"/>
            <w:r w:rsidRPr="005D7976">
              <w:rPr>
                <w:rFonts w:ascii="Verdana" w:hAnsi="Verdana"/>
                <w:i w:val="0"/>
                <w:iCs w:val="0"/>
              </w:rPr>
              <w:t>Related Documents</w:t>
            </w:r>
            <w:bookmarkEnd w:id="20"/>
            <w:bookmarkEnd w:id="21"/>
          </w:p>
        </w:tc>
      </w:tr>
    </w:tbl>
    <w:p w14:paraId="1585DC15" w14:textId="77777777" w:rsidR="00DC1E59" w:rsidRDefault="00DC1E59" w:rsidP="006A32A5">
      <w:pPr>
        <w:spacing w:before="120" w:after="120"/>
        <w:rPr>
          <w:rFonts w:ascii="Verdana" w:hAnsi="Verdana"/>
          <w:b/>
        </w:rPr>
      </w:pPr>
      <w:r>
        <w:rPr>
          <w:rFonts w:ascii="Verdana" w:hAnsi="Verdana"/>
          <w:b/>
        </w:rPr>
        <w:t xml:space="preserve">Parent SOP: </w:t>
      </w:r>
      <w:hyperlink r:id="rId15" w:history="1">
        <w:r>
          <w:rPr>
            <w:rStyle w:val="Hyperlink"/>
            <w:rFonts w:ascii="Verdana" w:hAnsi="Verdana"/>
          </w:rPr>
          <w:t>CALL-0070</w:t>
        </w:r>
      </w:hyperlink>
    </w:p>
    <w:p w14:paraId="4B58DAC2" w14:textId="50D4DE34" w:rsidR="00DC1E59" w:rsidRDefault="00DC1E59" w:rsidP="006A32A5">
      <w:pPr>
        <w:spacing w:before="120" w:after="120"/>
        <w:rPr>
          <w:rStyle w:val="Hyperlink"/>
          <w:rFonts w:ascii="Verdana" w:hAnsi="Verdana"/>
        </w:rPr>
      </w:pPr>
      <w:r>
        <w:rPr>
          <w:rFonts w:ascii="Verdana" w:hAnsi="Verdana"/>
          <w:b/>
        </w:rPr>
        <w:t xml:space="preserve">Abbreviations/Definitions: </w:t>
      </w:r>
      <w:hyperlink r:id="rId16" w:history="1">
        <w:r w:rsidR="007C4607">
          <w:rPr>
            <w:rStyle w:val="Hyperlink"/>
            <w:rFonts w:ascii="Verdana" w:hAnsi="Verdana"/>
          </w:rPr>
          <w:t>Customer Care Abbreviations, Definitions and Terms</w:t>
        </w:r>
      </w:hyperlink>
    </w:p>
    <w:p w14:paraId="2ACD291B" w14:textId="77777777" w:rsidR="00DC1E59" w:rsidRDefault="00DC1E59" w:rsidP="006A32A5">
      <w:pPr>
        <w:spacing w:before="120" w:after="120"/>
        <w:rPr>
          <w:rStyle w:val="Hyperlink"/>
          <w:rFonts w:ascii="Verdana" w:hAnsi="Verdana"/>
        </w:rPr>
      </w:pPr>
    </w:p>
    <w:p w14:paraId="13628425" w14:textId="4FC90108" w:rsidR="00313195" w:rsidRDefault="00313195" w:rsidP="006A32A5">
      <w:pPr>
        <w:spacing w:before="120" w:after="120"/>
        <w:rPr>
          <w:rFonts w:ascii="Verdana" w:hAnsi="Verdana" w:cs="Arial"/>
          <w:bCs/>
          <w:color w:val="333333"/>
        </w:rPr>
      </w:pPr>
      <w:hyperlink r:id="rId17" w:history="1">
        <w:r w:rsidRPr="00F55CBC">
          <w:rPr>
            <w:rStyle w:val="Hyperlink"/>
            <w:rFonts w:ascii="Verdana" w:hAnsi="Verdana" w:cs="Arial"/>
            <w:bCs/>
          </w:rPr>
          <w:t>Aetna Med D - Low Income Subsidy (LIS/LICS) FAQs</w:t>
        </w:r>
      </w:hyperlink>
    </w:p>
    <w:p w14:paraId="1B4DB7BB" w14:textId="77777777" w:rsidR="007A403E" w:rsidRPr="0058134F" w:rsidRDefault="007A403E" w:rsidP="006A32A5">
      <w:pPr>
        <w:spacing w:before="120" w:after="120"/>
        <w:jc w:val="right"/>
        <w:rPr>
          <w:rFonts w:ascii="Verdana" w:hAnsi="Verdana"/>
        </w:rPr>
      </w:pPr>
      <w:hyperlink w:anchor="_top" w:history="1">
        <w:r w:rsidRPr="0058134F">
          <w:rPr>
            <w:rStyle w:val="Hyperlink"/>
            <w:rFonts w:ascii="Verdana" w:hAnsi="Verdana"/>
          </w:rPr>
          <w:t>Top of the Document</w:t>
        </w:r>
      </w:hyperlink>
    </w:p>
    <w:p w14:paraId="0F8E3862" w14:textId="77777777" w:rsidR="00710E68" w:rsidRPr="0058134F" w:rsidRDefault="00710E68" w:rsidP="006A32A5">
      <w:pPr>
        <w:spacing w:before="120" w:after="120"/>
        <w:jc w:val="center"/>
        <w:rPr>
          <w:rFonts w:ascii="Verdana" w:hAnsi="Verdana"/>
          <w:sz w:val="16"/>
          <w:szCs w:val="16"/>
        </w:rPr>
      </w:pPr>
      <w:r w:rsidRPr="0058134F">
        <w:rPr>
          <w:rFonts w:ascii="Verdana" w:hAnsi="Verdana"/>
          <w:sz w:val="16"/>
          <w:szCs w:val="16"/>
        </w:rPr>
        <w:t xml:space="preserve">Not To Be Reproduced </w:t>
      </w:r>
      <w:proofErr w:type="gramStart"/>
      <w:r w:rsidRPr="0058134F">
        <w:rPr>
          <w:rFonts w:ascii="Verdana" w:hAnsi="Verdana"/>
          <w:sz w:val="16"/>
          <w:szCs w:val="16"/>
        </w:rPr>
        <w:t>Or</w:t>
      </w:r>
      <w:proofErr w:type="gramEnd"/>
      <w:r w:rsidRPr="0058134F">
        <w:rPr>
          <w:rFonts w:ascii="Verdana" w:hAnsi="Verdana"/>
          <w:sz w:val="16"/>
          <w:szCs w:val="16"/>
        </w:rPr>
        <w:t xml:space="preserve"> Disclosed to Others Without Prior Written Approval</w:t>
      </w:r>
    </w:p>
    <w:p w14:paraId="5E15CAF6" w14:textId="77777777" w:rsidR="00710E68" w:rsidRPr="0058134F" w:rsidRDefault="00710E68" w:rsidP="006A32A5">
      <w:pPr>
        <w:spacing w:before="120" w:after="120"/>
        <w:jc w:val="center"/>
        <w:rPr>
          <w:rFonts w:ascii="Verdana" w:hAnsi="Verdana"/>
          <w:b/>
          <w:color w:val="000000"/>
          <w:sz w:val="16"/>
          <w:szCs w:val="16"/>
        </w:rPr>
      </w:pPr>
      <w:r w:rsidRPr="0058134F">
        <w:rPr>
          <w:rFonts w:ascii="Verdana" w:hAnsi="Verdana"/>
          <w:b/>
          <w:color w:val="000000"/>
          <w:sz w:val="16"/>
          <w:szCs w:val="16"/>
        </w:rPr>
        <w:t>ELECTRONIC DATA = OFFICIAL VERSION – PAPER COPY – INFORMATIONAL ONLY</w:t>
      </w:r>
    </w:p>
    <w:p w14:paraId="05182486" w14:textId="64488D8D" w:rsidR="005A64DA" w:rsidRPr="0058134F" w:rsidRDefault="005A64DA" w:rsidP="006A32A5">
      <w:pPr>
        <w:spacing w:before="120" w:after="120"/>
        <w:jc w:val="center"/>
        <w:rPr>
          <w:rFonts w:ascii="Verdana" w:hAnsi="Verdana"/>
          <w:sz w:val="16"/>
          <w:szCs w:val="16"/>
        </w:rPr>
      </w:pPr>
    </w:p>
    <w:sectPr w:rsidR="005A64DA" w:rsidRPr="0058134F" w:rsidSect="00EB1F94">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20C99" w14:textId="77777777" w:rsidR="00C9560B" w:rsidRDefault="00C9560B">
      <w:r>
        <w:separator/>
      </w:r>
    </w:p>
  </w:endnote>
  <w:endnote w:type="continuationSeparator" w:id="0">
    <w:p w14:paraId="550DA133" w14:textId="77777777" w:rsidR="00C9560B" w:rsidRDefault="00C9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72147" w14:textId="77777777" w:rsidR="008A3888" w:rsidRPr="00C32D18" w:rsidRDefault="008A388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541A81">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0AC" w14:textId="77777777" w:rsidR="008A3888" w:rsidRPr="00CD2229" w:rsidRDefault="008A388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D0F71" w14:textId="77777777" w:rsidR="00C9560B" w:rsidRDefault="00C9560B">
      <w:r>
        <w:separator/>
      </w:r>
    </w:p>
  </w:footnote>
  <w:footnote w:type="continuationSeparator" w:id="0">
    <w:p w14:paraId="33FF4F66" w14:textId="77777777" w:rsidR="00C9560B" w:rsidRDefault="00C9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10D5A" w14:textId="77777777" w:rsidR="008A3888" w:rsidRDefault="008A388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con - Important" style="width:19pt;height:16.5pt;visibility:visible" o:bullet="t">
        <v:imagedata r:id="rId1" o:title="Icon - Important"/>
      </v:shape>
    </w:pict>
  </w:numPicBullet>
  <w:numPicBullet w:numPicBulletId="1">
    <w:pict>
      <v:shape id="_x0000_i1034" type="#_x0000_t75" alt="image2s" style="width:24pt;height:24pt;visibility:visible" o:bullet="t">
        <v:imagedata r:id="rId2" o:title="image2s"/>
      </v:shape>
    </w:pict>
  </w:numPicBullet>
  <w:numPicBullet w:numPicBulletId="2">
    <w:pict>
      <v:shape id="_x0000_i1035" type="#_x0000_t75" style="width:19pt;height:17.5pt;visibility:visible" o:bullet="t">
        <v:imagedata r:id="rId3" o:title=""/>
      </v:shape>
    </w:pict>
  </w:numPicBullet>
  <w:abstractNum w:abstractNumId="0" w15:restartNumberingAfterBreak="0">
    <w:nsid w:val="03F2001E"/>
    <w:multiLevelType w:val="hybridMultilevel"/>
    <w:tmpl w:val="1C14A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29DA1D70">
      <w:start w:val="4"/>
      <w:numFmt w:val="bullet"/>
      <w:lvlText w:val="-"/>
      <w:lvlJc w:val="left"/>
      <w:pPr>
        <w:ind w:left="3600" w:hanging="360"/>
      </w:pPr>
      <w:rPr>
        <w:rFonts w:ascii="Verdana" w:eastAsia="Times New Roman" w:hAnsi="Verdana"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37CE"/>
    <w:multiLevelType w:val="hybridMultilevel"/>
    <w:tmpl w:val="4A7AA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A672D"/>
    <w:multiLevelType w:val="hybridMultilevel"/>
    <w:tmpl w:val="CAD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D2A40B6"/>
    <w:multiLevelType w:val="hybridMultilevel"/>
    <w:tmpl w:val="6950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3D14"/>
    <w:multiLevelType w:val="hybridMultilevel"/>
    <w:tmpl w:val="B3EE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EA129C"/>
    <w:multiLevelType w:val="hybridMultilevel"/>
    <w:tmpl w:val="49D856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19A72C3"/>
    <w:multiLevelType w:val="hybridMultilevel"/>
    <w:tmpl w:val="F770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AE2002"/>
    <w:multiLevelType w:val="hybridMultilevel"/>
    <w:tmpl w:val="43D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813E5"/>
    <w:multiLevelType w:val="hybridMultilevel"/>
    <w:tmpl w:val="DE5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42ACC"/>
    <w:multiLevelType w:val="hybridMultilevel"/>
    <w:tmpl w:val="8428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960" w:hanging="72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3EAE"/>
    <w:multiLevelType w:val="hybridMultilevel"/>
    <w:tmpl w:val="A20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70C32"/>
    <w:multiLevelType w:val="hybridMultilevel"/>
    <w:tmpl w:val="FAC2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A406DF"/>
    <w:multiLevelType w:val="hybridMultilevel"/>
    <w:tmpl w:val="8F040E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1D7724D1"/>
    <w:multiLevelType w:val="hybridMultilevel"/>
    <w:tmpl w:val="2232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E59C1"/>
    <w:multiLevelType w:val="hybridMultilevel"/>
    <w:tmpl w:val="28BE5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6E77E9"/>
    <w:multiLevelType w:val="hybridMultilevel"/>
    <w:tmpl w:val="FC0E6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DD66EC"/>
    <w:multiLevelType w:val="hybridMultilevel"/>
    <w:tmpl w:val="5E70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B74EF"/>
    <w:multiLevelType w:val="hybridMultilevel"/>
    <w:tmpl w:val="ACE41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A4D16"/>
    <w:multiLevelType w:val="hybridMultilevel"/>
    <w:tmpl w:val="F0D6D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F7806"/>
    <w:multiLevelType w:val="hybridMultilevel"/>
    <w:tmpl w:val="B7364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DE4F49"/>
    <w:multiLevelType w:val="hybridMultilevel"/>
    <w:tmpl w:val="E04C6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174DE6"/>
    <w:multiLevelType w:val="hybridMultilevel"/>
    <w:tmpl w:val="7DF6A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922F93"/>
    <w:multiLevelType w:val="hybridMultilevel"/>
    <w:tmpl w:val="8E76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A51B07"/>
    <w:multiLevelType w:val="hybridMultilevel"/>
    <w:tmpl w:val="D7A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A371C"/>
    <w:multiLevelType w:val="hybridMultilevel"/>
    <w:tmpl w:val="C1BA8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773D8"/>
    <w:multiLevelType w:val="hybridMultilevel"/>
    <w:tmpl w:val="E2F6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26A3C"/>
    <w:multiLevelType w:val="hybridMultilevel"/>
    <w:tmpl w:val="949A5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73F04C6"/>
    <w:multiLevelType w:val="hybridMultilevel"/>
    <w:tmpl w:val="A6B03F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74F5F9A"/>
    <w:multiLevelType w:val="hybridMultilevel"/>
    <w:tmpl w:val="2576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440841"/>
    <w:multiLevelType w:val="hybridMultilevel"/>
    <w:tmpl w:val="911C5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B871BA"/>
    <w:multiLevelType w:val="hybridMultilevel"/>
    <w:tmpl w:val="7A8E1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9D4633"/>
    <w:multiLevelType w:val="hybridMultilevel"/>
    <w:tmpl w:val="AEDCB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0161261"/>
    <w:multiLevelType w:val="hybridMultilevel"/>
    <w:tmpl w:val="D4AC62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3">
      <w:start w:val="1"/>
      <w:numFmt w:val="bullet"/>
      <w:lvlText w:val="o"/>
      <w:lvlJc w:val="left"/>
      <w:pPr>
        <w:ind w:left="6480" w:hanging="360"/>
      </w:pPr>
      <w:rPr>
        <w:rFonts w:ascii="Courier New" w:hAnsi="Courier New" w:cs="Courier New"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6A0020D"/>
    <w:multiLevelType w:val="hybridMultilevel"/>
    <w:tmpl w:val="9A04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9B682A"/>
    <w:multiLevelType w:val="hybridMultilevel"/>
    <w:tmpl w:val="DFD8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8469C"/>
    <w:multiLevelType w:val="hybridMultilevel"/>
    <w:tmpl w:val="307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F50DC"/>
    <w:multiLevelType w:val="hybridMultilevel"/>
    <w:tmpl w:val="94FC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DA15E5"/>
    <w:multiLevelType w:val="hybridMultilevel"/>
    <w:tmpl w:val="87C4D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66708"/>
    <w:multiLevelType w:val="hybridMultilevel"/>
    <w:tmpl w:val="FBC8F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0042DF"/>
    <w:multiLevelType w:val="hybridMultilevel"/>
    <w:tmpl w:val="5AB4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36BCE"/>
    <w:multiLevelType w:val="hybridMultilevel"/>
    <w:tmpl w:val="18FE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45ABF"/>
    <w:multiLevelType w:val="hybridMultilevel"/>
    <w:tmpl w:val="139A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FB2C11"/>
    <w:multiLevelType w:val="hybridMultilevel"/>
    <w:tmpl w:val="687AA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797B08"/>
    <w:multiLevelType w:val="hybridMultilevel"/>
    <w:tmpl w:val="8E8CF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D1384"/>
    <w:multiLevelType w:val="hybridMultilevel"/>
    <w:tmpl w:val="E468F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EFC52F8"/>
    <w:multiLevelType w:val="hybridMultilevel"/>
    <w:tmpl w:val="E71E1EB6"/>
    <w:lvl w:ilvl="0" w:tplc="6832B50A">
      <w:start w:val="2015"/>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507775"/>
    <w:multiLevelType w:val="hybridMultilevel"/>
    <w:tmpl w:val="3EBC3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511003">
    <w:abstractNumId w:val="3"/>
  </w:num>
  <w:num w:numId="2" w16cid:durableId="1240601787">
    <w:abstractNumId w:val="14"/>
  </w:num>
  <w:num w:numId="3" w16cid:durableId="831218085">
    <w:abstractNumId w:val="37"/>
  </w:num>
  <w:num w:numId="4" w16cid:durableId="417751528">
    <w:abstractNumId w:val="38"/>
  </w:num>
  <w:num w:numId="5" w16cid:durableId="44109193">
    <w:abstractNumId w:val="15"/>
  </w:num>
  <w:num w:numId="6" w16cid:durableId="804737247">
    <w:abstractNumId w:val="21"/>
  </w:num>
  <w:num w:numId="7" w16cid:durableId="272372040">
    <w:abstractNumId w:val="8"/>
  </w:num>
  <w:num w:numId="8" w16cid:durableId="1911109158">
    <w:abstractNumId w:val="40"/>
  </w:num>
  <w:num w:numId="9" w16cid:durableId="1553039096">
    <w:abstractNumId w:val="1"/>
  </w:num>
  <w:num w:numId="10" w16cid:durableId="1124152651">
    <w:abstractNumId w:val="22"/>
  </w:num>
  <w:num w:numId="11" w16cid:durableId="535780387">
    <w:abstractNumId w:val="34"/>
  </w:num>
  <w:num w:numId="12" w16cid:durableId="467629168">
    <w:abstractNumId w:val="20"/>
  </w:num>
  <w:num w:numId="13" w16cid:durableId="1221408181">
    <w:abstractNumId w:val="12"/>
  </w:num>
  <w:num w:numId="14" w16cid:durableId="255869463">
    <w:abstractNumId w:val="7"/>
  </w:num>
  <w:num w:numId="15" w16cid:durableId="297956636">
    <w:abstractNumId w:val="42"/>
  </w:num>
  <w:num w:numId="16" w16cid:durableId="2036230972">
    <w:abstractNumId w:val="47"/>
  </w:num>
  <w:num w:numId="17" w16cid:durableId="1103452761">
    <w:abstractNumId w:val="31"/>
  </w:num>
  <w:num w:numId="18" w16cid:durableId="1629504796">
    <w:abstractNumId w:val="6"/>
  </w:num>
  <w:num w:numId="19" w16cid:durableId="534847866">
    <w:abstractNumId w:val="16"/>
  </w:num>
  <w:num w:numId="20" w16cid:durableId="1385328947">
    <w:abstractNumId w:val="2"/>
  </w:num>
  <w:num w:numId="21" w16cid:durableId="679746278">
    <w:abstractNumId w:val="24"/>
  </w:num>
  <w:num w:numId="22" w16cid:durableId="1877229054">
    <w:abstractNumId w:val="30"/>
  </w:num>
  <w:num w:numId="23" w16cid:durableId="1729762350">
    <w:abstractNumId w:val="29"/>
  </w:num>
  <w:num w:numId="24" w16cid:durableId="1978535654">
    <w:abstractNumId w:val="11"/>
  </w:num>
  <w:num w:numId="25" w16cid:durableId="996613412">
    <w:abstractNumId w:val="32"/>
  </w:num>
  <w:num w:numId="26" w16cid:durableId="563492332">
    <w:abstractNumId w:val="17"/>
  </w:num>
  <w:num w:numId="27" w16cid:durableId="185676442">
    <w:abstractNumId w:val="10"/>
  </w:num>
  <w:num w:numId="28" w16cid:durableId="1263758355">
    <w:abstractNumId w:val="19"/>
  </w:num>
  <w:num w:numId="29" w16cid:durableId="2073035961">
    <w:abstractNumId w:val="9"/>
  </w:num>
  <w:num w:numId="30" w16cid:durableId="19208740">
    <w:abstractNumId w:val="33"/>
  </w:num>
  <w:num w:numId="31" w16cid:durableId="1786003629">
    <w:abstractNumId w:val="27"/>
  </w:num>
  <w:num w:numId="32" w16cid:durableId="1541817265">
    <w:abstractNumId w:val="41"/>
  </w:num>
  <w:num w:numId="33" w16cid:durableId="758066429">
    <w:abstractNumId w:val="0"/>
  </w:num>
  <w:num w:numId="34" w16cid:durableId="1674406905">
    <w:abstractNumId w:val="35"/>
  </w:num>
  <w:num w:numId="35" w16cid:durableId="1770854101">
    <w:abstractNumId w:val="46"/>
  </w:num>
  <w:num w:numId="36" w16cid:durableId="1578512632">
    <w:abstractNumId w:val="26"/>
  </w:num>
  <w:num w:numId="37" w16cid:durableId="1464426006">
    <w:abstractNumId w:val="39"/>
  </w:num>
  <w:num w:numId="38" w16cid:durableId="1304236388">
    <w:abstractNumId w:val="36"/>
  </w:num>
  <w:num w:numId="39" w16cid:durableId="291641804">
    <w:abstractNumId w:val="23"/>
  </w:num>
  <w:num w:numId="40" w16cid:durableId="1037118594">
    <w:abstractNumId w:val="13"/>
  </w:num>
  <w:num w:numId="41" w16cid:durableId="1060788144">
    <w:abstractNumId w:val="18"/>
  </w:num>
  <w:num w:numId="42" w16cid:durableId="1161233104">
    <w:abstractNumId w:val="4"/>
  </w:num>
  <w:num w:numId="43" w16cid:durableId="1596591488">
    <w:abstractNumId w:val="43"/>
  </w:num>
  <w:num w:numId="44" w16cid:durableId="2132674193">
    <w:abstractNumId w:val="44"/>
  </w:num>
  <w:num w:numId="45" w16cid:durableId="633801722">
    <w:abstractNumId w:val="25"/>
  </w:num>
  <w:num w:numId="46" w16cid:durableId="564486237">
    <w:abstractNumId w:val="28"/>
  </w:num>
  <w:num w:numId="47" w16cid:durableId="1080982363">
    <w:abstractNumId w:val="45"/>
  </w:num>
  <w:num w:numId="48" w16cid:durableId="889148473">
    <w:abstractNumId w:val="5"/>
  </w:num>
  <w:num w:numId="49" w16cid:durableId="1701082620">
    <w:abstractNumId w:val="1"/>
  </w:num>
  <w:num w:numId="50" w16cid:durableId="728768779">
    <w:abstractNumId w:val="34"/>
  </w:num>
  <w:num w:numId="51" w16cid:durableId="134296299">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6D3F"/>
    <w:rsid w:val="00015A2E"/>
    <w:rsid w:val="00021563"/>
    <w:rsid w:val="00022122"/>
    <w:rsid w:val="00024079"/>
    <w:rsid w:val="000329F0"/>
    <w:rsid w:val="000351F6"/>
    <w:rsid w:val="00035BED"/>
    <w:rsid w:val="0003602F"/>
    <w:rsid w:val="0004616B"/>
    <w:rsid w:val="00061AD2"/>
    <w:rsid w:val="00070659"/>
    <w:rsid w:val="000706E2"/>
    <w:rsid w:val="0007662D"/>
    <w:rsid w:val="000863D4"/>
    <w:rsid w:val="0008665F"/>
    <w:rsid w:val="0008779D"/>
    <w:rsid w:val="00087D9A"/>
    <w:rsid w:val="00095AB5"/>
    <w:rsid w:val="000A2B3E"/>
    <w:rsid w:val="000A5EEA"/>
    <w:rsid w:val="000A6B88"/>
    <w:rsid w:val="000A6B99"/>
    <w:rsid w:val="000B213C"/>
    <w:rsid w:val="000B2A44"/>
    <w:rsid w:val="000B39F2"/>
    <w:rsid w:val="000B3C4C"/>
    <w:rsid w:val="000B433A"/>
    <w:rsid w:val="000B656F"/>
    <w:rsid w:val="000B72DF"/>
    <w:rsid w:val="000D1870"/>
    <w:rsid w:val="000D4BA2"/>
    <w:rsid w:val="000D6714"/>
    <w:rsid w:val="000D76C5"/>
    <w:rsid w:val="000E0792"/>
    <w:rsid w:val="000E21A4"/>
    <w:rsid w:val="000E2E28"/>
    <w:rsid w:val="000E6EAE"/>
    <w:rsid w:val="000E732C"/>
    <w:rsid w:val="000F0D1B"/>
    <w:rsid w:val="000F18AA"/>
    <w:rsid w:val="000F2C04"/>
    <w:rsid w:val="000F4FBE"/>
    <w:rsid w:val="000F54AF"/>
    <w:rsid w:val="00100D18"/>
    <w:rsid w:val="00104CDE"/>
    <w:rsid w:val="00111EFF"/>
    <w:rsid w:val="00115944"/>
    <w:rsid w:val="0012373E"/>
    <w:rsid w:val="00127926"/>
    <w:rsid w:val="00135DC9"/>
    <w:rsid w:val="001360A5"/>
    <w:rsid w:val="00140126"/>
    <w:rsid w:val="00147247"/>
    <w:rsid w:val="001514D7"/>
    <w:rsid w:val="001534CA"/>
    <w:rsid w:val="00153A0E"/>
    <w:rsid w:val="0016273A"/>
    <w:rsid w:val="00181B1A"/>
    <w:rsid w:val="00185FBF"/>
    <w:rsid w:val="00190CD5"/>
    <w:rsid w:val="00191249"/>
    <w:rsid w:val="0019130B"/>
    <w:rsid w:val="0019343D"/>
    <w:rsid w:val="00197964"/>
    <w:rsid w:val="001A3D1D"/>
    <w:rsid w:val="001A5256"/>
    <w:rsid w:val="001B3879"/>
    <w:rsid w:val="001B5272"/>
    <w:rsid w:val="001B708B"/>
    <w:rsid w:val="001C21AC"/>
    <w:rsid w:val="001C66C8"/>
    <w:rsid w:val="001D428A"/>
    <w:rsid w:val="001D6824"/>
    <w:rsid w:val="001D7635"/>
    <w:rsid w:val="001E2562"/>
    <w:rsid w:val="001E623A"/>
    <w:rsid w:val="001E7746"/>
    <w:rsid w:val="001F0774"/>
    <w:rsid w:val="001F1218"/>
    <w:rsid w:val="001F350E"/>
    <w:rsid w:val="001F5947"/>
    <w:rsid w:val="001F6103"/>
    <w:rsid w:val="0020070C"/>
    <w:rsid w:val="002016B4"/>
    <w:rsid w:val="002055CF"/>
    <w:rsid w:val="00206BBD"/>
    <w:rsid w:val="002071F5"/>
    <w:rsid w:val="00210D5E"/>
    <w:rsid w:val="00212335"/>
    <w:rsid w:val="00215CCD"/>
    <w:rsid w:val="002248D2"/>
    <w:rsid w:val="00230E5A"/>
    <w:rsid w:val="00243EBB"/>
    <w:rsid w:val="00255C6B"/>
    <w:rsid w:val="00257300"/>
    <w:rsid w:val="00265D86"/>
    <w:rsid w:val="00270E70"/>
    <w:rsid w:val="00274C16"/>
    <w:rsid w:val="002750DC"/>
    <w:rsid w:val="00291320"/>
    <w:rsid w:val="00291CE8"/>
    <w:rsid w:val="002922FF"/>
    <w:rsid w:val="00296127"/>
    <w:rsid w:val="00296765"/>
    <w:rsid w:val="002A3D40"/>
    <w:rsid w:val="002B593E"/>
    <w:rsid w:val="002C2718"/>
    <w:rsid w:val="002D0E97"/>
    <w:rsid w:val="002D4EE4"/>
    <w:rsid w:val="002D54B8"/>
    <w:rsid w:val="002D5A7E"/>
    <w:rsid w:val="002E4878"/>
    <w:rsid w:val="002E6AAA"/>
    <w:rsid w:val="002E6E58"/>
    <w:rsid w:val="002F1F92"/>
    <w:rsid w:val="002F6F9E"/>
    <w:rsid w:val="002F79E7"/>
    <w:rsid w:val="00304AB0"/>
    <w:rsid w:val="00313195"/>
    <w:rsid w:val="00322CB4"/>
    <w:rsid w:val="00324BB5"/>
    <w:rsid w:val="00330C5D"/>
    <w:rsid w:val="0033143E"/>
    <w:rsid w:val="00337762"/>
    <w:rsid w:val="00337E77"/>
    <w:rsid w:val="0034318F"/>
    <w:rsid w:val="003442F0"/>
    <w:rsid w:val="0034552B"/>
    <w:rsid w:val="0035527C"/>
    <w:rsid w:val="00360A96"/>
    <w:rsid w:val="00365BC2"/>
    <w:rsid w:val="00366FA8"/>
    <w:rsid w:val="00367980"/>
    <w:rsid w:val="003725A1"/>
    <w:rsid w:val="00373783"/>
    <w:rsid w:val="00373B40"/>
    <w:rsid w:val="003868A2"/>
    <w:rsid w:val="00390EE8"/>
    <w:rsid w:val="003928EE"/>
    <w:rsid w:val="00392A5B"/>
    <w:rsid w:val="0039638C"/>
    <w:rsid w:val="003A6D70"/>
    <w:rsid w:val="003A7CFA"/>
    <w:rsid w:val="003B1F86"/>
    <w:rsid w:val="003B514E"/>
    <w:rsid w:val="003C2EFB"/>
    <w:rsid w:val="003C4627"/>
    <w:rsid w:val="003C60E8"/>
    <w:rsid w:val="003D1BB2"/>
    <w:rsid w:val="003D1C7C"/>
    <w:rsid w:val="003D7B68"/>
    <w:rsid w:val="003E02D6"/>
    <w:rsid w:val="003E22D1"/>
    <w:rsid w:val="003E4421"/>
    <w:rsid w:val="003E6C1A"/>
    <w:rsid w:val="003F405C"/>
    <w:rsid w:val="003F4877"/>
    <w:rsid w:val="003F778E"/>
    <w:rsid w:val="0040640A"/>
    <w:rsid w:val="00406DB5"/>
    <w:rsid w:val="00414BA8"/>
    <w:rsid w:val="0042336D"/>
    <w:rsid w:val="00423C39"/>
    <w:rsid w:val="0042480B"/>
    <w:rsid w:val="00430B95"/>
    <w:rsid w:val="004347E1"/>
    <w:rsid w:val="00437762"/>
    <w:rsid w:val="004421A4"/>
    <w:rsid w:val="00442A57"/>
    <w:rsid w:val="004438A4"/>
    <w:rsid w:val="0044421D"/>
    <w:rsid w:val="004500B1"/>
    <w:rsid w:val="00452421"/>
    <w:rsid w:val="0045483E"/>
    <w:rsid w:val="00457AA4"/>
    <w:rsid w:val="00457D0D"/>
    <w:rsid w:val="00457EAE"/>
    <w:rsid w:val="00462655"/>
    <w:rsid w:val="00463364"/>
    <w:rsid w:val="00467791"/>
    <w:rsid w:val="004749AF"/>
    <w:rsid w:val="004768BE"/>
    <w:rsid w:val="00477F73"/>
    <w:rsid w:val="0048355A"/>
    <w:rsid w:val="00484781"/>
    <w:rsid w:val="0048515B"/>
    <w:rsid w:val="00486108"/>
    <w:rsid w:val="004907F2"/>
    <w:rsid w:val="00492711"/>
    <w:rsid w:val="004A491F"/>
    <w:rsid w:val="004B7272"/>
    <w:rsid w:val="004C0BB2"/>
    <w:rsid w:val="004D0AF2"/>
    <w:rsid w:val="004D0C04"/>
    <w:rsid w:val="004D3C53"/>
    <w:rsid w:val="004D45BA"/>
    <w:rsid w:val="004E108D"/>
    <w:rsid w:val="004E4931"/>
    <w:rsid w:val="004E5CC6"/>
    <w:rsid w:val="004F115C"/>
    <w:rsid w:val="004F7F34"/>
    <w:rsid w:val="00501E99"/>
    <w:rsid w:val="0050518B"/>
    <w:rsid w:val="00505588"/>
    <w:rsid w:val="00505F81"/>
    <w:rsid w:val="00512486"/>
    <w:rsid w:val="0052465B"/>
    <w:rsid w:val="00524CDD"/>
    <w:rsid w:val="00526904"/>
    <w:rsid w:val="00531412"/>
    <w:rsid w:val="005323BB"/>
    <w:rsid w:val="00536A48"/>
    <w:rsid w:val="00537726"/>
    <w:rsid w:val="00541A81"/>
    <w:rsid w:val="00545E3D"/>
    <w:rsid w:val="005468F0"/>
    <w:rsid w:val="00547C68"/>
    <w:rsid w:val="005507AE"/>
    <w:rsid w:val="0055598C"/>
    <w:rsid w:val="00557109"/>
    <w:rsid w:val="00565A58"/>
    <w:rsid w:val="00571F95"/>
    <w:rsid w:val="00577909"/>
    <w:rsid w:val="00580556"/>
    <w:rsid w:val="0058134F"/>
    <w:rsid w:val="0058205F"/>
    <w:rsid w:val="00582E85"/>
    <w:rsid w:val="00587EE4"/>
    <w:rsid w:val="005910B5"/>
    <w:rsid w:val="005A0753"/>
    <w:rsid w:val="005A6118"/>
    <w:rsid w:val="005A642A"/>
    <w:rsid w:val="005A64DA"/>
    <w:rsid w:val="005A6DB1"/>
    <w:rsid w:val="005A7AB6"/>
    <w:rsid w:val="005B28D5"/>
    <w:rsid w:val="005B446E"/>
    <w:rsid w:val="005B60F4"/>
    <w:rsid w:val="005C011C"/>
    <w:rsid w:val="005C18DB"/>
    <w:rsid w:val="005C1D83"/>
    <w:rsid w:val="005C1E23"/>
    <w:rsid w:val="005C56A9"/>
    <w:rsid w:val="005E07AC"/>
    <w:rsid w:val="005E48F1"/>
    <w:rsid w:val="005E650E"/>
    <w:rsid w:val="005F2BAB"/>
    <w:rsid w:val="00605ED8"/>
    <w:rsid w:val="00616161"/>
    <w:rsid w:val="00616238"/>
    <w:rsid w:val="00622D77"/>
    <w:rsid w:val="00625A1D"/>
    <w:rsid w:val="00627F34"/>
    <w:rsid w:val="006305A7"/>
    <w:rsid w:val="00632F81"/>
    <w:rsid w:val="00634FA4"/>
    <w:rsid w:val="00636B18"/>
    <w:rsid w:val="00637CA1"/>
    <w:rsid w:val="00640B0C"/>
    <w:rsid w:val="00647CDD"/>
    <w:rsid w:val="00656185"/>
    <w:rsid w:val="006571A8"/>
    <w:rsid w:val="00662334"/>
    <w:rsid w:val="0066617F"/>
    <w:rsid w:val="00674A16"/>
    <w:rsid w:val="00677FFA"/>
    <w:rsid w:val="006826C0"/>
    <w:rsid w:val="00683FB7"/>
    <w:rsid w:val="006845F6"/>
    <w:rsid w:val="00691E10"/>
    <w:rsid w:val="00695FDE"/>
    <w:rsid w:val="00697604"/>
    <w:rsid w:val="006A0481"/>
    <w:rsid w:val="006A2816"/>
    <w:rsid w:val="006A32A5"/>
    <w:rsid w:val="006A587A"/>
    <w:rsid w:val="006A7EF8"/>
    <w:rsid w:val="006B11C1"/>
    <w:rsid w:val="006B2E36"/>
    <w:rsid w:val="006C19FD"/>
    <w:rsid w:val="006C653F"/>
    <w:rsid w:val="006D04DF"/>
    <w:rsid w:val="006D233C"/>
    <w:rsid w:val="006D6F12"/>
    <w:rsid w:val="006E2C87"/>
    <w:rsid w:val="006E38E2"/>
    <w:rsid w:val="006E7194"/>
    <w:rsid w:val="006E7D4A"/>
    <w:rsid w:val="006F2DE4"/>
    <w:rsid w:val="006F5313"/>
    <w:rsid w:val="006F5D2B"/>
    <w:rsid w:val="006F75A1"/>
    <w:rsid w:val="006F7DFC"/>
    <w:rsid w:val="00703421"/>
    <w:rsid w:val="0070366B"/>
    <w:rsid w:val="0070399C"/>
    <w:rsid w:val="00704AF2"/>
    <w:rsid w:val="0070776C"/>
    <w:rsid w:val="00710E68"/>
    <w:rsid w:val="00711985"/>
    <w:rsid w:val="00714BA0"/>
    <w:rsid w:val="00725A00"/>
    <w:rsid w:val="00725B82"/>
    <w:rsid w:val="007269B6"/>
    <w:rsid w:val="00726E7A"/>
    <w:rsid w:val="007306CB"/>
    <w:rsid w:val="0073294A"/>
    <w:rsid w:val="00732DBA"/>
    <w:rsid w:val="00732E52"/>
    <w:rsid w:val="00736607"/>
    <w:rsid w:val="0073704C"/>
    <w:rsid w:val="00737F7B"/>
    <w:rsid w:val="00740A7C"/>
    <w:rsid w:val="00743502"/>
    <w:rsid w:val="007460AE"/>
    <w:rsid w:val="00746F9D"/>
    <w:rsid w:val="00752801"/>
    <w:rsid w:val="007560B7"/>
    <w:rsid w:val="00764594"/>
    <w:rsid w:val="00770A18"/>
    <w:rsid w:val="007778AA"/>
    <w:rsid w:val="007850D9"/>
    <w:rsid w:val="00785118"/>
    <w:rsid w:val="00785C47"/>
    <w:rsid w:val="00786BEB"/>
    <w:rsid w:val="007926C9"/>
    <w:rsid w:val="00792DE5"/>
    <w:rsid w:val="007A0ED6"/>
    <w:rsid w:val="007A21F9"/>
    <w:rsid w:val="007A403E"/>
    <w:rsid w:val="007A75EA"/>
    <w:rsid w:val="007B1B5F"/>
    <w:rsid w:val="007B5050"/>
    <w:rsid w:val="007C04A2"/>
    <w:rsid w:val="007C25D1"/>
    <w:rsid w:val="007C4607"/>
    <w:rsid w:val="007C77DD"/>
    <w:rsid w:val="007D305A"/>
    <w:rsid w:val="007D3FA2"/>
    <w:rsid w:val="007D4761"/>
    <w:rsid w:val="007D567A"/>
    <w:rsid w:val="007E0BE0"/>
    <w:rsid w:val="007E154D"/>
    <w:rsid w:val="007E30E2"/>
    <w:rsid w:val="007E3EA6"/>
    <w:rsid w:val="007E5870"/>
    <w:rsid w:val="007F04AB"/>
    <w:rsid w:val="007F1BD7"/>
    <w:rsid w:val="007F2900"/>
    <w:rsid w:val="007F2A88"/>
    <w:rsid w:val="00801386"/>
    <w:rsid w:val="00803AE3"/>
    <w:rsid w:val="008042E1"/>
    <w:rsid w:val="00804D63"/>
    <w:rsid w:val="00806B9D"/>
    <w:rsid w:val="00810536"/>
    <w:rsid w:val="00810A07"/>
    <w:rsid w:val="00812777"/>
    <w:rsid w:val="00814865"/>
    <w:rsid w:val="008149E1"/>
    <w:rsid w:val="00816611"/>
    <w:rsid w:val="008230FA"/>
    <w:rsid w:val="00823765"/>
    <w:rsid w:val="00824E33"/>
    <w:rsid w:val="00835CC4"/>
    <w:rsid w:val="0084129E"/>
    <w:rsid w:val="00843390"/>
    <w:rsid w:val="008438D0"/>
    <w:rsid w:val="00846373"/>
    <w:rsid w:val="00846A5C"/>
    <w:rsid w:val="00846ECB"/>
    <w:rsid w:val="00847789"/>
    <w:rsid w:val="00853AD0"/>
    <w:rsid w:val="00856615"/>
    <w:rsid w:val="008568AE"/>
    <w:rsid w:val="008577F4"/>
    <w:rsid w:val="00860590"/>
    <w:rsid w:val="0086118A"/>
    <w:rsid w:val="00861316"/>
    <w:rsid w:val="008614E8"/>
    <w:rsid w:val="0086397F"/>
    <w:rsid w:val="00867EDF"/>
    <w:rsid w:val="00867F4E"/>
    <w:rsid w:val="00870828"/>
    <w:rsid w:val="008732B0"/>
    <w:rsid w:val="008734D7"/>
    <w:rsid w:val="00875F0D"/>
    <w:rsid w:val="00877414"/>
    <w:rsid w:val="008825E7"/>
    <w:rsid w:val="00892C55"/>
    <w:rsid w:val="008961FA"/>
    <w:rsid w:val="00897CF7"/>
    <w:rsid w:val="008A03B7"/>
    <w:rsid w:val="008A29BC"/>
    <w:rsid w:val="008A3888"/>
    <w:rsid w:val="008B0F37"/>
    <w:rsid w:val="008B5D12"/>
    <w:rsid w:val="008B6C00"/>
    <w:rsid w:val="008B7360"/>
    <w:rsid w:val="008C2197"/>
    <w:rsid w:val="008C3493"/>
    <w:rsid w:val="008C74E8"/>
    <w:rsid w:val="008D11A6"/>
    <w:rsid w:val="008D1F7B"/>
    <w:rsid w:val="008D2D64"/>
    <w:rsid w:val="008D667C"/>
    <w:rsid w:val="008E1611"/>
    <w:rsid w:val="008E1FCC"/>
    <w:rsid w:val="008E21BE"/>
    <w:rsid w:val="008E5982"/>
    <w:rsid w:val="008E7735"/>
    <w:rsid w:val="008F02D3"/>
    <w:rsid w:val="008F0939"/>
    <w:rsid w:val="008F0F97"/>
    <w:rsid w:val="008F4830"/>
    <w:rsid w:val="00902E07"/>
    <w:rsid w:val="00906511"/>
    <w:rsid w:val="0090739A"/>
    <w:rsid w:val="00913B1B"/>
    <w:rsid w:val="00914333"/>
    <w:rsid w:val="00923B3F"/>
    <w:rsid w:val="00927861"/>
    <w:rsid w:val="009310D4"/>
    <w:rsid w:val="00933ACB"/>
    <w:rsid w:val="0093425C"/>
    <w:rsid w:val="0093789A"/>
    <w:rsid w:val="0094148C"/>
    <w:rsid w:val="00942BA8"/>
    <w:rsid w:val="00945E96"/>
    <w:rsid w:val="00946FDB"/>
    <w:rsid w:val="00947697"/>
    <w:rsid w:val="00947783"/>
    <w:rsid w:val="00952B0C"/>
    <w:rsid w:val="0095375F"/>
    <w:rsid w:val="00954FE8"/>
    <w:rsid w:val="00966D6D"/>
    <w:rsid w:val="00971F91"/>
    <w:rsid w:val="009726E0"/>
    <w:rsid w:val="00973B14"/>
    <w:rsid w:val="00976135"/>
    <w:rsid w:val="0098304F"/>
    <w:rsid w:val="009877A2"/>
    <w:rsid w:val="00990018"/>
    <w:rsid w:val="00990822"/>
    <w:rsid w:val="009929A2"/>
    <w:rsid w:val="00992BDB"/>
    <w:rsid w:val="00993B54"/>
    <w:rsid w:val="009A058A"/>
    <w:rsid w:val="009A3DC4"/>
    <w:rsid w:val="009B4AB8"/>
    <w:rsid w:val="009C4A31"/>
    <w:rsid w:val="009C7E12"/>
    <w:rsid w:val="009D0148"/>
    <w:rsid w:val="009D1CFA"/>
    <w:rsid w:val="009D44EE"/>
    <w:rsid w:val="009D79A4"/>
    <w:rsid w:val="009D7BA1"/>
    <w:rsid w:val="009E00C2"/>
    <w:rsid w:val="009E1961"/>
    <w:rsid w:val="009E47C6"/>
    <w:rsid w:val="009E663B"/>
    <w:rsid w:val="009F0336"/>
    <w:rsid w:val="009F2185"/>
    <w:rsid w:val="009F6115"/>
    <w:rsid w:val="009F6FD2"/>
    <w:rsid w:val="009F78D3"/>
    <w:rsid w:val="00A11596"/>
    <w:rsid w:val="00A12184"/>
    <w:rsid w:val="00A12BCE"/>
    <w:rsid w:val="00A12D6B"/>
    <w:rsid w:val="00A16DD9"/>
    <w:rsid w:val="00A2617C"/>
    <w:rsid w:val="00A277CD"/>
    <w:rsid w:val="00A36D7C"/>
    <w:rsid w:val="00A423A9"/>
    <w:rsid w:val="00A45493"/>
    <w:rsid w:val="00A4732A"/>
    <w:rsid w:val="00A52C96"/>
    <w:rsid w:val="00A57D26"/>
    <w:rsid w:val="00A61207"/>
    <w:rsid w:val="00A7166B"/>
    <w:rsid w:val="00A72743"/>
    <w:rsid w:val="00A72AA8"/>
    <w:rsid w:val="00A72DEB"/>
    <w:rsid w:val="00A754BB"/>
    <w:rsid w:val="00A816B8"/>
    <w:rsid w:val="00A82439"/>
    <w:rsid w:val="00A828DF"/>
    <w:rsid w:val="00A83BA0"/>
    <w:rsid w:val="00A84F18"/>
    <w:rsid w:val="00A85045"/>
    <w:rsid w:val="00A92A17"/>
    <w:rsid w:val="00A9440E"/>
    <w:rsid w:val="00A95738"/>
    <w:rsid w:val="00A97B7D"/>
    <w:rsid w:val="00AA2252"/>
    <w:rsid w:val="00AA4825"/>
    <w:rsid w:val="00AA5E26"/>
    <w:rsid w:val="00AA7F35"/>
    <w:rsid w:val="00AB1E43"/>
    <w:rsid w:val="00AB33E1"/>
    <w:rsid w:val="00AB6FB5"/>
    <w:rsid w:val="00AC4214"/>
    <w:rsid w:val="00AC6E70"/>
    <w:rsid w:val="00AD1646"/>
    <w:rsid w:val="00AD2C2F"/>
    <w:rsid w:val="00AD634F"/>
    <w:rsid w:val="00AD67BD"/>
    <w:rsid w:val="00AD7AB4"/>
    <w:rsid w:val="00AE2C94"/>
    <w:rsid w:val="00AF038B"/>
    <w:rsid w:val="00AF11BA"/>
    <w:rsid w:val="00AF4C5D"/>
    <w:rsid w:val="00AF6DC2"/>
    <w:rsid w:val="00AF78FA"/>
    <w:rsid w:val="00B00A86"/>
    <w:rsid w:val="00B04FBB"/>
    <w:rsid w:val="00B078F6"/>
    <w:rsid w:val="00B12C13"/>
    <w:rsid w:val="00B21C2A"/>
    <w:rsid w:val="00B26045"/>
    <w:rsid w:val="00B307C1"/>
    <w:rsid w:val="00B34A3C"/>
    <w:rsid w:val="00B36AF4"/>
    <w:rsid w:val="00B41E83"/>
    <w:rsid w:val="00B42F33"/>
    <w:rsid w:val="00B4475C"/>
    <w:rsid w:val="00B44C55"/>
    <w:rsid w:val="00B46351"/>
    <w:rsid w:val="00B46A95"/>
    <w:rsid w:val="00B5114C"/>
    <w:rsid w:val="00B5123C"/>
    <w:rsid w:val="00B53985"/>
    <w:rsid w:val="00B544C2"/>
    <w:rsid w:val="00B5516B"/>
    <w:rsid w:val="00B5566F"/>
    <w:rsid w:val="00B617DB"/>
    <w:rsid w:val="00B630A6"/>
    <w:rsid w:val="00B644B6"/>
    <w:rsid w:val="00B70CC4"/>
    <w:rsid w:val="00B72442"/>
    <w:rsid w:val="00B7434C"/>
    <w:rsid w:val="00B8015E"/>
    <w:rsid w:val="00B83366"/>
    <w:rsid w:val="00B83645"/>
    <w:rsid w:val="00B923B1"/>
    <w:rsid w:val="00B92698"/>
    <w:rsid w:val="00B93EB7"/>
    <w:rsid w:val="00BA4497"/>
    <w:rsid w:val="00BB02DE"/>
    <w:rsid w:val="00BB371A"/>
    <w:rsid w:val="00BB7F22"/>
    <w:rsid w:val="00BC2D22"/>
    <w:rsid w:val="00BC5876"/>
    <w:rsid w:val="00BD5E06"/>
    <w:rsid w:val="00BD5E25"/>
    <w:rsid w:val="00BD7B25"/>
    <w:rsid w:val="00BE0916"/>
    <w:rsid w:val="00BE1AFF"/>
    <w:rsid w:val="00BE53BA"/>
    <w:rsid w:val="00BF1B1F"/>
    <w:rsid w:val="00BF21D2"/>
    <w:rsid w:val="00BF511A"/>
    <w:rsid w:val="00BF74E9"/>
    <w:rsid w:val="00BF7701"/>
    <w:rsid w:val="00C038DF"/>
    <w:rsid w:val="00C133FA"/>
    <w:rsid w:val="00C247CB"/>
    <w:rsid w:val="00C27BFA"/>
    <w:rsid w:val="00C328F9"/>
    <w:rsid w:val="00C32D18"/>
    <w:rsid w:val="00C34238"/>
    <w:rsid w:val="00C354A2"/>
    <w:rsid w:val="00C360BD"/>
    <w:rsid w:val="00C476E1"/>
    <w:rsid w:val="00C52E77"/>
    <w:rsid w:val="00C54F81"/>
    <w:rsid w:val="00C566B3"/>
    <w:rsid w:val="00C57934"/>
    <w:rsid w:val="00C614AB"/>
    <w:rsid w:val="00C624DE"/>
    <w:rsid w:val="00C65249"/>
    <w:rsid w:val="00C654D5"/>
    <w:rsid w:val="00C67B32"/>
    <w:rsid w:val="00C70600"/>
    <w:rsid w:val="00C71E51"/>
    <w:rsid w:val="00C72007"/>
    <w:rsid w:val="00C75C83"/>
    <w:rsid w:val="00C809E1"/>
    <w:rsid w:val="00C837BA"/>
    <w:rsid w:val="00C90204"/>
    <w:rsid w:val="00C90520"/>
    <w:rsid w:val="00C941CE"/>
    <w:rsid w:val="00C95346"/>
    <w:rsid w:val="00C9560B"/>
    <w:rsid w:val="00CA3B23"/>
    <w:rsid w:val="00CA5C8F"/>
    <w:rsid w:val="00CA62F6"/>
    <w:rsid w:val="00CB0676"/>
    <w:rsid w:val="00CB0C1D"/>
    <w:rsid w:val="00CC1995"/>
    <w:rsid w:val="00CC2354"/>
    <w:rsid w:val="00CC4F0E"/>
    <w:rsid w:val="00CC529F"/>
    <w:rsid w:val="00CC5AA2"/>
    <w:rsid w:val="00CC721A"/>
    <w:rsid w:val="00CD0963"/>
    <w:rsid w:val="00CD5C71"/>
    <w:rsid w:val="00CE3D42"/>
    <w:rsid w:val="00CE53E6"/>
    <w:rsid w:val="00CE66B6"/>
    <w:rsid w:val="00CF07E5"/>
    <w:rsid w:val="00CF4400"/>
    <w:rsid w:val="00CF539A"/>
    <w:rsid w:val="00CF6131"/>
    <w:rsid w:val="00D006CD"/>
    <w:rsid w:val="00D00F83"/>
    <w:rsid w:val="00D06EAA"/>
    <w:rsid w:val="00D07200"/>
    <w:rsid w:val="00D07207"/>
    <w:rsid w:val="00D12A68"/>
    <w:rsid w:val="00D26A94"/>
    <w:rsid w:val="00D30676"/>
    <w:rsid w:val="00D32716"/>
    <w:rsid w:val="00D35C76"/>
    <w:rsid w:val="00D35FA8"/>
    <w:rsid w:val="00D36733"/>
    <w:rsid w:val="00D4237D"/>
    <w:rsid w:val="00D45ECA"/>
    <w:rsid w:val="00D46C01"/>
    <w:rsid w:val="00D471B5"/>
    <w:rsid w:val="00D571DB"/>
    <w:rsid w:val="00D6012D"/>
    <w:rsid w:val="00D60A33"/>
    <w:rsid w:val="00D6774D"/>
    <w:rsid w:val="00D67D40"/>
    <w:rsid w:val="00D7225F"/>
    <w:rsid w:val="00D75191"/>
    <w:rsid w:val="00D76AA2"/>
    <w:rsid w:val="00D801E8"/>
    <w:rsid w:val="00D80929"/>
    <w:rsid w:val="00D85254"/>
    <w:rsid w:val="00D900B6"/>
    <w:rsid w:val="00D92FCF"/>
    <w:rsid w:val="00D95DD3"/>
    <w:rsid w:val="00D96DAB"/>
    <w:rsid w:val="00DA2B0D"/>
    <w:rsid w:val="00DA36A3"/>
    <w:rsid w:val="00DA4F6C"/>
    <w:rsid w:val="00DB0455"/>
    <w:rsid w:val="00DB2F78"/>
    <w:rsid w:val="00DB794F"/>
    <w:rsid w:val="00DC1E59"/>
    <w:rsid w:val="00DC4FFC"/>
    <w:rsid w:val="00DC6A92"/>
    <w:rsid w:val="00DD2E10"/>
    <w:rsid w:val="00DD39C5"/>
    <w:rsid w:val="00DE2069"/>
    <w:rsid w:val="00DE76D2"/>
    <w:rsid w:val="00DE79F7"/>
    <w:rsid w:val="00DF33D3"/>
    <w:rsid w:val="00DF6BE4"/>
    <w:rsid w:val="00E11C5E"/>
    <w:rsid w:val="00E11CAF"/>
    <w:rsid w:val="00E145F5"/>
    <w:rsid w:val="00E157BC"/>
    <w:rsid w:val="00E26EE6"/>
    <w:rsid w:val="00E27459"/>
    <w:rsid w:val="00E27FE9"/>
    <w:rsid w:val="00E31C0F"/>
    <w:rsid w:val="00E35159"/>
    <w:rsid w:val="00E414EC"/>
    <w:rsid w:val="00E50E4A"/>
    <w:rsid w:val="00E52882"/>
    <w:rsid w:val="00E535C0"/>
    <w:rsid w:val="00E64FF0"/>
    <w:rsid w:val="00E650D0"/>
    <w:rsid w:val="00E7611A"/>
    <w:rsid w:val="00E87E15"/>
    <w:rsid w:val="00E91F5F"/>
    <w:rsid w:val="00E96BF9"/>
    <w:rsid w:val="00EA22C5"/>
    <w:rsid w:val="00EA4399"/>
    <w:rsid w:val="00EA5E48"/>
    <w:rsid w:val="00EA7764"/>
    <w:rsid w:val="00EB12DD"/>
    <w:rsid w:val="00EB153E"/>
    <w:rsid w:val="00EB1F94"/>
    <w:rsid w:val="00EB57EB"/>
    <w:rsid w:val="00EB5811"/>
    <w:rsid w:val="00EB7001"/>
    <w:rsid w:val="00EC0297"/>
    <w:rsid w:val="00EC2D5A"/>
    <w:rsid w:val="00ED023F"/>
    <w:rsid w:val="00ED262A"/>
    <w:rsid w:val="00ED39DA"/>
    <w:rsid w:val="00ED50A6"/>
    <w:rsid w:val="00ED50CF"/>
    <w:rsid w:val="00ED5D98"/>
    <w:rsid w:val="00EE6017"/>
    <w:rsid w:val="00EF29C9"/>
    <w:rsid w:val="00EF443F"/>
    <w:rsid w:val="00F024E9"/>
    <w:rsid w:val="00F04031"/>
    <w:rsid w:val="00F1152F"/>
    <w:rsid w:val="00F207B3"/>
    <w:rsid w:val="00F22725"/>
    <w:rsid w:val="00F24D51"/>
    <w:rsid w:val="00F30465"/>
    <w:rsid w:val="00F363DC"/>
    <w:rsid w:val="00F409C3"/>
    <w:rsid w:val="00F50454"/>
    <w:rsid w:val="00F52410"/>
    <w:rsid w:val="00F5486B"/>
    <w:rsid w:val="00F55CBC"/>
    <w:rsid w:val="00F62BC4"/>
    <w:rsid w:val="00F658E0"/>
    <w:rsid w:val="00F6686D"/>
    <w:rsid w:val="00F66C1D"/>
    <w:rsid w:val="00F75584"/>
    <w:rsid w:val="00F7579B"/>
    <w:rsid w:val="00F76360"/>
    <w:rsid w:val="00F77057"/>
    <w:rsid w:val="00F81783"/>
    <w:rsid w:val="00F859B7"/>
    <w:rsid w:val="00F86ADC"/>
    <w:rsid w:val="00F877B4"/>
    <w:rsid w:val="00F91EA1"/>
    <w:rsid w:val="00F94256"/>
    <w:rsid w:val="00FA1EA1"/>
    <w:rsid w:val="00FA1FBC"/>
    <w:rsid w:val="00FB0924"/>
    <w:rsid w:val="00FB2B10"/>
    <w:rsid w:val="00FB2D67"/>
    <w:rsid w:val="00FB3DBC"/>
    <w:rsid w:val="00FC1A72"/>
    <w:rsid w:val="00FC1C44"/>
    <w:rsid w:val="00FC4287"/>
    <w:rsid w:val="00FC51A0"/>
    <w:rsid w:val="00FD2267"/>
    <w:rsid w:val="00FD4198"/>
    <w:rsid w:val="00FD5E0E"/>
    <w:rsid w:val="00FE5016"/>
    <w:rsid w:val="00FE6EB9"/>
    <w:rsid w:val="00FF636B"/>
    <w:rsid w:val="00FF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CBB52"/>
  <w15:chartTrackingRefBased/>
  <w15:docId w15:val="{F8965D41-58C1-4A72-82B4-1706AB1B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FA2"/>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8E7735"/>
    <w:rPr>
      <w:rFonts w:ascii="Tahoma" w:hAnsi="Tahoma"/>
      <w:sz w:val="16"/>
      <w:szCs w:val="16"/>
      <w:lang w:val="x-none" w:eastAsia="x-none"/>
    </w:rPr>
  </w:style>
  <w:style w:type="paragraph" w:styleId="TOC2">
    <w:name w:val="toc 2"/>
    <w:basedOn w:val="Normal"/>
    <w:next w:val="Normal"/>
    <w:autoRedefine/>
    <w:uiPriority w:val="39"/>
    <w:rsid w:val="00CC2354"/>
    <w:pPr>
      <w:tabs>
        <w:tab w:val="right" w:leader="dot" w:pos="12950"/>
      </w:tabs>
      <w:spacing w:before="120" w:after="120"/>
    </w:pPr>
    <w:rPr>
      <w:rFonts w:ascii="Verdana" w:hAnsi="Verdana"/>
      <w:color w:val="0000FF"/>
      <w:u w:val="single"/>
    </w:rPr>
  </w:style>
  <w:style w:type="character" w:customStyle="1" w:styleId="BalloonTextChar">
    <w:name w:val="Balloon Text Char"/>
    <w:link w:val="BalloonText"/>
    <w:rsid w:val="008E7735"/>
    <w:rPr>
      <w:rFonts w:ascii="Tahoma" w:hAnsi="Tahoma" w:cs="Tahoma"/>
      <w:sz w:val="16"/>
      <w:szCs w:val="16"/>
    </w:rPr>
  </w:style>
  <w:style w:type="character" w:styleId="CommentReference">
    <w:name w:val="annotation reference"/>
    <w:rsid w:val="002071F5"/>
    <w:rPr>
      <w:sz w:val="16"/>
      <w:szCs w:val="16"/>
    </w:rPr>
  </w:style>
  <w:style w:type="paragraph" w:styleId="CommentText">
    <w:name w:val="annotation text"/>
    <w:basedOn w:val="Normal"/>
    <w:link w:val="CommentTextChar"/>
    <w:rsid w:val="002071F5"/>
    <w:rPr>
      <w:sz w:val="20"/>
      <w:szCs w:val="20"/>
    </w:rPr>
  </w:style>
  <w:style w:type="character" w:customStyle="1" w:styleId="CommentTextChar">
    <w:name w:val="Comment Text Char"/>
    <w:basedOn w:val="DefaultParagraphFont"/>
    <w:link w:val="CommentText"/>
    <w:rsid w:val="002071F5"/>
  </w:style>
  <w:style w:type="paragraph" w:styleId="CommentSubject">
    <w:name w:val="annotation subject"/>
    <w:basedOn w:val="CommentText"/>
    <w:next w:val="CommentText"/>
    <w:link w:val="CommentSubjectChar"/>
    <w:rsid w:val="002071F5"/>
    <w:rPr>
      <w:b/>
      <w:bCs/>
      <w:lang w:val="x-none" w:eastAsia="x-none"/>
    </w:rPr>
  </w:style>
  <w:style w:type="character" w:customStyle="1" w:styleId="CommentSubjectChar">
    <w:name w:val="Comment Subject Char"/>
    <w:link w:val="CommentSubject"/>
    <w:rsid w:val="002071F5"/>
    <w:rPr>
      <w:b/>
      <w:bCs/>
    </w:rPr>
  </w:style>
  <w:style w:type="paragraph" w:styleId="Revision">
    <w:name w:val="Revision"/>
    <w:hidden/>
    <w:uiPriority w:val="99"/>
    <w:semiHidden/>
    <w:rsid w:val="000A5EEA"/>
    <w:rPr>
      <w:sz w:val="24"/>
      <w:szCs w:val="24"/>
    </w:rPr>
  </w:style>
  <w:style w:type="paragraph" w:styleId="ListParagraph">
    <w:name w:val="List Paragraph"/>
    <w:basedOn w:val="Normal"/>
    <w:uiPriority w:val="34"/>
    <w:qFormat/>
    <w:rsid w:val="00CA5C8F"/>
    <w:pPr>
      <w:ind w:left="720"/>
    </w:pPr>
    <w:rPr>
      <w:rFonts w:ascii="Calibri" w:eastAsia="Calibri" w:hAnsi="Calibri"/>
      <w:sz w:val="22"/>
      <w:szCs w:val="22"/>
    </w:rPr>
  </w:style>
  <w:style w:type="character" w:styleId="UnresolvedMention">
    <w:name w:val="Unresolved Mention"/>
    <w:basedOn w:val="DefaultParagraphFont"/>
    <w:uiPriority w:val="99"/>
    <w:semiHidden/>
    <w:unhideWhenUsed/>
    <w:rsid w:val="0002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49754560">
      <w:bodyDiv w:val="1"/>
      <w:marLeft w:val="0"/>
      <w:marRight w:val="0"/>
      <w:marTop w:val="0"/>
      <w:marBottom w:val="0"/>
      <w:divBdr>
        <w:top w:val="none" w:sz="0" w:space="0" w:color="auto"/>
        <w:left w:val="none" w:sz="0" w:space="0" w:color="auto"/>
        <w:bottom w:val="none" w:sz="0" w:space="0" w:color="auto"/>
        <w:right w:val="none" w:sz="0" w:space="0" w:color="auto"/>
      </w:divBdr>
    </w:div>
    <w:div w:id="168720242">
      <w:bodyDiv w:val="1"/>
      <w:marLeft w:val="0"/>
      <w:marRight w:val="0"/>
      <w:marTop w:val="0"/>
      <w:marBottom w:val="0"/>
      <w:divBdr>
        <w:top w:val="none" w:sz="0" w:space="0" w:color="auto"/>
        <w:left w:val="none" w:sz="0" w:space="0" w:color="auto"/>
        <w:bottom w:val="none" w:sz="0" w:space="0" w:color="auto"/>
        <w:right w:val="none" w:sz="0" w:space="0" w:color="auto"/>
      </w:divBdr>
      <w:divsChild>
        <w:div w:id="142889453">
          <w:marLeft w:val="0"/>
          <w:marRight w:val="0"/>
          <w:marTop w:val="0"/>
          <w:marBottom w:val="0"/>
          <w:divBdr>
            <w:top w:val="none" w:sz="0" w:space="0" w:color="auto"/>
            <w:left w:val="none" w:sz="0" w:space="0" w:color="auto"/>
            <w:bottom w:val="none" w:sz="0" w:space="0" w:color="auto"/>
            <w:right w:val="none" w:sz="0" w:space="0" w:color="auto"/>
          </w:divBdr>
          <w:divsChild>
            <w:div w:id="960964801">
              <w:marLeft w:val="0"/>
              <w:marRight w:val="0"/>
              <w:marTop w:val="0"/>
              <w:marBottom w:val="0"/>
              <w:divBdr>
                <w:top w:val="none" w:sz="0" w:space="0" w:color="auto"/>
                <w:left w:val="none" w:sz="0" w:space="0" w:color="auto"/>
                <w:bottom w:val="none" w:sz="0" w:space="0" w:color="auto"/>
                <w:right w:val="none" w:sz="0" w:space="0" w:color="auto"/>
              </w:divBdr>
              <w:divsChild>
                <w:div w:id="1005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5539">
      <w:bodyDiv w:val="1"/>
      <w:marLeft w:val="0"/>
      <w:marRight w:val="0"/>
      <w:marTop w:val="0"/>
      <w:marBottom w:val="0"/>
      <w:divBdr>
        <w:top w:val="none" w:sz="0" w:space="0" w:color="auto"/>
        <w:left w:val="none" w:sz="0" w:space="0" w:color="auto"/>
        <w:bottom w:val="none" w:sz="0" w:space="0" w:color="auto"/>
        <w:right w:val="none" w:sz="0" w:space="0" w:color="auto"/>
      </w:divBdr>
    </w:div>
    <w:div w:id="349919401">
      <w:bodyDiv w:val="1"/>
      <w:marLeft w:val="0"/>
      <w:marRight w:val="0"/>
      <w:marTop w:val="0"/>
      <w:marBottom w:val="0"/>
      <w:divBdr>
        <w:top w:val="none" w:sz="0" w:space="0" w:color="auto"/>
        <w:left w:val="none" w:sz="0" w:space="0" w:color="auto"/>
        <w:bottom w:val="none" w:sz="0" w:space="0" w:color="auto"/>
        <w:right w:val="none" w:sz="0" w:space="0" w:color="auto"/>
      </w:divBdr>
    </w:div>
    <w:div w:id="395081743">
      <w:bodyDiv w:val="1"/>
      <w:marLeft w:val="0"/>
      <w:marRight w:val="0"/>
      <w:marTop w:val="0"/>
      <w:marBottom w:val="0"/>
      <w:divBdr>
        <w:top w:val="none" w:sz="0" w:space="0" w:color="auto"/>
        <w:left w:val="none" w:sz="0" w:space="0" w:color="auto"/>
        <w:bottom w:val="none" w:sz="0" w:space="0" w:color="auto"/>
        <w:right w:val="none" w:sz="0" w:space="0" w:color="auto"/>
      </w:divBdr>
    </w:div>
    <w:div w:id="519780742">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68476870">
      <w:bodyDiv w:val="1"/>
      <w:marLeft w:val="0"/>
      <w:marRight w:val="0"/>
      <w:marTop w:val="0"/>
      <w:marBottom w:val="0"/>
      <w:divBdr>
        <w:top w:val="none" w:sz="0" w:space="0" w:color="auto"/>
        <w:left w:val="none" w:sz="0" w:space="0" w:color="auto"/>
        <w:bottom w:val="none" w:sz="0" w:space="0" w:color="auto"/>
        <w:right w:val="none" w:sz="0" w:space="0" w:color="auto"/>
      </w:divBdr>
    </w:div>
    <w:div w:id="862014629">
      <w:bodyDiv w:val="1"/>
      <w:marLeft w:val="0"/>
      <w:marRight w:val="0"/>
      <w:marTop w:val="0"/>
      <w:marBottom w:val="0"/>
      <w:divBdr>
        <w:top w:val="none" w:sz="0" w:space="0" w:color="auto"/>
        <w:left w:val="none" w:sz="0" w:space="0" w:color="auto"/>
        <w:bottom w:val="none" w:sz="0" w:space="0" w:color="auto"/>
        <w:right w:val="none" w:sz="0" w:space="0" w:color="auto"/>
      </w:divBdr>
    </w:div>
    <w:div w:id="101214924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99940289">
      <w:bodyDiv w:val="1"/>
      <w:marLeft w:val="0"/>
      <w:marRight w:val="0"/>
      <w:marTop w:val="0"/>
      <w:marBottom w:val="0"/>
      <w:divBdr>
        <w:top w:val="none" w:sz="0" w:space="0" w:color="auto"/>
        <w:left w:val="none" w:sz="0" w:space="0" w:color="auto"/>
        <w:bottom w:val="none" w:sz="0" w:space="0" w:color="auto"/>
        <w:right w:val="none" w:sz="0" w:space="0" w:color="auto"/>
      </w:divBdr>
    </w:div>
    <w:div w:id="147444601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76933428">
      <w:bodyDiv w:val="1"/>
      <w:marLeft w:val="0"/>
      <w:marRight w:val="0"/>
      <w:marTop w:val="0"/>
      <w:marBottom w:val="0"/>
      <w:divBdr>
        <w:top w:val="none" w:sz="0" w:space="0" w:color="auto"/>
        <w:left w:val="none" w:sz="0" w:space="0" w:color="auto"/>
        <w:bottom w:val="none" w:sz="0" w:space="0" w:color="auto"/>
        <w:right w:val="none" w:sz="0" w:space="0" w:color="auto"/>
      </w:divBdr>
    </w:div>
    <w:div w:id="1642925901">
      <w:bodyDiv w:val="1"/>
      <w:marLeft w:val="0"/>
      <w:marRight w:val="0"/>
      <w:marTop w:val="0"/>
      <w:marBottom w:val="0"/>
      <w:divBdr>
        <w:top w:val="none" w:sz="0" w:space="0" w:color="auto"/>
        <w:left w:val="none" w:sz="0" w:space="0" w:color="auto"/>
        <w:bottom w:val="none" w:sz="0" w:space="0" w:color="auto"/>
        <w:right w:val="none" w:sz="0" w:space="0" w:color="auto"/>
      </w:divBdr>
    </w:div>
    <w:div w:id="1653633435">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50229230">
      <w:bodyDiv w:val="1"/>
      <w:marLeft w:val="0"/>
      <w:marRight w:val="0"/>
      <w:marTop w:val="0"/>
      <w:marBottom w:val="0"/>
      <w:divBdr>
        <w:top w:val="none" w:sz="0" w:space="0" w:color="auto"/>
        <w:left w:val="none" w:sz="0" w:space="0" w:color="auto"/>
        <w:bottom w:val="none" w:sz="0" w:space="0" w:color="auto"/>
        <w:right w:val="none" w:sz="0" w:space="0" w:color="auto"/>
      </w:divBdr>
    </w:div>
    <w:div w:id="1837845490">
      <w:bodyDiv w:val="1"/>
      <w:marLeft w:val="0"/>
      <w:marRight w:val="0"/>
      <w:marTop w:val="0"/>
      <w:marBottom w:val="0"/>
      <w:divBdr>
        <w:top w:val="none" w:sz="0" w:space="0" w:color="auto"/>
        <w:left w:val="none" w:sz="0" w:space="0" w:color="auto"/>
        <w:bottom w:val="none" w:sz="0" w:space="0" w:color="auto"/>
        <w:right w:val="none" w:sz="0" w:space="0" w:color="auto"/>
      </w:divBdr>
    </w:div>
    <w:div w:id="1844392549">
      <w:bodyDiv w:val="1"/>
      <w:marLeft w:val="0"/>
      <w:marRight w:val="0"/>
      <w:marTop w:val="0"/>
      <w:marBottom w:val="0"/>
      <w:divBdr>
        <w:top w:val="none" w:sz="0" w:space="0" w:color="auto"/>
        <w:left w:val="none" w:sz="0" w:space="0" w:color="auto"/>
        <w:bottom w:val="none" w:sz="0" w:space="0" w:color="auto"/>
        <w:right w:val="none" w:sz="0" w:space="0" w:color="auto"/>
      </w:divBdr>
    </w:div>
    <w:div w:id="1880164788">
      <w:bodyDiv w:val="1"/>
      <w:marLeft w:val="0"/>
      <w:marRight w:val="0"/>
      <w:marTop w:val="0"/>
      <w:marBottom w:val="0"/>
      <w:divBdr>
        <w:top w:val="none" w:sz="0" w:space="0" w:color="auto"/>
        <w:left w:val="none" w:sz="0" w:space="0" w:color="auto"/>
        <w:bottom w:val="none" w:sz="0" w:space="0" w:color="auto"/>
        <w:right w:val="none" w:sz="0" w:space="0" w:color="auto"/>
      </w:divBdr>
    </w:div>
    <w:div w:id="19625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etnao365.sharepoint.com/_api/v2.1/sites/aetnao365.sharepoint.com,754555a9-e11e-4d7c-a5e8-b3f3347b2507,a1df319a-a68c-4439-a69d-3676f7004535/lists/6999637f-89fc-4ea6-b141-1d3a2cf3a3ec/items/cbd16866-2124-459a-acc3-7f384b844b43/driveItem/thumbnails/0/c1600x99999/content?prefer=noRedirect%2cextendCacheMaxAge&amp;clientType=modernWebPart&amp;format=webp" TargetMode="External"/><Relationship Id="rId17" Type="http://schemas.openxmlformats.org/officeDocument/2006/relationships/hyperlink" Target="file:///C:/Users/c506325/AppData/Local/Microsoft/Office/CMS-PRD1-087838" TargetMode="External"/><Relationship Id="rId2" Type="http://schemas.openxmlformats.org/officeDocument/2006/relationships/customXml" Target="../customXml/item2.xml"/><Relationship Id="rId16" Type="http://schemas.openxmlformats.org/officeDocument/2006/relationships/hyperlink" Target="file:///C:/Users/c506325/AppData/Local/Microsoft/Office/CMS-2-0174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etnao365.sharepoint.com/_api/v2.1/sites/aetnao365.sharepoint.com,754555a9-e11e-4d7c-a5e8-b3f3347b2507,a1df319a-a68c-4439-a69d-3676f7004535/lists/6999637f-89fc-4ea6-b141-1d3a2cf3a3ec/items/d6d1d706-bb97-43a0-aaa0-19891d85383f/driveItem/thumbnails/0/c1600x99999/content?prefer=noRedirect%2cextendCacheMaxAge&amp;clientType=modernWebPart&amp;format=webp" TargetMode="External"/><Relationship Id="rId5" Type="http://schemas.openxmlformats.org/officeDocument/2006/relationships/numbering" Target="numbering.xml"/><Relationship Id="rId15" Type="http://schemas.openxmlformats.org/officeDocument/2006/relationships/hyperlink" Target="https://policy.corp.cvscaremark.com/pnp/faces/DocRenderer?documentId=CALL-0070"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0A3BBE54751744BBECBCBB66053775" ma:contentTypeVersion="4" ma:contentTypeDescription="Create a new document." ma:contentTypeScope="" ma:versionID="4c7d53e222cff9defdffdf2bedfc1f48">
  <xsd:schema xmlns:xsd="http://www.w3.org/2001/XMLSchema" xmlns:xs="http://www.w3.org/2001/XMLSchema" xmlns:p="http://schemas.microsoft.com/office/2006/metadata/properties" xmlns:ns2="125aa975-31f8-405f-8a0d-38f1bcbf5578" targetNamespace="http://schemas.microsoft.com/office/2006/metadata/properties" ma:root="true" ma:fieldsID="f426a39bc4bc0a4097855fcbebcf237e" ns2:_="">
    <xsd:import namespace="125aa975-31f8-405f-8a0d-38f1bcbf55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aa975-31f8-405f-8a0d-38f1bcbf5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35408-397C-456C-9040-1B0A5B2F5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AEF94A-108D-4B34-9E7F-D3EC5BD2F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aa975-31f8-405f-8a0d-38f1bcbf5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D060330C-6C97-49A2-9B49-4BCF58CC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8620</CharactersWithSpaces>
  <SharedDoc>false</SharedDoc>
  <HLinks>
    <vt:vector size="300" baseType="variant">
      <vt:variant>
        <vt:i4>262192</vt:i4>
      </vt:variant>
      <vt:variant>
        <vt:i4>150</vt:i4>
      </vt:variant>
      <vt:variant>
        <vt:i4>0</vt:i4>
      </vt:variant>
      <vt:variant>
        <vt:i4>5</vt:i4>
      </vt:variant>
      <vt:variant>
        <vt:lpwstr/>
      </vt:variant>
      <vt:variant>
        <vt:lpwstr>_top</vt:lpwstr>
      </vt:variant>
      <vt:variant>
        <vt:i4>2883636</vt:i4>
      </vt:variant>
      <vt:variant>
        <vt:i4>147</vt:i4>
      </vt:variant>
      <vt:variant>
        <vt:i4>0</vt:i4>
      </vt:variant>
      <vt:variant>
        <vt:i4>5</vt:i4>
      </vt:variant>
      <vt:variant>
        <vt:lpwstr>https://policy.corp.cvscaremark.com/pnp/faces/DocRenderer?documentId=CALL-0070</vt:lpwstr>
      </vt:variant>
      <vt:variant>
        <vt:lpwstr/>
      </vt:variant>
      <vt:variant>
        <vt:i4>262192</vt:i4>
      </vt:variant>
      <vt:variant>
        <vt:i4>144</vt:i4>
      </vt:variant>
      <vt:variant>
        <vt:i4>0</vt:i4>
      </vt:variant>
      <vt:variant>
        <vt:i4>5</vt:i4>
      </vt:variant>
      <vt:variant>
        <vt:lpwstr/>
      </vt:variant>
      <vt:variant>
        <vt:lpwstr>_top</vt:lpwstr>
      </vt:variant>
      <vt:variant>
        <vt:i4>3604527</vt:i4>
      </vt:variant>
      <vt:variant>
        <vt:i4>141</vt:i4>
      </vt:variant>
      <vt:variant>
        <vt:i4>0</vt:i4>
      </vt:variant>
      <vt:variant>
        <vt:i4>5</vt:i4>
      </vt:variant>
      <vt:variant>
        <vt:lpwstr>CMS-PRD1-107623</vt:lpwstr>
      </vt:variant>
      <vt:variant>
        <vt:lpwstr/>
      </vt:variant>
      <vt:variant>
        <vt:i4>262192</vt:i4>
      </vt:variant>
      <vt:variant>
        <vt:i4>138</vt:i4>
      </vt:variant>
      <vt:variant>
        <vt:i4>0</vt:i4>
      </vt:variant>
      <vt:variant>
        <vt:i4>5</vt:i4>
      </vt:variant>
      <vt:variant>
        <vt:lpwstr/>
      </vt:variant>
      <vt:variant>
        <vt:lpwstr>_top</vt:lpwstr>
      </vt:variant>
      <vt:variant>
        <vt:i4>3211304</vt:i4>
      </vt:variant>
      <vt:variant>
        <vt:i4>135</vt:i4>
      </vt:variant>
      <vt:variant>
        <vt:i4>0</vt:i4>
      </vt:variant>
      <vt:variant>
        <vt:i4>5</vt:i4>
      </vt:variant>
      <vt:variant>
        <vt:lpwstr>CMS-PRD1-087955</vt:lpwstr>
      </vt:variant>
      <vt:variant>
        <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1507336</vt:i4>
      </vt:variant>
      <vt:variant>
        <vt:i4>126</vt:i4>
      </vt:variant>
      <vt:variant>
        <vt:i4>0</vt:i4>
      </vt:variant>
      <vt:variant>
        <vt:i4>5</vt:i4>
      </vt:variant>
      <vt:variant>
        <vt:lpwstr>TSRC-PROD-002471</vt:lpwstr>
      </vt:variant>
      <vt:variant>
        <vt:lpwstr/>
      </vt:variant>
      <vt:variant>
        <vt:i4>262192</vt:i4>
      </vt:variant>
      <vt:variant>
        <vt:i4>123</vt:i4>
      </vt:variant>
      <vt:variant>
        <vt:i4>0</vt:i4>
      </vt:variant>
      <vt:variant>
        <vt:i4>5</vt:i4>
      </vt:variant>
      <vt:variant>
        <vt:lpwstr/>
      </vt:variant>
      <vt:variant>
        <vt:lpwstr>_top</vt:lpwstr>
      </vt:variant>
      <vt:variant>
        <vt:i4>1114222</vt:i4>
      </vt:variant>
      <vt:variant>
        <vt:i4>120</vt:i4>
      </vt:variant>
      <vt:variant>
        <vt:i4>0</vt:i4>
      </vt:variant>
      <vt:variant>
        <vt:i4>5</vt:i4>
      </vt:variant>
      <vt:variant>
        <vt:lpwstr>mailto:rmt.administrator@cvscaremark.com</vt:lpwstr>
      </vt:variant>
      <vt:variant>
        <vt:lpwstr/>
      </vt:variant>
      <vt:variant>
        <vt:i4>4325376</vt:i4>
      </vt:variant>
      <vt:variant>
        <vt:i4>117</vt:i4>
      </vt:variant>
      <vt:variant>
        <vt:i4>0</vt:i4>
      </vt:variant>
      <vt:variant>
        <vt:i4>5</vt:i4>
      </vt:variant>
      <vt:variant>
        <vt:lpwstr/>
      </vt:variant>
      <vt:variant>
        <vt:lpwstr>lvl4</vt:lpwstr>
      </vt:variant>
      <vt:variant>
        <vt:i4>4521984</vt:i4>
      </vt:variant>
      <vt:variant>
        <vt:i4>114</vt:i4>
      </vt:variant>
      <vt:variant>
        <vt:i4>0</vt:i4>
      </vt:variant>
      <vt:variant>
        <vt:i4>5</vt:i4>
      </vt:variant>
      <vt:variant>
        <vt:lpwstr/>
      </vt:variant>
      <vt:variant>
        <vt:lpwstr>lvl3</vt:lpwstr>
      </vt:variant>
      <vt:variant>
        <vt:i4>4456448</vt:i4>
      </vt:variant>
      <vt:variant>
        <vt:i4>111</vt:i4>
      </vt:variant>
      <vt:variant>
        <vt:i4>0</vt:i4>
      </vt:variant>
      <vt:variant>
        <vt:i4>5</vt:i4>
      </vt:variant>
      <vt:variant>
        <vt:lpwstr/>
      </vt:variant>
      <vt:variant>
        <vt:lpwstr>lvl2</vt:lpwstr>
      </vt:variant>
      <vt:variant>
        <vt:i4>4653056</vt:i4>
      </vt:variant>
      <vt:variant>
        <vt:i4>108</vt:i4>
      </vt:variant>
      <vt:variant>
        <vt:i4>0</vt:i4>
      </vt:variant>
      <vt:variant>
        <vt:i4>5</vt:i4>
      </vt:variant>
      <vt:variant>
        <vt:lpwstr/>
      </vt:variant>
      <vt:variant>
        <vt:lpwstr>lvl1</vt:lpwstr>
      </vt:variant>
      <vt:variant>
        <vt:i4>4587596</vt:i4>
      </vt:variant>
      <vt:variant>
        <vt:i4>105</vt:i4>
      </vt:variant>
      <vt:variant>
        <vt:i4>0</vt:i4>
      </vt:variant>
      <vt:variant>
        <vt:i4>5</vt:i4>
      </vt:variant>
      <vt:variant>
        <vt:lpwstr>https://teams.sp.aetna.com/sites/medicareae18/Shared Documents/LIS/18_LIS_PREM_MAPD_AET.xlsx?Web=1</vt:lpwstr>
      </vt:variant>
      <vt:variant>
        <vt:lpwstr/>
      </vt:variant>
      <vt:variant>
        <vt:i4>1245307</vt:i4>
      </vt:variant>
      <vt:variant>
        <vt:i4>102</vt:i4>
      </vt:variant>
      <vt:variant>
        <vt:i4>0</vt:i4>
      </vt:variant>
      <vt:variant>
        <vt:i4>5</vt:i4>
      </vt:variant>
      <vt:variant>
        <vt:lpwstr>https://teams.sp.aetna.com/sites/medicareae18/Shared Documents/LIS/18_LIS_PREM_PDP.xlsx?Web=1</vt:lpwstr>
      </vt:variant>
      <vt:variant>
        <vt:lpwstr/>
      </vt:variant>
      <vt:variant>
        <vt:i4>262192</vt:i4>
      </vt:variant>
      <vt:variant>
        <vt:i4>99</vt:i4>
      </vt:variant>
      <vt:variant>
        <vt:i4>0</vt:i4>
      </vt:variant>
      <vt:variant>
        <vt:i4>5</vt:i4>
      </vt:variant>
      <vt:variant>
        <vt:lpwstr/>
      </vt:variant>
      <vt:variant>
        <vt:lpwstr>_top</vt:lpwstr>
      </vt:variant>
      <vt:variant>
        <vt:i4>4587596</vt:i4>
      </vt:variant>
      <vt:variant>
        <vt:i4>96</vt:i4>
      </vt:variant>
      <vt:variant>
        <vt:i4>0</vt:i4>
      </vt:variant>
      <vt:variant>
        <vt:i4>5</vt:i4>
      </vt:variant>
      <vt:variant>
        <vt:lpwstr>https://teams.sp.aetna.com/sites/medicareae18/Shared Documents/LIS/18_LIS_PREM_MAPD_AET.xlsx?Web=1</vt:lpwstr>
      </vt:variant>
      <vt:variant>
        <vt:lpwstr/>
      </vt:variant>
      <vt:variant>
        <vt:i4>1245307</vt:i4>
      </vt:variant>
      <vt:variant>
        <vt:i4>93</vt:i4>
      </vt:variant>
      <vt:variant>
        <vt:i4>0</vt:i4>
      </vt:variant>
      <vt:variant>
        <vt:i4>5</vt:i4>
      </vt:variant>
      <vt:variant>
        <vt:lpwstr>https://teams.sp.aetna.com/sites/medicareae18/Shared Documents/LIS/18_LIS_PREM_PDP.xlsx?Web=1</vt:lpwstr>
      </vt:variant>
      <vt:variant>
        <vt:lpwstr/>
      </vt:variant>
      <vt:variant>
        <vt:i4>262192</vt:i4>
      </vt:variant>
      <vt:variant>
        <vt:i4>90</vt:i4>
      </vt:variant>
      <vt:variant>
        <vt:i4>0</vt:i4>
      </vt:variant>
      <vt:variant>
        <vt:i4>5</vt:i4>
      </vt:variant>
      <vt:variant>
        <vt:lpwstr/>
      </vt:variant>
      <vt:variant>
        <vt:lpwstr>_top</vt:lpwstr>
      </vt:variant>
      <vt:variant>
        <vt:i4>4587596</vt:i4>
      </vt:variant>
      <vt:variant>
        <vt:i4>87</vt:i4>
      </vt:variant>
      <vt:variant>
        <vt:i4>0</vt:i4>
      </vt:variant>
      <vt:variant>
        <vt:i4>5</vt:i4>
      </vt:variant>
      <vt:variant>
        <vt:lpwstr>https://teams.sp.aetna.com/sites/medicareae18/Shared Documents/LIS/18_LIS_PREM_MAPD_AET.xlsx?Web=1</vt:lpwstr>
      </vt:variant>
      <vt:variant>
        <vt:lpwstr/>
      </vt:variant>
      <vt:variant>
        <vt:i4>1245307</vt:i4>
      </vt:variant>
      <vt:variant>
        <vt:i4>84</vt:i4>
      </vt:variant>
      <vt:variant>
        <vt:i4>0</vt:i4>
      </vt:variant>
      <vt:variant>
        <vt:i4>5</vt:i4>
      </vt:variant>
      <vt:variant>
        <vt:lpwstr>https://teams.sp.aetna.com/sites/medicareae18/Shared Documents/LIS/18_LIS_PREM_PDP.xlsx?Web=1</vt:lpwstr>
      </vt:variant>
      <vt:variant>
        <vt:lpwstr/>
      </vt:variant>
      <vt:variant>
        <vt:i4>262192</vt:i4>
      </vt:variant>
      <vt:variant>
        <vt:i4>81</vt:i4>
      </vt:variant>
      <vt:variant>
        <vt:i4>0</vt:i4>
      </vt:variant>
      <vt:variant>
        <vt:i4>5</vt:i4>
      </vt:variant>
      <vt:variant>
        <vt:lpwstr/>
      </vt:variant>
      <vt:variant>
        <vt:lpwstr>_top</vt:lpwstr>
      </vt:variant>
      <vt:variant>
        <vt:i4>3276833</vt:i4>
      </vt:variant>
      <vt:variant>
        <vt:i4>78</vt:i4>
      </vt:variant>
      <vt:variant>
        <vt:i4>0</vt:i4>
      </vt:variant>
      <vt:variant>
        <vt:i4>5</vt:i4>
      </vt:variant>
      <vt:variant>
        <vt:lpwstr>CMS-PRD1-098194</vt:lpwstr>
      </vt:variant>
      <vt:variant>
        <vt:lpwstr/>
      </vt:variant>
      <vt:variant>
        <vt:i4>3735587</vt:i4>
      </vt:variant>
      <vt:variant>
        <vt:i4>75</vt:i4>
      </vt:variant>
      <vt:variant>
        <vt:i4>0</vt:i4>
      </vt:variant>
      <vt:variant>
        <vt:i4>5</vt:i4>
      </vt:variant>
      <vt:variant>
        <vt:lpwstr>CMS-PRD1-092381</vt:lpwstr>
      </vt:variant>
      <vt:variant>
        <vt:lpwstr/>
      </vt:variant>
      <vt:variant>
        <vt:i4>262192</vt:i4>
      </vt:variant>
      <vt:variant>
        <vt:i4>72</vt:i4>
      </vt:variant>
      <vt:variant>
        <vt:i4>0</vt:i4>
      </vt:variant>
      <vt:variant>
        <vt:i4>5</vt:i4>
      </vt:variant>
      <vt:variant>
        <vt:lpwstr/>
      </vt:variant>
      <vt:variant>
        <vt:lpwstr>_top</vt:lpwstr>
      </vt:variant>
      <vt:variant>
        <vt:i4>4063278</vt:i4>
      </vt:variant>
      <vt:variant>
        <vt:i4>69</vt:i4>
      </vt:variant>
      <vt:variant>
        <vt:i4>0</vt:i4>
      </vt:variant>
      <vt:variant>
        <vt:i4>5</vt:i4>
      </vt:variant>
      <vt:variant>
        <vt:lpwstr>CMS-PRD1-105795</vt:lpwstr>
      </vt:variant>
      <vt:variant>
        <vt:lpwstr/>
      </vt:variant>
      <vt:variant>
        <vt:i4>262192</vt:i4>
      </vt:variant>
      <vt:variant>
        <vt:i4>66</vt:i4>
      </vt:variant>
      <vt:variant>
        <vt:i4>0</vt:i4>
      </vt:variant>
      <vt:variant>
        <vt:i4>5</vt:i4>
      </vt:variant>
      <vt:variant>
        <vt:lpwstr/>
      </vt:variant>
      <vt:variant>
        <vt:lpwstr>_top</vt:lpwstr>
      </vt:variant>
      <vt:variant>
        <vt:i4>2621538</vt:i4>
      </vt:variant>
      <vt:variant>
        <vt:i4>63</vt:i4>
      </vt:variant>
      <vt:variant>
        <vt:i4>0</vt:i4>
      </vt:variant>
      <vt:variant>
        <vt:i4>5</vt:i4>
      </vt:variant>
      <vt:variant>
        <vt:lpwstr>http://www.ssa.gov/</vt:lpwstr>
      </vt:variant>
      <vt:variant>
        <vt:lpwstr/>
      </vt:variant>
      <vt:variant>
        <vt:i4>3342382</vt:i4>
      </vt:variant>
      <vt:variant>
        <vt:i4>60</vt:i4>
      </vt:variant>
      <vt:variant>
        <vt:i4>0</vt:i4>
      </vt:variant>
      <vt:variant>
        <vt:i4>5</vt:i4>
      </vt:variant>
      <vt:variant>
        <vt:lpwstr>CMS-PRD1-068189</vt:lpwstr>
      </vt:variant>
      <vt:variant>
        <vt:lpwstr/>
      </vt:variant>
      <vt:variant>
        <vt:i4>262192</vt:i4>
      </vt:variant>
      <vt:variant>
        <vt:i4>57</vt:i4>
      </vt:variant>
      <vt:variant>
        <vt:i4>0</vt:i4>
      </vt:variant>
      <vt:variant>
        <vt:i4>5</vt:i4>
      </vt:variant>
      <vt:variant>
        <vt:lpwstr/>
      </vt:variant>
      <vt:variant>
        <vt:lpwstr>_top</vt:lpwstr>
      </vt:variant>
      <vt:variant>
        <vt:i4>3342382</vt:i4>
      </vt:variant>
      <vt:variant>
        <vt:i4>54</vt:i4>
      </vt:variant>
      <vt:variant>
        <vt:i4>0</vt:i4>
      </vt:variant>
      <vt:variant>
        <vt:i4>5</vt:i4>
      </vt:variant>
      <vt:variant>
        <vt:lpwstr>CMS-PRD1-068189</vt:lpwstr>
      </vt:variant>
      <vt:variant>
        <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4063278</vt:i4>
      </vt:variant>
      <vt:variant>
        <vt:i4>45</vt:i4>
      </vt:variant>
      <vt:variant>
        <vt:i4>0</vt:i4>
      </vt:variant>
      <vt:variant>
        <vt:i4>5</vt:i4>
      </vt:variant>
      <vt:variant>
        <vt:lpwstr>CMS-PRD1-105795</vt:lpwstr>
      </vt:variant>
      <vt:variant>
        <vt:lpwstr/>
      </vt:variant>
      <vt:variant>
        <vt:i4>1245234</vt:i4>
      </vt:variant>
      <vt:variant>
        <vt:i4>41</vt:i4>
      </vt:variant>
      <vt:variant>
        <vt:i4>0</vt:i4>
      </vt:variant>
      <vt:variant>
        <vt:i4>5</vt:i4>
      </vt:variant>
      <vt:variant>
        <vt:lpwstr/>
      </vt:variant>
      <vt:variant>
        <vt:lpwstr>_Toc496806038</vt:lpwstr>
      </vt:variant>
      <vt:variant>
        <vt:i4>1245234</vt:i4>
      </vt:variant>
      <vt:variant>
        <vt:i4>38</vt:i4>
      </vt:variant>
      <vt:variant>
        <vt:i4>0</vt:i4>
      </vt:variant>
      <vt:variant>
        <vt:i4>5</vt:i4>
      </vt:variant>
      <vt:variant>
        <vt:lpwstr/>
      </vt:variant>
      <vt:variant>
        <vt:lpwstr>_Toc496806037</vt:lpwstr>
      </vt:variant>
      <vt:variant>
        <vt:i4>1245234</vt:i4>
      </vt:variant>
      <vt:variant>
        <vt:i4>35</vt:i4>
      </vt:variant>
      <vt:variant>
        <vt:i4>0</vt:i4>
      </vt:variant>
      <vt:variant>
        <vt:i4>5</vt:i4>
      </vt:variant>
      <vt:variant>
        <vt:lpwstr/>
      </vt:variant>
      <vt:variant>
        <vt:lpwstr>_Toc496806036</vt:lpwstr>
      </vt:variant>
      <vt:variant>
        <vt:i4>1245234</vt:i4>
      </vt:variant>
      <vt:variant>
        <vt:i4>32</vt:i4>
      </vt:variant>
      <vt:variant>
        <vt:i4>0</vt:i4>
      </vt:variant>
      <vt:variant>
        <vt:i4>5</vt:i4>
      </vt:variant>
      <vt:variant>
        <vt:lpwstr/>
      </vt:variant>
      <vt:variant>
        <vt:lpwstr>_Toc496806035</vt:lpwstr>
      </vt:variant>
      <vt:variant>
        <vt:i4>1245234</vt:i4>
      </vt:variant>
      <vt:variant>
        <vt:i4>29</vt:i4>
      </vt:variant>
      <vt:variant>
        <vt:i4>0</vt:i4>
      </vt:variant>
      <vt:variant>
        <vt:i4>5</vt:i4>
      </vt:variant>
      <vt:variant>
        <vt:lpwstr/>
      </vt:variant>
      <vt:variant>
        <vt:lpwstr>_Toc496806034</vt:lpwstr>
      </vt:variant>
      <vt:variant>
        <vt:i4>1245234</vt:i4>
      </vt:variant>
      <vt:variant>
        <vt:i4>26</vt:i4>
      </vt:variant>
      <vt:variant>
        <vt:i4>0</vt:i4>
      </vt:variant>
      <vt:variant>
        <vt:i4>5</vt:i4>
      </vt:variant>
      <vt:variant>
        <vt:lpwstr/>
      </vt:variant>
      <vt:variant>
        <vt:lpwstr>_Toc496806033</vt:lpwstr>
      </vt:variant>
      <vt:variant>
        <vt:i4>1245234</vt:i4>
      </vt:variant>
      <vt:variant>
        <vt:i4>23</vt:i4>
      </vt:variant>
      <vt:variant>
        <vt:i4>0</vt:i4>
      </vt:variant>
      <vt:variant>
        <vt:i4>5</vt:i4>
      </vt:variant>
      <vt:variant>
        <vt:lpwstr/>
      </vt:variant>
      <vt:variant>
        <vt:lpwstr>_Toc496806032</vt:lpwstr>
      </vt:variant>
      <vt:variant>
        <vt:i4>1245234</vt:i4>
      </vt:variant>
      <vt:variant>
        <vt:i4>20</vt:i4>
      </vt:variant>
      <vt:variant>
        <vt:i4>0</vt:i4>
      </vt:variant>
      <vt:variant>
        <vt:i4>5</vt:i4>
      </vt:variant>
      <vt:variant>
        <vt:lpwstr/>
      </vt:variant>
      <vt:variant>
        <vt:lpwstr>_Toc496806031</vt:lpwstr>
      </vt:variant>
      <vt:variant>
        <vt:i4>1245234</vt:i4>
      </vt:variant>
      <vt:variant>
        <vt:i4>17</vt:i4>
      </vt:variant>
      <vt:variant>
        <vt:i4>0</vt:i4>
      </vt:variant>
      <vt:variant>
        <vt:i4>5</vt:i4>
      </vt:variant>
      <vt:variant>
        <vt:lpwstr/>
      </vt:variant>
      <vt:variant>
        <vt:lpwstr>_Toc496806030</vt:lpwstr>
      </vt:variant>
      <vt:variant>
        <vt:i4>1179698</vt:i4>
      </vt:variant>
      <vt:variant>
        <vt:i4>14</vt:i4>
      </vt:variant>
      <vt:variant>
        <vt:i4>0</vt:i4>
      </vt:variant>
      <vt:variant>
        <vt:i4>5</vt:i4>
      </vt:variant>
      <vt:variant>
        <vt:lpwstr/>
      </vt:variant>
      <vt:variant>
        <vt:lpwstr>_Toc496806029</vt:lpwstr>
      </vt:variant>
      <vt:variant>
        <vt:i4>1179698</vt:i4>
      </vt:variant>
      <vt:variant>
        <vt:i4>11</vt:i4>
      </vt:variant>
      <vt:variant>
        <vt:i4>0</vt:i4>
      </vt:variant>
      <vt:variant>
        <vt:i4>5</vt:i4>
      </vt:variant>
      <vt:variant>
        <vt:lpwstr/>
      </vt:variant>
      <vt:variant>
        <vt:lpwstr>_Toc496806028</vt:lpwstr>
      </vt:variant>
      <vt:variant>
        <vt:i4>1179698</vt:i4>
      </vt:variant>
      <vt:variant>
        <vt:i4>8</vt:i4>
      </vt:variant>
      <vt:variant>
        <vt:i4>0</vt:i4>
      </vt:variant>
      <vt:variant>
        <vt:i4>5</vt:i4>
      </vt:variant>
      <vt:variant>
        <vt:lpwstr/>
      </vt:variant>
      <vt:variant>
        <vt:lpwstr>_Toc496806027</vt:lpwstr>
      </vt:variant>
      <vt:variant>
        <vt:i4>1179698</vt:i4>
      </vt:variant>
      <vt:variant>
        <vt:i4>5</vt:i4>
      </vt:variant>
      <vt:variant>
        <vt:i4>0</vt:i4>
      </vt:variant>
      <vt:variant>
        <vt:i4>5</vt:i4>
      </vt:variant>
      <vt:variant>
        <vt:lpwstr/>
      </vt:variant>
      <vt:variant>
        <vt:lpwstr>_Toc496806026</vt:lpwstr>
      </vt:variant>
      <vt:variant>
        <vt:i4>1179698</vt:i4>
      </vt:variant>
      <vt:variant>
        <vt:i4>2</vt:i4>
      </vt:variant>
      <vt:variant>
        <vt:i4>0</vt:i4>
      </vt:variant>
      <vt:variant>
        <vt:i4>5</vt:i4>
      </vt:variant>
      <vt:variant>
        <vt:lpwstr/>
      </vt:variant>
      <vt:variant>
        <vt:lpwstr>_Toc496806025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Quintero, Clarise I</cp:lastModifiedBy>
  <cp:revision>3</cp:revision>
  <cp:lastPrinted>2007-01-03T16:56:00Z</cp:lastPrinted>
  <dcterms:created xsi:type="dcterms:W3CDTF">2025-07-31T05:36:00Z</dcterms:created>
  <dcterms:modified xsi:type="dcterms:W3CDTF">2025-07-31T05:36:00Z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2021-09-27T14:33:29Z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b69632a7-f4fa-4e93-9059-464e219876f4</vt:lpwstr>
  </property>
  <property fmtid="{D5CDD505-2E9C-101B-9397-08002B2CF9AE}" pid="8" name="MSIP_Label_67599526-06ca-49cc-9fa9-5307800a949a_ContentBits">
    <vt:lpwstr>0</vt:lpwstr>
  </property>
  <property fmtid="{D5CDD505-2E9C-101B-9397-08002B2CF9AE}" pid="9" name="ContentTypeId">
    <vt:lpwstr>0x0101001A0A3BBE54751744BBECBCBB66053775</vt:lpwstr>
  </property>
</Properties>
</file>