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27493" w14:textId="44DE5056" w:rsidR="00987ABF" w:rsidRDefault="00987ABF">
      <w:pPr>
        <w:spacing w:before="8" w:line="100" w:lineRule="exact"/>
        <w:rPr>
          <w:sz w:val="10"/>
          <w:szCs w:val="10"/>
        </w:rPr>
      </w:pPr>
      <w:bookmarkStart w:id="0" w:name="_top"/>
      <w:bookmarkEnd w:id="0"/>
    </w:p>
    <w:p w14:paraId="735C9BB5" w14:textId="7BD53240" w:rsidR="00987ABF" w:rsidRDefault="00636D71" w:rsidP="00976DEF">
      <w:pPr>
        <w:rPr>
          <w:rFonts w:ascii="Verdana" w:eastAsia="Times New Roman" w:hAnsi="Verdana" w:cs="Times New Roman"/>
          <w:b/>
          <w:bCs/>
          <w:sz w:val="36"/>
          <w:szCs w:val="36"/>
        </w:rPr>
      </w:pPr>
      <w:r w:rsidRPr="00636D71">
        <w:rPr>
          <w:rFonts w:ascii="Verdana" w:eastAsia="Times New Roman" w:hAnsi="Verdana" w:cs="Times New Roman"/>
          <w:b/>
          <w:bCs/>
          <w:sz w:val="36"/>
          <w:szCs w:val="36"/>
        </w:rPr>
        <w:t xml:space="preserve">Tadalafil and Cialis 5 mg </w:t>
      </w:r>
      <w:r w:rsidR="00024CD5" w:rsidRPr="00CE0970">
        <w:rPr>
          <w:rFonts w:ascii="Verdana" w:eastAsia="Times New Roman" w:hAnsi="Verdana" w:cs="Times New Roman"/>
          <w:b/>
          <w:bCs/>
          <w:sz w:val="36"/>
          <w:szCs w:val="36"/>
        </w:rPr>
        <w:t>Changes for 2025</w:t>
      </w:r>
    </w:p>
    <w:p w14:paraId="6572316A" w14:textId="77777777" w:rsidR="00567617" w:rsidRDefault="00567617" w:rsidP="00976DEF">
      <w:pPr>
        <w:rPr>
          <w:rFonts w:ascii="Verdana" w:eastAsia="Times New Roman" w:hAnsi="Verdana" w:cs="Times New Roman"/>
          <w:b/>
          <w:bCs/>
          <w:sz w:val="36"/>
          <w:szCs w:val="36"/>
        </w:rPr>
      </w:pPr>
    </w:p>
    <w:p w14:paraId="4699E2B3" w14:textId="3F0080D4" w:rsidR="00567617" w:rsidRPr="00567617" w:rsidRDefault="00567617" w:rsidP="00567617">
      <w:pPr>
        <w:pStyle w:val="TOC2"/>
        <w:tabs>
          <w:tab w:val="right" w:leader="dot" w:pos="11010"/>
        </w:tabs>
        <w:ind w:left="0"/>
        <w:rPr>
          <w:rFonts w:ascii="Verdana" w:hAnsi="Verdana"/>
          <w:noProof/>
          <w:sz w:val="24"/>
          <w:szCs w:val="24"/>
        </w:rPr>
      </w:pPr>
      <w:r>
        <w:rPr>
          <w:rFonts w:ascii="Verdana" w:eastAsia="Arial" w:hAnsi="Verdana" w:cs="Arial"/>
          <w:b/>
          <w:bCs/>
          <w:sz w:val="36"/>
          <w:szCs w:val="36"/>
        </w:rPr>
        <w:fldChar w:fldCharType="begin"/>
      </w:r>
      <w:r>
        <w:rPr>
          <w:rFonts w:ascii="Verdana" w:eastAsia="Arial" w:hAnsi="Verdana" w:cs="Arial"/>
          <w:b/>
          <w:bCs/>
          <w:sz w:val="36"/>
          <w:szCs w:val="36"/>
        </w:rPr>
        <w:instrText xml:space="preserve"> TOC \o "1-3" \n \h \z \u </w:instrText>
      </w:r>
      <w:r>
        <w:rPr>
          <w:rFonts w:ascii="Verdana" w:eastAsia="Arial" w:hAnsi="Verdana" w:cs="Arial"/>
          <w:b/>
          <w:bCs/>
          <w:sz w:val="36"/>
          <w:szCs w:val="36"/>
        </w:rPr>
        <w:fldChar w:fldCharType="separate"/>
      </w:r>
      <w:hyperlink w:anchor="_Toc185505526" w:history="1">
        <w:r w:rsidRPr="00567617">
          <w:rPr>
            <w:rStyle w:val="Hyperlink"/>
            <w:rFonts w:ascii="Verdana" w:hAnsi="Verdana"/>
            <w:noProof/>
            <w:sz w:val="24"/>
            <w:szCs w:val="24"/>
          </w:rPr>
          <w:t>Background</w:t>
        </w:r>
      </w:hyperlink>
    </w:p>
    <w:p w14:paraId="189AC273" w14:textId="6F796C34" w:rsidR="00567617" w:rsidRPr="00567617" w:rsidRDefault="00567617" w:rsidP="00567617">
      <w:pPr>
        <w:pStyle w:val="TOC2"/>
        <w:tabs>
          <w:tab w:val="right" w:leader="dot" w:pos="11010"/>
        </w:tabs>
        <w:ind w:left="0"/>
        <w:rPr>
          <w:rFonts w:ascii="Verdana" w:hAnsi="Verdana"/>
          <w:noProof/>
          <w:sz w:val="24"/>
          <w:szCs w:val="24"/>
        </w:rPr>
      </w:pPr>
      <w:hyperlink w:anchor="_Toc185505527" w:history="1">
        <w:r w:rsidRPr="00567617">
          <w:rPr>
            <w:rStyle w:val="Hyperlink"/>
            <w:rFonts w:ascii="Verdana" w:hAnsi="Verdana"/>
            <w:noProof/>
            <w:sz w:val="24"/>
            <w:szCs w:val="24"/>
          </w:rPr>
          <w:t>What is Changing</w:t>
        </w:r>
      </w:hyperlink>
    </w:p>
    <w:p w14:paraId="04226BF4" w14:textId="43B5B95D" w:rsidR="00567617" w:rsidRPr="00567617" w:rsidRDefault="00567617" w:rsidP="00567617">
      <w:pPr>
        <w:pStyle w:val="TOC2"/>
        <w:tabs>
          <w:tab w:val="right" w:leader="dot" w:pos="11010"/>
        </w:tabs>
        <w:ind w:left="0"/>
        <w:rPr>
          <w:rFonts w:ascii="Verdana" w:hAnsi="Verdana"/>
          <w:noProof/>
          <w:sz w:val="24"/>
          <w:szCs w:val="24"/>
        </w:rPr>
      </w:pPr>
      <w:hyperlink w:anchor="_Toc185505528" w:history="1">
        <w:r w:rsidRPr="00567617">
          <w:rPr>
            <w:rStyle w:val="Hyperlink"/>
            <w:rFonts w:ascii="Verdana" w:hAnsi="Verdana"/>
            <w:noProof/>
            <w:sz w:val="24"/>
            <w:szCs w:val="24"/>
          </w:rPr>
          <w:t>What to Expect</w:t>
        </w:r>
      </w:hyperlink>
    </w:p>
    <w:p w14:paraId="37942FA1" w14:textId="48972AAF" w:rsidR="00567617" w:rsidRPr="00567617" w:rsidRDefault="00567617" w:rsidP="00567617">
      <w:pPr>
        <w:pStyle w:val="TOC2"/>
        <w:tabs>
          <w:tab w:val="right" w:leader="dot" w:pos="11010"/>
        </w:tabs>
        <w:ind w:left="0"/>
        <w:rPr>
          <w:rFonts w:ascii="Verdana" w:hAnsi="Verdana"/>
          <w:noProof/>
          <w:sz w:val="24"/>
          <w:szCs w:val="24"/>
        </w:rPr>
      </w:pPr>
      <w:hyperlink w:anchor="_Toc185505529" w:history="1">
        <w:r w:rsidRPr="00567617">
          <w:rPr>
            <w:rStyle w:val="Hyperlink"/>
            <w:rFonts w:ascii="Verdana" w:hAnsi="Verdana"/>
            <w:noProof/>
            <w:sz w:val="24"/>
            <w:szCs w:val="24"/>
          </w:rPr>
          <w:t>Action Needed</w:t>
        </w:r>
      </w:hyperlink>
    </w:p>
    <w:p w14:paraId="46DBD46F" w14:textId="4AF411F9" w:rsidR="00567617" w:rsidRPr="00CE0970" w:rsidRDefault="00567617" w:rsidP="00976DEF">
      <w:pPr>
        <w:rPr>
          <w:rFonts w:ascii="Verdana" w:eastAsia="Arial" w:hAnsi="Verdana" w:cs="Arial"/>
          <w:b/>
          <w:bCs/>
          <w:sz w:val="36"/>
          <w:szCs w:val="36"/>
        </w:rPr>
      </w:pPr>
      <w:r>
        <w:rPr>
          <w:rFonts w:ascii="Verdana" w:eastAsia="Arial" w:hAnsi="Verdana" w:cs="Arial"/>
          <w:b/>
          <w:bCs/>
          <w:sz w:val="36"/>
          <w:szCs w:val="36"/>
        </w:rPr>
        <w:fldChar w:fldCharType="end"/>
      </w:r>
    </w:p>
    <w:p w14:paraId="2888E02F" w14:textId="49D17923" w:rsidR="00CE0970" w:rsidRPr="00CE0970" w:rsidRDefault="00CE0970" w:rsidP="002C08CF">
      <w:pPr>
        <w:widowControl/>
        <w:spacing w:before="100" w:beforeAutospacing="1" w:after="100" w:afterAutospacing="1"/>
        <w:rPr>
          <w:rFonts w:ascii="Verdana" w:eastAsia="Times New Roman" w:hAnsi="Verdana" w:cs="Segoe UI"/>
          <w:b/>
          <w:bCs/>
          <w:sz w:val="24"/>
          <w:szCs w:val="24"/>
        </w:rPr>
      </w:pPr>
      <w:r w:rsidRPr="00CE0970">
        <w:rPr>
          <w:rFonts w:ascii="Verdana" w:eastAsia="Times New Roman" w:hAnsi="Verdana" w:cs="Segoe UI"/>
          <w:b/>
          <w:bCs/>
          <w:sz w:val="24"/>
          <w:szCs w:val="24"/>
        </w:rPr>
        <w:t xml:space="preserve">Description: </w:t>
      </w:r>
      <w:r w:rsidRPr="00CE0970">
        <w:rPr>
          <w:rFonts w:ascii="Verdana" w:eastAsia="Times New Roman" w:hAnsi="Verdana" w:cs="Segoe UI"/>
          <w:sz w:val="24"/>
          <w:szCs w:val="24"/>
        </w:rPr>
        <w:t xml:space="preserve">Beginning </w:t>
      </w:r>
      <w:r w:rsidRPr="00CE0970">
        <w:rPr>
          <w:rFonts w:ascii="Verdana" w:eastAsia="Times New Roman" w:hAnsi="Verdana" w:cs="Segoe UI"/>
          <w:b/>
          <w:bCs/>
          <w:sz w:val="24"/>
          <w:szCs w:val="24"/>
        </w:rPr>
        <w:t>January 1, 2025,</w:t>
      </w:r>
      <w:r w:rsidRPr="00CE0970">
        <w:rPr>
          <w:rFonts w:ascii="Verdana" w:eastAsia="Times New Roman" w:hAnsi="Verdana" w:cs="Segoe UI"/>
          <w:sz w:val="24"/>
          <w:szCs w:val="24"/>
        </w:rPr>
        <w:t xml:space="preserve"> Tadalafil (Cialis) </w:t>
      </w:r>
      <w:r w:rsidR="009C6421" w:rsidRPr="009C6421">
        <w:rPr>
          <w:rFonts w:ascii="Verdana" w:eastAsia="Times New Roman" w:hAnsi="Verdana" w:cs="Segoe UI"/>
          <w:sz w:val="24"/>
          <w:szCs w:val="24"/>
        </w:rPr>
        <w:t xml:space="preserve">5mg strength </w:t>
      </w:r>
      <w:r w:rsidRPr="00CE0970">
        <w:rPr>
          <w:rFonts w:ascii="Verdana" w:eastAsia="Times New Roman" w:hAnsi="Verdana" w:cs="Segoe UI"/>
          <w:sz w:val="24"/>
          <w:szCs w:val="24"/>
        </w:rPr>
        <w:t>is excluded from Part D coverage for Med</w:t>
      </w:r>
      <w:r w:rsidR="00636D71">
        <w:rPr>
          <w:rFonts w:ascii="Verdana" w:eastAsia="Times New Roman" w:hAnsi="Verdana" w:cs="Segoe UI"/>
          <w:sz w:val="24"/>
          <w:szCs w:val="24"/>
        </w:rPr>
        <w:t>icare</w:t>
      </w:r>
      <w:r w:rsidRPr="00CE0970">
        <w:rPr>
          <w:rFonts w:ascii="Verdana" w:eastAsia="Times New Roman" w:hAnsi="Verdana" w:cs="Segoe UI"/>
          <w:sz w:val="24"/>
          <w:szCs w:val="24"/>
        </w:rPr>
        <w:t xml:space="preserve"> D, when prescribed for erectile disfunction (ED) or for any off-label use.</w:t>
      </w:r>
      <w:r w:rsidRPr="00CE0970">
        <w:rPr>
          <w:rFonts w:ascii="Verdana" w:eastAsia="Times New Roman" w:hAnsi="Verdana" w:cs="Segoe UI"/>
          <w:b/>
          <w:bCs/>
          <w:sz w:val="24"/>
          <w:szCs w:val="24"/>
        </w:rPr>
        <w:t xml:space="preserve"> </w:t>
      </w:r>
      <w:r w:rsidR="00232637" w:rsidRPr="00EE5D15">
        <w:rPr>
          <w:rFonts w:ascii="Verdana" w:eastAsia="Times New Roman" w:hAnsi="Verdana" w:cs="Segoe UI"/>
          <w:sz w:val="24"/>
          <w:szCs w:val="24"/>
        </w:rPr>
        <w:t xml:space="preserve">Tadalafil 5mg strength </w:t>
      </w:r>
      <w:r w:rsidR="00232637" w:rsidRPr="00232637">
        <w:rPr>
          <w:rFonts w:ascii="Verdana" w:eastAsia="Times New Roman" w:hAnsi="Verdana" w:cs="Segoe UI"/>
          <w:b/>
          <w:bCs/>
          <w:sz w:val="24"/>
          <w:szCs w:val="24"/>
        </w:rPr>
        <w:t>is included</w:t>
      </w:r>
      <w:r w:rsidR="00232637" w:rsidRPr="00EE5D15">
        <w:rPr>
          <w:rFonts w:ascii="Verdana" w:eastAsia="Times New Roman" w:hAnsi="Verdana" w:cs="Segoe UI"/>
          <w:sz w:val="24"/>
          <w:szCs w:val="24"/>
        </w:rPr>
        <w:t xml:space="preserve"> in Part D coverage when prescribed for Benign Prostatic Hyperplasia </w:t>
      </w:r>
      <w:r w:rsidR="00232637" w:rsidRPr="00232637">
        <w:rPr>
          <w:rFonts w:ascii="Verdana" w:eastAsia="Times New Roman" w:hAnsi="Verdana" w:cs="Segoe UI"/>
          <w:sz w:val="24"/>
          <w:szCs w:val="24"/>
        </w:rPr>
        <w:t>(BPH</w:t>
      </w:r>
      <w:r w:rsidR="00232637" w:rsidRPr="00EE5D15">
        <w:rPr>
          <w:rFonts w:ascii="Verdana" w:eastAsia="Times New Roman" w:hAnsi="Verdana" w:cs="Segoe UI"/>
          <w:sz w:val="24"/>
          <w:szCs w:val="24"/>
        </w:rPr>
        <w:t>)</w:t>
      </w:r>
      <w:r w:rsidR="00232637">
        <w:rPr>
          <w:rFonts w:ascii="Verdana" w:eastAsia="Times New Roman" w:hAnsi="Verdana" w:cs="Segoe UI"/>
          <w:sz w:val="24"/>
          <w:szCs w:val="24"/>
        </w:rPr>
        <w:t>,</w:t>
      </w:r>
      <w:r w:rsidR="00232637" w:rsidRPr="00EE5D15">
        <w:rPr>
          <w:rFonts w:ascii="Verdana" w:eastAsia="Times New Roman" w:hAnsi="Verdana" w:cs="Segoe UI"/>
          <w:sz w:val="24"/>
          <w:szCs w:val="24"/>
        </w:rPr>
        <w:t xml:space="preserve"> and enhanced coverage for erectile dysfunction (</w:t>
      </w:r>
      <w:r w:rsidR="00232637" w:rsidRPr="00232637">
        <w:rPr>
          <w:rFonts w:ascii="Verdana" w:eastAsia="Times New Roman" w:hAnsi="Verdana" w:cs="Segoe UI"/>
          <w:sz w:val="24"/>
          <w:szCs w:val="24"/>
        </w:rPr>
        <w:t>ED)</w:t>
      </w:r>
      <w:r w:rsidR="00232637" w:rsidRPr="00EE5D15">
        <w:rPr>
          <w:rFonts w:ascii="Verdana" w:eastAsia="Times New Roman" w:hAnsi="Verdana" w:cs="Segoe UI"/>
          <w:sz w:val="24"/>
          <w:szCs w:val="24"/>
        </w:rPr>
        <w:t xml:space="preserve"> for any off-label use will continue.</w:t>
      </w:r>
      <w:r w:rsidRPr="00CE0970">
        <w:rPr>
          <w:rFonts w:ascii="Verdana" w:eastAsia="Times New Roman" w:hAnsi="Verdana" w:cs="Segoe UI"/>
          <w:b/>
          <w:bCs/>
          <w:sz w:val="24"/>
          <w:szCs w:val="24"/>
        </w:rPr>
        <w:t xml:space="preserve"> </w:t>
      </w:r>
    </w:p>
    <w:p w14:paraId="41D3C950" w14:textId="37EEE51A" w:rsidR="001E6E88" w:rsidRDefault="001E6E88" w:rsidP="002C08CF">
      <w:pPr>
        <w:widowControl/>
        <w:spacing w:before="100" w:beforeAutospacing="1" w:after="100" w:afterAutospacing="1"/>
        <w:rPr>
          <w:rFonts w:ascii="Verdana" w:eastAsia="Times New Roman" w:hAnsi="Verdana" w:cs="Segoe UI"/>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67617" w:rsidRPr="0058134F" w14:paraId="460AAFCB" w14:textId="77777777" w:rsidTr="00567617">
        <w:tc>
          <w:tcPr>
            <w:tcW w:w="5000" w:type="pct"/>
            <w:shd w:val="clear" w:color="auto" w:fill="C0C0C0"/>
          </w:tcPr>
          <w:p w14:paraId="2A6028D1" w14:textId="62D7D682" w:rsidR="00567617" w:rsidRPr="00567617" w:rsidRDefault="00567617" w:rsidP="00F8692B">
            <w:pPr>
              <w:pStyle w:val="Heading2"/>
              <w:tabs>
                <w:tab w:val="left" w:pos="11985"/>
              </w:tabs>
              <w:spacing w:before="120" w:after="120"/>
              <w:rPr>
                <w:rFonts w:ascii="Verdana" w:hAnsi="Verdana"/>
                <w:b/>
                <w:bCs/>
                <w:i/>
                <w:iCs/>
                <w:sz w:val="28"/>
                <w:szCs w:val="28"/>
              </w:rPr>
            </w:pPr>
            <w:bookmarkStart w:id="1" w:name="_Toc185505526"/>
            <w:r w:rsidRPr="00567617">
              <w:rPr>
                <w:rFonts w:ascii="Verdana" w:hAnsi="Verdana"/>
                <w:b/>
                <w:bCs/>
                <w:sz w:val="28"/>
                <w:szCs w:val="28"/>
              </w:rPr>
              <w:t>Background</w:t>
            </w:r>
            <w:bookmarkEnd w:id="1"/>
          </w:p>
        </w:tc>
      </w:tr>
    </w:tbl>
    <w:p w14:paraId="0FBB3947" w14:textId="04EF1CC7" w:rsidR="001B6A3F" w:rsidRPr="00790AC6" w:rsidRDefault="001B6A3F" w:rsidP="00790AC6">
      <w:pPr>
        <w:pStyle w:val="ListParagraph"/>
        <w:widowControl/>
        <w:numPr>
          <w:ilvl w:val="0"/>
          <w:numId w:val="18"/>
        </w:numPr>
        <w:spacing w:before="120" w:after="120"/>
        <w:contextualSpacing/>
        <w:rPr>
          <w:rFonts w:ascii="Verdana" w:hAnsi="Verdana"/>
          <w:sz w:val="24"/>
          <w:szCs w:val="24"/>
        </w:rPr>
      </w:pPr>
      <w:r w:rsidRPr="00CE0970">
        <w:rPr>
          <w:rFonts w:ascii="Verdana" w:hAnsi="Verdana"/>
          <w:sz w:val="24"/>
          <w:szCs w:val="24"/>
        </w:rPr>
        <w:t xml:space="preserve">Historically, </w:t>
      </w:r>
      <w:r w:rsidR="009C6421">
        <w:rPr>
          <w:rFonts w:ascii="Verdana" w:hAnsi="Verdana"/>
          <w:sz w:val="24"/>
          <w:szCs w:val="24"/>
        </w:rPr>
        <w:t xml:space="preserve">this drug </w:t>
      </w:r>
      <w:r w:rsidRPr="00CE0970">
        <w:rPr>
          <w:rFonts w:ascii="Verdana" w:hAnsi="Verdana"/>
          <w:sz w:val="24"/>
          <w:szCs w:val="24"/>
        </w:rPr>
        <w:t>has been maintained with non-Medicare Part D status to ensure only claims for the diagnosis of benign prostatic hyperplasia (BPH) pay under Medicare Part D.</w:t>
      </w:r>
    </w:p>
    <w:p w14:paraId="715A9226" w14:textId="73BAD1D1" w:rsidR="00CE0970" w:rsidRPr="00790AC6" w:rsidRDefault="001B6A3F" w:rsidP="00790AC6">
      <w:pPr>
        <w:pStyle w:val="ListParagraph"/>
        <w:widowControl/>
        <w:numPr>
          <w:ilvl w:val="1"/>
          <w:numId w:val="18"/>
        </w:numPr>
        <w:spacing w:before="120" w:after="120"/>
        <w:contextualSpacing/>
        <w:rPr>
          <w:rFonts w:ascii="Verdana" w:hAnsi="Verdana"/>
          <w:sz w:val="24"/>
          <w:szCs w:val="24"/>
        </w:rPr>
      </w:pPr>
      <w:r w:rsidRPr="00CE0970">
        <w:rPr>
          <w:rFonts w:ascii="Verdana" w:hAnsi="Verdana"/>
          <w:sz w:val="24"/>
          <w:szCs w:val="24"/>
        </w:rPr>
        <w:t>A POS message has been in place advising pharmacies to contact the plan if the diagnosis is BPH.</w:t>
      </w:r>
    </w:p>
    <w:p w14:paraId="5B40D3BD" w14:textId="77777777" w:rsidR="00790AC6" w:rsidRDefault="001B6A3F" w:rsidP="00790AC6">
      <w:pPr>
        <w:pStyle w:val="ListParagraph"/>
        <w:widowControl/>
        <w:numPr>
          <w:ilvl w:val="1"/>
          <w:numId w:val="18"/>
        </w:numPr>
        <w:spacing w:before="120" w:after="120"/>
        <w:contextualSpacing/>
        <w:rPr>
          <w:rFonts w:ascii="Verdana" w:hAnsi="Verdana"/>
          <w:sz w:val="24"/>
          <w:szCs w:val="24"/>
        </w:rPr>
      </w:pPr>
      <w:r w:rsidRPr="00CE0970">
        <w:rPr>
          <w:rFonts w:ascii="Verdana" w:hAnsi="Verdana"/>
          <w:sz w:val="24"/>
          <w:szCs w:val="24"/>
        </w:rPr>
        <w:t xml:space="preserve">Coverage for BPH has required a member level override to allow payment under Part D. </w:t>
      </w:r>
    </w:p>
    <w:p w14:paraId="550F2A56" w14:textId="10BD9A63" w:rsidR="00CE0970" w:rsidRDefault="001B6A3F" w:rsidP="00CE0970">
      <w:pPr>
        <w:pStyle w:val="ListParagraph"/>
        <w:widowControl/>
        <w:numPr>
          <w:ilvl w:val="1"/>
          <w:numId w:val="18"/>
        </w:numPr>
        <w:spacing w:before="120" w:after="120"/>
        <w:contextualSpacing/>
        <w:rPr>
          <w:rFonts w:ascii="Verdana" w:hAnsi="Verdana"/>
          <w:sz w:val="24"/>
          <w:szCs w:val="24"/>
        </w:rPr>
      </w:pPr>
      <w:r w:rsidRPr="00CE0970">
        <w:rPr>
          <w:rFonts w:ascii="Verdana" w:hAnsi="Verdana"/>
          <w:sz w:val="24"/>
          <w:szCs w:val="24"/>
        </w:rPr>
        <w:t xml:space="preserve">Upon confirmation of diagnosis, an override with an MC reason code has allowed the claim to process as a Part D drug. </w:t>
      </w:r>
    </w:p>
    <w:p w14:paraId="0F779610" w14:textId="77777777" w:rsidR="00790AC6" w:rsidRPr="00790AC6" w:rsidRDefault="00790AC6" w:rsidP="00790AC6">
      <w:pPr>
        <w:pStyle w:val="ListParagraph"/>
        <w:widowControl/>
        <w:spacing w:before="120" w:after="120"/>
        <w:ind w:left="1440"/>
        <w:contextualSpacing/>
        <w:rPr>
          <w:rFonts w:ascii="Verdana" w:hAnsi="Verdana"/>
          <w:sz w:val="24"/>
          <w:szCs w:val="24"/>
        </w:rPr>
      </w:pPr>
    </w:p>
    <w:p w14:paraId="0368F877" w14:textId="77777777" w:rsidR="001B6A3F" w:rsidRDefault="001B6A3F" w:rsidP="001B6A3F">
      <w:pPr>
        <w:pStyle w:val="ListParagraph"/>
        <w:widowControl/>
        <w:numPr>
          <w:ilvl w:val="0"/>
          <w:numId w:val="18"/>
        </w:numPr>
        <w:spacing w:before="120" w:after="120"/>
        <w:contextualSpacing/>
        <w:rPr>
          <w:rFonts w:ascii="Verdana" w:hAnsi="Verdana"/>
          <w:sz w:val="24"/>
          <w:szCs w:val="24"/>
        </w:rPr>
      </w:pPr>
      <w:r w:rsidRPr="00CE0970">
        <w:rPr>
          <w:rFonts w:ascii="Verdana" w:hAnsi="Verdana"/>
          <w:sz w:val="24"/>
          <w:szCs w:val="24"/>
        </w:rPr>
        <w:t xml:space="preserve">Some plans have opted to provide supplemental coverage of this drug for erectile dysfunction (Enhanced Alternative or EGWP plans only). </w:t>
      </w:r>
    </w:p>
    <w:p w14:paraId="0F0D44BC" w14:textId="77777777" w:rsidR="00EE5D15" w:rsidRDefault="00EE5D15" w:rsidP="00567617">
      <w:pPr>
        <w:pStyle w:val="ListParagraph"/>
        <w:widowControl/>
        <w:spacing w:before="120" w:after="120"/>
        <w:ind w:left="720"/>
        <w:jc w:val="right"/>
      </w:pPr>
    </w:p>
    <w:p w14:paraId="15F44659" w14:textId="702F6968" w:rsidR="00567617" w:rsidRPr="00567617" w:rsidRDefault="00567617" w:rsidP="00567617">
      <w:pPr>
        <w:pStyle w:val="ListParagraph"/>
        <w:widowControl/>
        <w:spacing w:before="120" w:after="120"/>
        <w:ind w:left="720"/>
        <w:jc w:val="right"/>
        <w:rPr>
          <w:rFonts w:ascii="Times New Roman" w:eastAsia="Times New Roman" w:hAnsi="Times New Roman" w:cs="Times New Roman"/>
          <w:color w:val="000000"/>
          <w:sz w:val="27"/>
          <w:szCs w:val="27"/>
        </w:rPr>
      </w:pPr>
      <w:hyperlink w:anchor="_top" w:history="1">
        <w:r w:rsidRPr="00567617">
          <w:rPr>
            <w:rFonts w:ascii="Verdana" w:eastAsia="Times New Roman" w:hAnsi="Verdana" w:cs="Times New Roman"/>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67617" w:rsidRPr="0058134F" w14:paraId="00F7D089" w14:textId="77777777" w:rsidTr="00567617">
        <w:tc>
          <w:tcPr>
            <w:tcW w:w="5000" w:type="pct"/>
            <w:shd w:val="clear" w:color="auto" w:fill="C0C0C0"/>
          </w:tcPr>
          <w:p w14:paraId="6421D511" w14:textId="79137C62" w:rsidR="00567617" w:rsidRPr="00F8692B" w:rsidRDefault="00567617" w:rsidP="00F8692B">
            <w:pPr>
              <w:pStyle w:val="Heading2"/>
              <w:tabs>
                <w:tab w:val="left" w:pos="11985"/>
              </w:tabs>
              <w:spacing w:before="120" w:after="120"/>
              <w:rPr>
                <w:rFonts w:ascii="Verdana" w:hAnsi="Verdana"/>
                <w:b/>
                <w:bCs/>
                <w:i/>
                <w:iCs/>
                <w:sz w:val="28"/>
                <w:szCs w:val="28"/>
              </w:rPr>
            </w:pPr>
            <w:bookmarkStart w:id="2" w:name="_Toc185505527"/>
            <w:r>
              <w:rPr>
                <w:rFonts w:ascii="Verdana" w:hAnsi="Verdana"/>
                <w:b/>
                <w:bCs/>
                <w:sz w:val="24"/>
                <w:szCs w:val="24"/>
              </w:rPr>
              <w:t>What is Changing</w:t>
            </w:r>
            <w:bookmarkEnd w:id="2"/>
          </w:p>
        </w:tc>
      </w:tr>
    </w:tbl>
    <w:p w14:paraId="3D2902D6" w14:textId="77777777" w:rsidR="00D27314" w:rsidRPr="00CE0970" w:rsidRDefault="00D27314" w:rsidP="001B6A3F">
      <w:pPr>
        <w:rPr>
          <w:rFonts w:ascii="Verdana" w:hAnsi="Verdana"/>
          <w:sz w:val="24"/>
          <w:szCs w:val="24"/>
        </w:rPr>
      </w:pPr>
    </w:p>
    <w:p w14:paraId="2D6268C9" w14:textId="1F8A2A53" w:rsidR="009D43C2" w:rsidRDefault="00CA039B" w:rsidP="00CA039B">
      <w:pPr>
        <w:pStyle w:val="ListParagraph"/>
        <w:widowControl/>
        <w:numPr>
          <w:ilvl w:val="0"/>
          <w:numId w:val="19"/>
        </w:numPr>
        <w:spacing w:before="120" w:after="120"/>
        <w:contextualSpacing/>
        <w:rPr>
          <w:rFonts w:ascii="Verdana" w:hAnsi="Verdana"/>
          <w:sz w:val="24"/>
          <w:szCs w:val="24"/>
        </w:rPr>
      </w:pPr>
      <w:r w:rsidRPr="00CE0970">
        <w:rPr>
          <w:rFonts w:ascii="Verdana" w:hAnsi="Verdana"/>
          <w:sz w:val="24"/>
          <w:szCs w:val="24"/>
        </w:rPr>
        <w:t xml:space="preserve">Effective </w:t>
      </w:r>
      <w:r w:rsidRPr="00CE0970">
        <w:rPr>
          <w:rFonts w:ascii="Verdana" w:hAnsi="Verdana"/>
          <w:b/>
          <w:bCs/>
          <w:sz w:val="24"/>
          <w:szCs w:val="24"/>
        </w:rPr>
        <w:t>1/1/2025</w:t>
      </w:r>
      <w:r w:rsidRPr="00CE0970">
        <w:rPr>
          <w:rFonts w:ascii="Verdana" w:hAnsi="Verdana"/>
          <w:sz w:val="24"/>
          <w:szCs w:val="24"/>
        </w:rPr>
        <w:t xml:space="preserve">, the Part D indicator for NDCs of </w:t>
      </w:r>
      <w:r w:rsidRPr="00567617">
        <w:rPr>
          <w:rFonts w:ascii="Verdana" w:hAnsi="Verdana"/>
          <w:b/>
          <w:bCs/>
          <w:sz w:val="24"/>
          <w:szCs w:val="24"/>
        </w:rPr>
        <w:t>Tadalafil and Cialis 5 mg tablets (GPI 40304080000305)</w:t>
      </w:r>
      <w:r w:rsidRPr="009D43C2">
        <w:rPr>
          <w:rFonts w:ascii="Verdana" w:hAnsi="Verdana"/>
          <w:sz w:val="24"/>
          <w:szCs w:val="24"/>
        </w:rPr>
        <w:t xml:space="preserve"> </w:t>
      </w:r>
      <w:r w:rsidRPr="00CE0970">
        <w:rPr>
          <w:rFonts w:ascii="Verdana" w:hAnsi="Verdana"/>
          <w:sz w:val="24"/>
          <w:szCs w:val="24"/>
        </w:rPr>
        <w:t>will be updated from</w:t>
      </w:r>
      <w:r w:rsidRPr="00CE0970">
        <w:rPr>
          <w:rFonts w:ascii="Verdana" w:hAnsi="Verdana"/>
          <w:b/>
          <w:bCs/>
          <w:sz w:val="24"/>
          <w:szCs w:val="24"/>
        </w:rPr>
        <w:t xml:space="preserve"> N </w:t>
      </w:r>
      <w:r w:rsidRPr="00CE0970">
        <w:rPr>
          <w:rFonts w:ascii="Verdana" w:hAnsi="Verdana"/>
          <w:sz w:val="24"/>
          <w:szCs w:val="24"/>
        </w:rPr>
        <w:t>to</w:t>
      </w:r>
      <w:r w:rsidRPr="00CE0970">
        <w:rPr>
          <w:rFonts w:ascii="Verdana" w:hAnsi="Verdana"/>
          <w:b/>
          <w:bCs/>
          <w:sz w:val="24"/>
          <w:szCs w:val="24"/>
        </w:rPr>
        <w:t xml:space="preserve"> Y</w:t>
      </w:r>
      <w:r w:rsidRPr="00CE0970">
        <w:rPr>
          <w:rFonts w:ascii="Verdana" w:hAnsi="Verdana"/>
          <w:sz w:val="24"/>
          <w:szCs w:val="24"/>
        </w:rPr>
        <w:t xml:space="preserve"> due to </w:t>
      </w:r>
      <w:r w:rsidR="009D43C2">
        <w:rPr>
          <w:rFonts w:ascii="Verdana" w:hAnsi="Verdana"/>
          <w:sz w:val="24"/>
          <w:szCs w:val="24"/>
        </w:rPr>
        <w:t xml:space="preserve">its </w:t>
      </w:r>
      <w:r w:rsidRPr="00CE0970">
        <w:rPr>
          <w:rFonts w:ascii="Verdana" w:hAnsi="Verdana"/>
          <w:sz w:val="24"/>
          <w:szCs w:val="24"/>
        </w:rPr>
        <w:t>addition to CVS Caremark Part D Services template formularies</w:t>
      </w:r>
      <w:r w:rsidR="002A6B7B">
        <w:rPr>
          <w:rFonts w:ascii="Verdana" w:hAnsi="Verdana"/>
          <w:sz w:val="24"/>
          <w:szCs w:val="24"/>
        </w:rPr>
        <w:t>.</w:t>
      </w:r>
    </w:p>
    <w:p w14:paraId="765D2C12" w14:textId="738E1902" w:rsidR="00CA039B" w:rsidRDefault="00CA039B" w:rsidP="009D43C2">
      <w:pPr>
        <w:pStyle w:val="ListParagraph"/>
        <w:widowControl/>
        <w:numPr>
          <w:ilvl w:val="1"/>
          <w:numId w:val="19"/>
        </w:numPr>
        <w:spacing w:before="120" w:after="120"/>
        <w:contextualSpacing/>
        <w:rPr>
          <w:rFonts w:ascii="Verdana" w:hAnsi="Verdana"/>
          <w:sz w:val="24"/>
          <w:szCs w:val="24"/>
        </w:rPr>
      </w:pPr>
      <w:r w:rsidRPr="00CE0970">
        <w:rPr>
          <w:rFonts w:ascii="Verdana" w:hAnsi="Verdana"/>
          <w:sz w:val="24"/>
          <w:szCs w:val="24"/>
        </w:rPr>
        <w:t>A type 1 prior authorization and a quantity limit of 30 tablets per 30 days (daily dose of 1) will also be applied.</w:t>
      </w:r>
    </w:p>
    <w:p w14:paraId="5E6A4454" w14:textId="77777777" w:rsidR="00CE0970" w:rsidRPr="00CE0970" w:rsidRDefault="00CE0970" w:rsidP="00CE0970">
      <w:pPr>
        <w:pStyle w:val="ListParagraph"/>
        <w:widowControl/>
        <w:spacing w:before="120" w:after="120"/>
        <w:ind w:left="720"/>
        <w:contextualSpacing/>
        <w:rPr>
          <w:rFonts w:ascii="Verdana" w:hAnsi="Verdana"/>
          <w:sz w:val="24"/>
          <w:szCs w:val="24"/>
        </w:rPr>
      </w:pPr>
    </w:p>
    <w:p w14:paraId="6F70AAB1" w14:textId="77777777" w:rsidR="00CA039B" w:rsidRDefault="00CA039B" w:rsidP="00CA039B">
      <w:pPr>
        <w:pStyle w:val="ListParagraph"/>
        <w:widowControl/>
        <w:numPr>
          <w:ilvl w:val="0"/>
          <w:numId w:val="19"/>
        </w:numPr>
        <w:spacing w:before="120" w:after="120"/>
        <w:contextualSpacing/>
        <w:rPr>
          <w:rFonts w:ascii="Verdana" w:hAnsi="Verdana"/>
          <w:sz w:val="24"/>
          <w:szCs w:val="24"/>
        </w:rPr>
      </w:pPr>
      <w:r w:rsidRPr="00CE0970">
        <w:rPr>
          <w:rFonts w:ascii="Verdana" w:hAnsi="Verdana"/>
          <w:sz w:val="24"/>
          <w:szCs w:val="24"/>
        </w:rPr>
        <w:t xml:space="preserve">The Part D indicator for all other strengths of tadalafil including 2.5 mg, 10 mg, and 20 mg will remain as </w:t>
      </w:r>
      <w:r w:rsidRPr="00CE0970">
        <w:rPr>
          <w:rFonts w:ascii="Verdana" w:hAnsi="Verdana"/>
          <w:b/>
          <w:bCs/>
          <w:sz w:val="24"/>
          <w:szCs w:val="24"/>
        </w:rPr>
        <w:t>Part D = N</w:t>
      </w:r>
      <w:r w:rsidRPr="00CE0970">
        <w:rPr>
          <w:rFonts w:ascii="Verdana" w:hAnsi="Verdana"/>
          <w:sz w:val="24"/>
          <w:szCs w:val="24"/>
        </w:rPr>
        <w:t>.</w:t>
      </w:r>
    </w:p>
    <w:p w14:paraId="0E19AC06" w14:textId="77777777" w:rsidR="00CE0970" w:rsidRPr="00CE0970" w:rsidRDefault="00CE0970" w:rsidP="00CE0970">
      <w:pPr>
        <w:widowControl/>
        <w:spacing w:before="120" w:after="120"/>
        <w:contextualSpacing/>
        <w:rPr>
          <w:rFonts w:ascii="Verdana" w:hAnsi="Verdana"/>
          <w:sz w:val="24"/>
          <w:szCs w:val="24"/>
        </w:rPr>
      </w:pPr>
    </w:p>
    <w:p w14:paraId="099F1F62" w14:textId="61369961" w:rsidR="00CE0970" w:rsidRDefault="00CA039B" w:rsidP="00CE0970">
      <w:pPr>
        <w:pStyle w:val="ListParagraph"/>
        <w:widowControl/>
        <w:numPr>
          <w:ilvl w:val="0"/>
          <w:numId w:val="19"/>
        </w:numPr>
        <w:spacing w:before="120" w:after="120"/>
        <w:contextualSpacing/>
        <w:rPr>
          <w:rFonts w:ascii="Verdana" w:hAnsi="Verdana"/>
          <w:sz w:val="24"/>
          <w:szCs w:val="24"/>
        </w:rPr>
      </w:pPr>
      <w:r w:rsidRPr="00567617">
        <w:rPr>
          <w:rFonts w:ascii="Verdana" w:hAnsi="Verdana"/>
          <w:b/>
          <w:bCs/>
          <w:sz w:val="24"/>
          <w:szCs w:val="24"/>
        </w:rPr>
        <w:t>Tadalafil and Cialis 5 mg tablets (GPI 40304080000305)</w:t>
      </w:r>
      <w:r w:rsidRPr="00CE0970">
        <w:rPr>
          <w:rFonts w:ascii="Verdana" w:hAnsi="Verdana"/>
          <w:sz w:val="24"/>
          <w:szCs w:val="24"/>
        </w:rPr>
        <w:t xml:space="preserve"> will be added to the </w:t>
      </w:r>
      <w:r w:rsidRPr="002A6B7B">
        <w:rPr>
          <w:rFonts w:ascii="Verdana" w:hAnsi="Verdana"/>
          <w:sz w:val="24"/>
          <w:szCs w:val="24"/>
        </w:rPr>
        <w:t>Diagnosis Required List</w:t>
      </w:r>
      <w:r w:rsidRPr="00CE0970">
        <w:rPr>
          <w:rFonts w:ascii="Verdana" w:hAnsi="Verdana"/>
          <w:sz w:val="24"/>
          <w:szCs w:val="24"/>
        </w:rPr>
        <w:t xml:space="preserve"> effective </w:t>
      </w:r>
      <w:r w:rsidR="004519D2" w:rsidRPr="00CE0970">
        <w:rPr>
          <w:rFonts w:ascii="Verdana" w:hAnsi="Verdana"/>
          <w:b/>
          <w:bCs/>
          <w:sz w:val="24"/>
          <w:szCs w:val="24"/>
        </w:rPr>
        <w:t>1/1/2025</w:t>
      </w:r>
      <w:r w:rsidR="004519D2" w:rsidRPr="00CE0970">
        <w:rPr>
          <w:rFonts w:ascii="Verdana" w:hAnsi="Verdana"/>
          <w:sz w:val="24"/>
          <w:szCs w:val="24"/>
        </w:rPr>
        <w:t xml:space="preserve"> but</w:t>
      </w:r>
      <w:r w:rsidRPr="00CE0970">
        <w:rPr>
          <w:rFonts w:ascii="Verdana" w:hAnsi="Verdana"/>
          <w:sz w:val="24"/>
          <w:szCs w:val="24"/>
        </w:rPr>
        <w:t xml:space="preserve"> may be Transition Fill eligible when adjudication logic indicates a diagnosis of BPH has been previously confirmed.</w:t>
      </w:r>
    </w:p>
    <w:p w14:paraId="50429505" w14:textId="77777777" w:rsidR="00CE0970" w:rsidRPr="00CE0970" w:rsidRDefault="00CE0970" w:rsidP="00CE0970">
      <w:pPr>
        <w:widowControl/>
        <w:spacing w:before="120" w:after="120"/>
        <w:contextualSpacing/>
        <w:rPr>
          <w:rFonts w:ascii="Verdana" w:hAnsi="Verdana"/>
          <w:sz w:val="24"/>
          <w:szCs w:val="24"/>
        </w:rPr>
      </w:pPr>
    </w:p>
    <w:p w14:paraId="0128E648" w14:textId="663F68B8" w:rsidR="00CE0970" w:rsidRPr="00562686" w:rsidRDefault="00CA039B" w:rsidP="00562686">
      <w:pPr>
        <w:pStyle w:val="ListParagraph"/>
        <w:widowControl/>
        <w:numPr>
          <w:ilvl w:val="0"/>
          <w:numId w:val="19"/>
        </w:numPr>
        <w:spacing w:before="120" w:after="120"/>
        <w:contextualSpacing/>
        <w:rPr>
          <w:rFonts w:ascii="Verdana" w:hAnsi="Verdana"/>
          <w:i/>
          <w:iCs/>
          <w:sz w:val="24"/>
          <w:szCs w:val="24"/>
        </w:rPr>
      </w:pPr>
      <w:r w:rsidRPr="00CE0970">
        <w:rPr>
          <w:rFonts w:ascii="Verdana" w:hAnsi="Verdana"/>
          <w:sz w:val="24"/>
          <w:szCs w:val="24"/>
        </w:rPr>
        <w:t xml:space="preserve">POS message advising pharmacies to contact the plan if BPH will be termed effective </w:t>
      </w:r>
      <w:r w:rsidRPr="00CE0970">
        <w:rPr>
          <w:rFonts w:ascii="Verdana" w:hAnsi="Verdana"/>
          <w:b/>
          <w:bCs/>
          <w:sz w:val="24"/>
          <w:szCs w:val="24"/>
        </w:rPr>
        <w:t>12/31/2024</w:t>
      </w:r>
      <w:r w:rsidRPr="00CE0970">
        <w:rPr>
          <w:rFonts w:ascii="Verdana" w:hAnsi="Verdana"/>
          <w:sz w:val="24"/>
          <w:szCs w:val="24"/>
        </w:rPr>
        <w:t xml:space="preserve"> for Tadalafil and Cialis 5 mg tablets.</w:t>
      </w:r>
    </w:p>
    <w:p w14:paraId="2BB6497C" w14:textId="311E2015" w:rsidR="00562686" w:rsidRPr="000A7A53" w:rsidRDefault="00DC1DD7" w:rsidP="000A7A53">
      <w:pPr>
        <w:pStyle w:val="ListParagraph"/>
        <w:widowControl/>
        <w:numPr>
          <w:ilvl w:val="1"/>
          <w:numId w:val="19"/>
        </w:numPr>
        <w:spacing w:before="120" w:after="120"/>
        <w:contextualSpacing/>
        <w:rPr>
          <w:rFonts w:ascii="Verdana" w:eastAsia="Times New Roman" w:hAnsi="Verdana" w:cs="Segoe UI"/>
          <w:sz w:val="24"/>
          <w:szCs w:val="24"/>
        </w:rPr>
      </w:pPr>
      <w:r w:rsidRPr="00CE0970">
        <w:rPr>
          <w:rFonts w:ascii="Verdana" w:hAnsi="Verdana"/>
          <w:sz w:val="24"/>
          <w:szCs w:val="24"/>
        </w:rPr>
        <w:t>The rejects for these claims will be</w:t>
      </w:r>
      <w:r w:rsidR="00B35E6C" w:rsidRPr="00CE0970">
        <w:rPr>
          <w:rFonts w:ascii="Verdana" w:hAnsi="Verdana"/>
          <w:sz w:val="24"/>
          <w:szCs w:val="24"/>
        </w:rPr>
        <w:t xml:space="preserve">: </w:t>
      </w:r>
      <w:r w:rsidR="00913E92" w:rsidRPr="00CE0970">
        <w:rPr>
          <w:rFonts w:ascii="Verdana" w:eastAsia="Times New Roman" w:hAnsi="Verdana" w:cs="Segoe UI"/>
          <w:sz w:val="24"/>
          <w:szCs w:val="24"/>
        </w:rPr>
        <w:t xml:space="preserve"> </w:t>
      </w:r>
    </w:p>
    <w:p w14:paraId="7AC47639" w14:textId="77777777" w:rsidR="00562686" w:rsidRPr="00562686" w:rsidRDefault="002C08CF" w:rsidP="00562686">
      <w:pPr>
        <w:pStyle w:val="NormalWeb"/>
        <w:numPr>
          <w:ilvl w:val="2"/>
          <w:numId w:val="17"/>
        </w:numPr>
        <w:spacing w:before="0" w:beforeAutospacing="0" w:after="0" w:afterAutospacing="0"/>
        <w:rPr>
          <w:rFonts w:ascii="Verdana" w:hAnsi="Verdana" w:cs="Calibri"/>
          <w:b/>
          <w:bCs/>
        </w:rPr>
      </w:pPr>
      <w:r w:rsidRPr="00CE0970">
        <w:rPr>
          <w:rFonts w:ascii="Verdana" w:hAnsi="Verdana" w:cs="Segoe UI"/>
        </w:rPr>
        <w:t> </w:t>
      </w:r>
      <w:r w:rsidR="00FC3BDF" w:rsidRPr="00CE0970">
        <w:rPr>
          <w:rFonts w:ascii="Verdana" w:hAnsi="Verdana" w:cs="Calibri"/>
          <w:b/>
          <w:bCs/>
          <w:color w:val="000000"/>
        </w:rPr>
        <w:t>75-Prior Authorization Required </w:t>
      </w:r>
    </w:p>
    <w:p w14:paraId="646AA019" w14:textId="0B2DE55A" w:rsidR="00CE0970" w:rsidRPr="00562686" w:rsidRDefault="00FC3BDF" w:rsidP="00562686">
      <w:pPr>
        <w:pStyle w:val="NormalWeb"/>
        <w:spacing w:before="0" w:beforeAutospacing="0" w:after="0" w:afterAutospacing="0"/>
        <w:ind w:left="2210"/>
        <w:rPr>
          <w:rFonts w:ascii="Verdana" w:hAnsi="Verdana" w:cs="Calibri"/>
          <w:b/>
          <w:bCs/>
        </w:rPr>
      </w:pPr>
      <w:r w:rsidRPr="00CE0970">
        <w:rPr>
          <w:rFonts w:ascii="Verdana" w:hAnsi="Verdana" w:cs="Calibri"/>
          <w:b/>
          <w:bCs/>
          <w:color w:val="000000"/>
        </w:rPr>
        <w:t> </w:t>
      </w:r>
    </w:p>
    <w:p w14:paraId="360CA2F2" w14:textId="27FE255F" w:rsidR="00CE0970" w:rsidRDefault="00543F73" w:rsidP="00562686">
      <w:pPr>
        <w:widowControl/>
        <w:ind w:left="1130"/>
        <w:rPr>
          <w:rFonts w:ascii="Verdana" w:eastAsia="Times New Roman" w:hAnsi="Verdana" w:cs="Segoe UI"/>
          <w:sz w:val="24"/>
          <w:szCs w:val="24"/>
        </w:rPr>
      </w:pPr>
      <w:r w:rsidRPr="00E50DBE">
        <w:rPr>
          <w:rFonts w:ascii="Verdana" w:eastAsia="Times New Roman" w:hAnsi="Verdana" w:cs="Segoe UI"/>
          <w:sz w:val="24"/>
          <w:szCs w:val="24"/>
        </w:rPr>
        <w:t>Or</w:t>
      </w:r>
      <w:r w:rsidRPr="00CE0970">
        <w:rPr>
          <w:rFonts w:ascii="Verdana" w:eastAsia="Times New Roman" w:hAnsi="Verdana" w:cs="Segoe UI"/>
          <w:sz w:val="24"/>
          <w:szCs w:val="24"/>
        </w:rPr>
        <w:t xml:space="preserve"> for brands which are </w:t>
      </w:r>
      <w:r w:rsidRPr="00562686">
        <w:rPr>
          <w:rFonts w:ascii="Verdana" w:eastAsia="Times New Roman" w:hAnsi="Verdana" w:cs="Segoe UI"/>
          <w:b/>
          <w:bCs/>
          <w:sz w:val="24"/>
          <w:szCs w:val="24"/>
        </w:rPr>
        <w:t>not</w:t>
      </w:r>
      <w:r w:rsidRPr="00CE0970">
        <w:rPr>
          <w:rFonts w:ascii="Verdana" w:eastAsia="Times New Roman" w:hAnsi="Verdana" w:cs="Segoe UI"/>
          <w:sz w:val="24"/>
          <w:szCs w:val="24"/>
        </w:rPr>
        <w:t xml:space="preserve"> covered</w:t>
      </w:r>
      <w:r w:rsidR="00CE0970">
        <w:rPr>
          <w:rFonts w:ascii="Verdana" w:eastAsia="Times New Roman" w:hAnsi="Verdana" w:cs="Segoe UI"/>
          <w:sz w:val="24"/>
          <w:szCs w:val="24"/>
        </w:rPr>
        <w:t>:</w:t>
      </w:r>
    </w:p>
    <w:p w14:paraId="1CE08FC6" w14:textId="77777777" w:rsidR="00562686" w:rsidRPr="00CE0970" w:rsidRDefault="00562686" w:rsidP="00562686">
      <w:pPr>
        <w:widowControl/>
        <w:ind w:left="1130"/>
        <w:rPr>
          <w:rFonts w:ascii="Verdana" w:eastAsia="Times New Roman" w:hAnsi="Verdana" w:cs="Segoe UI"/>
          <w:sz w:val="24"/>
          <w:szCs w:val="24"/>
        </w:rPr>
      </w:pPr>
    </w:p>
    <w:p w14:paraId="4E5F9BA7" w14:textId="77777777" w:rsidR="00913E92" w:rsidRDefault="00913E92" w:rsidP="005D55D2">
      <w:pPr>
        <w:pStyle w:val="NormalWeb"/>
        <w:numPr>
          <w:ilvl w:val="2"/>
          <w:numId w:val="17"/>
        </w:numPr>
        <w:spacing w:before="0" w:beforeAutospacing="0" w:after="0" w:afterAutospacing="0"/>
        <w:rPr>
          <w:rFonts w:ascii="Verdana" w:hAnsi="Verdana" w:cs="Calibri"/>
          <w:b/>
          <w:bCs/>
        </w:rPr>
      </w:pPr>
      <w:r w:rsidRPr="00CE0970">
        <w:rPr>
          <w:rFonts w:ascii="Verdana" w:hAnsi="Verdana" w:cs="Calibri"/>
          <w:b/>
          <w:bCs/>
        </w:rPr>
        <w:t>70=Product/Service Not Covered- Plan/Benefit Exclusion</w:t>
      </w:r>
    </w:p>
    <w:p w14:paraId="74370A0D" w14:textId="65EBA939" w:rsidR="00567617" w:rsidRPr="00567617" w:rsidRDefault="00567617" w:rsidP="00567617">
      <w:pPr>
        <w:pStyle w:val="ListParagraph"/>
        <w:widowControl/>
        <w:spacing w:before="120" w:after="120"/>
        <w:ind w:left="770"/>
        <w:jc w:val="right"/>
        <w:rPr>
          <w:rFonts w:ascii="Times New Roman" w:eastAsia="Times New Roman" w:hAnsi="Times New Roman" w:cs="Times New Roman"/>
          <w:color w:val="000000"/>
          <w:sz w:val="27"/>
          <w:szCs w:val="27"/>
        </w:rPr>
      </w:pPr>
      <w:hyperlink w:anchor="_top" w:history="1">
        <w:r w:rsidRPr="00567617">
          <w:rPr>
            <w:rFonts w:ascii="Verdana" w:eastAsia="Times New Roman" w:hAnsi="Verdana" w:cs="Times New Roman"/>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67617" w:rsidRPr="0058134F" w14:paraId="44ED6924" w14:textId="77777777" w:rsidTr="00567617">
        <w:tc>
          <w:tcPr>
            <w:tcW w:w="5000" w:type="pct"/>
            <w:shd w:val="clear" w:color="auto" w:fill="C0C0C0"/>
          </w:tcPr>
          <w:p w14:paraId="5D5C9C84" w14:textId="022A600B" w:rsidR="00567617" w:rsidRPr="00567617" w:rsidRDefault="00567617" w:rsidP="00F8692B">
            <w:pPr>
              <w:pStyle w:val="Heading2"/>
              <w:tabs>
                <w:tab w:val="left" w:pos="11985"/>
              </w:tabs>
              <w:spacing w:before="120" w:after="120"/>
              <w:rPr>
                <w:rFonts w:ascii="Verdana" w:hAnsi="Verdana"/>
                <w:b/>
                <w:bCs/>
                <w:i/>
                <w:iCs/>
                <w:sz w:val="28"/>
                <w:szCs w:val="28"/>
              </w:rPr>
            </w:pPr>
            <w:bookmarkStart w:id="3" w:name="_Toc185505528"/>
            <w:r w:rsidRPr="00567617">
              <w:rPr>
                <w:rFonts w:ascii="Verdana" w:hAnsi="Verdana"/>
                <w:b/>
                <w:bCs/>
                <w:sz w:val="28"/>
                <w:szCs w:val="28"/>
              </w:rPr>
              <w:t>What to Expect</w:t>
            </w:r>
            <w:bookmarkEnd w:id="3"/>
          </w:p>
        </w:tc>
      </w:tr>
    </w:tbl>
    <w:p w14:paraId="6AEE8046" w14:textId="77777777" w:rsidR="00CE0970" w:rsidRDefault="00CE0970" w:rsidP="00567617">
      <w:pPr>
        <w:pStyle w:val="NormalWeb"/>
        <w:spacing w:before="0" w:beforeAutospacing="0" w:after="0" w:afterAutospacing="0"/>
        <w:rPr>
          <w:rFonts w:ascii="Verdana" w:hAnsi="Verdana" w:cs="Calibri"/>
          <w:b/>
          <w:bCs/>
        </w:rPr>
      </w:pPr>
    </w:p>
    <w:p w14:paraId="43114305" w14:textId="77777777" w:rsidR="00CE0970" w:rsidRDefault="00CE0970" w:rsidP="00CE0970">
      <w:pPr>
        <w:pStyle w:val="ListParagraph"/>
        <w:widowControl/>
        <w:numPr>
          <w:ilvl w:val="0"/>
          <w:numId w:val="20"/>
        </w:numPr>
        <w:spacing w:before="120" w:after="120"/>
        <w:contextualSpacing/>
        <w:rPr>
          <w:rFonts w:ascii="Verdana" w:hAnsi="Verdana"/>
          <w:sz w:val="24"/>
          <w:szCs w:val="24"/>
        </w:rPr>
      </w:pPr>
      <w:r w:rsidRPr="00CE0970">
        <w:rPr>
          <w:rFonts w:ascii="Verdana" w:hAnsi="Verdana"/>
          <w:sz w:val="24"/>
          <w:szCs w:val="24"/>
        </w:rPr>
        <w:t>Unless a member has an existing override, or transition fill adjudication logic identifies a diagnosis of BPH has been previously confirmed for a renewing member, a coverage determination will be required to confirm use for a Part D medically accepted indication.</w:t>
      </w:r>
    </w:p>
    <w:p w14:paraId="4C45F8F3" w14:textId="77777777" w:rsidR="00CE0970" w:rsidRPr="00CE0970" w:rsidRDefault="00CE0970" w:rsidP="00CE0970">
      <w:pPr>
        <w:pStyle w:val="ListParagraph"/>
        <w:widowControl/>
        <w:spacing w:before="120" w:after="120"/>
        <w:ind w:left="720"/>
        <w:contextualSpacing/>
        <w:rPr>
          <w:rFonts w:ascii="Verdana" w:hAnsi="Verdana"/>
          <w:sz w:val="24"/>
          <w:szCs w:val="24"/>
        </w:rPr>
      </w:pPr>
    </w:p>
    <w:p w14:paraId="084501AB" w14:textId="77777777" w:rsidR="00CE0970" w:rsidRDefault="00CE0970" w:rsidP="00CE0970">
      <w:pPr>
        <w:pStyle w:val="ListParagraph"/>
        <w:widowControl/>
        <w:numPr>
          <w:ilvl w:val="0"/>
          <w:numId w:val="20"/>
        </w:numPr>
        <w:spacing w:before="120" w:after="120"/>
        <w:contextualSpacing/>
        <w:rPr>
          <w:rFonts w:ascii="Verdana" w:hAnsi="Verdana"/>
          <w:sz w:val="24"/>
          <w:szCs w:val="24"/>
        </w:rPr>
      </w:pPr>
      <w:r w:rsidRPr="00CE0970">
        <w:rPr>
          <w:rFonts w:ascii="Verdana" w:hAnsi="Verdana"/>
          <w:sz w:val="24"/>
          <w:szCs w:val="24"/>
        </w:rPr>
        <w:t xml:space="preserve">For plans that have opted to provide supplemental coverage of this drug for ED, the same coverage determination will be </w:t>
      </w:r>
      <w:proofErr w:type="gramStart"/>
      <w:r w:rsidRPr="00CE0970">
        <w:rPr>
          <w:rFonts w:ascii="Verdana" w:hAnsi="Verdana"/>
          <w:sz w:val="24"/>
          <w:szCs w:val="24"/>
        </w:rPr>
        <w:t>used</w:t>
      </w:r>
      <w:proofErr w:type="gramEnd"/>
      <w:r w:rsidRPr="00CE0970">
        <w:rPr>
          <w:rFonts w:ascii="Verdana" w:hAnsi="Verdana"/>
          <w:sz w:val="24"/>
          <w:szCs w:val="24"/>
        </w:rPr>
        <w:t xml:space="preserve"> and specific overrides will be entered to allow adjudication logic to process the claim with a non-Medicare Part D status according to plan set-up. </w:t>
      </w:r>
    </w:p>
    <w:p w14:paraId="10E09832" w14:textId="77777777" w:rsidR="00EE5D15" w:rsidRPr="00EE5D15" w:rsidRDefault="00EE5D15" w:rsidP="00EE5D15">
      <w:pPr>
        <w:pStyle w:val="ListParagraph"/>
        <w:rPr>
          <w:rFonts w:ascii="Verdana" w:hAnsi="Verdana"/>
          <w:sz w:val="24"/>
          <w:szCs w:val="24"/>
        </w:rPr>
      </w:pPr>
    </w:p>
    <w:p w14:paraId="15484736" w14:textId="77777777" w:rsidR="00EE5D15" w:rsidRPr="00CE0970" w:rsidRDefault="00EE5D15" w:rsidP="00EE5D15">
      <w:pPr>
        <w:pStyle w:val="ListParagraph"/>
        <w:widowControl/>
        <w:spacing w:before="120" w:after="120"/>
        <w:ind w:left="720"/>
        <w:contextualSpacing/>
        <w:rPr>
          <w:rFonts w:ascii="Verdana" w:hAnsi="Verdana"/>
          <w:sz w:val="24"/>
          <w:szCs w:val="24"/>
        </w:rPr>
      </w:pPr>
    </w:p>
    <w:p w14:paraId="2F0A68FF" w14:textId="1CC7E605" w:rsidR="00913E92" w:rsidRPr="00567617" w:rsidRDefault="00567617" w:rsidP="00567617">
      <w:pPr>
        <w:pStyle w:val="ListParagraph"/>
        <w:widowControl/>
        <w:spacing w:before="120" w:after="120"/>
        <w:ind w:left="720"/>
        <w:jc w:val="right"/>
        <w:rPr>
          <w:rFonts w:ascii="Times New Roman" w:eastAsia="Times New Roman" w:hAnsi="Times New Roman" w:cs="Times New Roman"/>
          <w:color w:val="000000"/>
          <w:sz w:val="27"/>
          <w:szCs w:val="27"/>
        </w:rPr>
      </w:pPr>
      <w:hyperlink w:anchor="_top" w:history="1">
        <w:r w:rsidRPr="00567617">
          <w:rPr>
            <w:rFonts w:ascii="Verdana" w:eastAsia="Times New Roman" w:hAnsi="Verdana" w:cs="Times New Roman"/>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0"/>
      </w:tblGrid>
      <w:tr w:rsidR="00567617" w:rsidRPr="0058134F" w14:paraId="0A8B04EA" w14:textId="77777777" w:rsidTr="00F8692B">
        <w:tc>
          <w:tcPr>
            <w:tcW w:w="5000" w:type="pct"/>
            <w:shd w:val="clear" w:color="auto" w:fill="C0C0C0"/>
          </w:tcPr>
          <w:p w14:paraId="2542B0F2" w14:textId="66F9B98F" w:rsidR="00567617" w:rsidRPr="00567617" w:rsidRDefault="00567617" w:rsidP="00F8692B">
            <w:pPr>
              <w:pStyle w:val="Heading2"/>
              <w:tabs>
                <w:tab w:val="left" w:pos="11985"/>
              </w:tabs>
              <w:spacing w:before="120" w:after="120"/>
              <w:rPr>
                <w:rFonts w:ascii="Verdana" w:hAnsi="Verdana"/>
                <w:b/>
                <w:bCs/>
                <w:i/>
                <w:iCs/>
                <w:sz w:val="28"/>
                <w:szCs w:val="28"/>
              </w:rPr>
            </w:pPr>
            <w:bookmarkStart w:id="4" w:name="_Toc185505529"/>
            <w:r>
              <w:rPr>
                <w:rFonts w:ascii="Verdana" w:hAnsi="Verdana"/>
                <w:b/>
                <w:bCs/>
                <w:sz w:val="28"/>
                <w:szCs w:val="28"/>
              </w:rPr>
              <w:t>Action Needed</w:t>
            </w:r>
            <w:bookmarkEnd w:id="4"/>
          </w:p>
        </w:tc>
      </w:tr>
    </w:tbl>
    <w:p w14:paraId="7A97680C" w14:textId="77777777" w:rsidR="00CE0970" w:rsidRDefault="00CE0970" w:rsidP="00CE0970">
      <w:pPr>
        <w:widowControl/>
        <w:rPr>
          <w:rFonts w:ascii="Verdana" w:eastAsia="Times New Roman" w:hAnsi="Verdana" w:cs="Segoe UI"/>
          <w:b/>
          <w:bCs/>
          <w:sz w:val="24"/>
          <w:szCs w:val="24"/>
        </w:rPr>
      </w:pPr>
    </w:p>
    <w:p w14:paraId="10D4D8CE" w14:textId="251A1B77" w:rsidR="00636D71" w:rsidRPr="00636D71" w:rsidRDefault="00CE0970" w:rsidP="00CE0970">
      <w:pPr>
        <w:pStyle w:val="ListParagraph"/>
        <w:widowControl/>
        <w:numPr>
          <w:ilvl w:val="0"/>
          <w:numId w:val="21"/>
        </w:numPr>
        <w:rPr>
          <w:rFonts w:ascii="Verdana" w:eastAsia="Times New Roman" w:hAnsi="Verdana" w:cs="Segoe UI"/>
          <w:i/>
          <w:iCs/>
          <w:sz w:val="24"/>
          <w:szCs w:val="24"/>
          <w:u w:val="single"/>
        </w:rPr>
      </w:pPr>
      <w:r w:rsidRPr="00CE0970">
        <w:rPr>
          <w:rFonts w:ascii="Verdana" w:eastAsia="Times New Roman" w:hAnsi="Verdana" w:cs="Segoe UI"/>
          <w:sz w:val="24"/>
          <w:szCs w:val="24"/>
        </w:rPr>
        <w:t>F</w:t>
      </w:r>
      <w:r w:rsidR="0090305F" w:rsidRPr="00CE0970">
        <w:rPr>
          <w:rFonts w:ascii="Verdana" w:eastAsia="Times New Roman" w:hAnsi="Verdana" w:cs="Segoe UI"/>
          <w:sz w:val="24"/>
          <w:szCs w:val="24"/>
        </w:rPr>
        <w:t xml:space="preserve">ollow existing work instructions </w:t>
      </w:r>
      <w:r w:rsidR="00636D71">
        <w:rPr>
          <w:rFonts w:ascii="Verdana" w:eastAsia="Times New Roman" w:hAnsi="Verdana" w:cs="Segoe UI"/>
          <w:sz w:val="24"/>
          <w:szCs w:val="24"/>
        </w:rPr>
        <w:t xml:space="preserve">for </w:t>
      </w:r>
      <w:r w:rsidR="0090305F" w:rsidRPr="00CE0970">
        <w:rPr>
          <w:rFonts w:ascii="Verdana" w:eastAsia="Times New Roman" w:hAnsi="Verdana" w:cs="Segoe UI"/>
          <w:sz w:val="24"/>
          <w:szCs w:val="24"/>
        </w:rPr>
        <w:t>prior authorizations</w:t>
      </w:r>
      <w:r w:rsidR="00495B26">
        <w:rPr>
          <w:rFonts w:ascii="Verdana" w:eastAsia="Times New Roman" w:hAnsi="Verdana" w:cs="Segoe UI"/>
          <w:sz w:val="24"/>
          <w:szCs w:val="24"/>
        </w:rPr>
        <w:t xml:space="preserve">. </w:t>
      </w:r>
    </w:p>
    <w:p w14:paraId="49CEFF04" w14:textId="77777777" w:rsidR="00636D71" w:rsidRPr="00636D71" w:rsidRDefault="00636D71" w:rsidP="00636D71">
      <w:pPr>
        <w:pStyle w:val="ListParagraph"/>
        <w:widowControl/>
        <w:ind w:left="720"/>
        <w:rPr>
          <w:rFonts w:ascii="Verdana" w:eastAsia="Times New Roman" w:hAnsi="Verdana" w:cs="Segoe UI"/>
          <w:i/>
          <w:iCs/>
          <w:sz w:val="24"/>
          <w:szCs w:val="24"/>
          <w:u w:val="single"/>
        </w:rPr>
      </w:pPr>
    </w:p>
    <w:p w14:paraId="387CE135" w14:textId="77777777" w:rsidR="00636D71" w:rsidRPr="00636D71" w:rsidRDefault="00636D71" w:rsidP="00636D71">
      <w:pPr>
        <w:pStyle w:val="ListParagraph"/>
        <w:widowControl/>
        <w:numPr>
          <w:ilvl w:val="1"/>
          <w:numId w:val="21"/>
        </w:numPr>
        <w:rPr>
          <w:rFonts w:ascii="Verdana" w:eastAsia="Times New Roman" w:hAnsi="Verdana" w:cs="Segoe UI"/>
          <w:i/>
          <w:iCs/>
          <w:sz w:val="24"/>
          <w:szCs w:val="24"/>
          <w:u w:val="single"/>
        </w:rPr>
      </w:pPr>
      <w:r w:rsidRPr="00636D71">
        <w:rPr>
          <w:rFonts w:ascii="Verdana" w:eastAsia="Times New Roman" w:hAnsi="Verdana" w:cs="Segoe UI"/>
          <w:b/>
          <w:bCs/>
          <w:sz w:val="24"/>
          <w:szCs w:val="24"/>
        </w:rPr>
        <w:t>Aetna Med D:</w:t>
      </w:r>
      <w:r>
        <w:rPr>
          <w:rFonts w:ascii="Verdana" w:eastAsia="Times New Roman" w:hAnsi="Verdana" w:cs="Segoe UI"/>
          <w:sz w:val="24"/>
          <w:szCs w:val="24"/>
        </w:rPr>
        <w:t xml:space="preserve"> </w:t>
      </w:r>
      <w:r w:rsidR="00495B26">
        <w:rPr>
          <w:rFonts w:ascii="Verdana" w:eastAsia="Times New Roman" w:hAnsi="Verdana" w:cs="Segoe UI"/>
          <w:sz w:val="24"/>
          <w:szCs w:val="24"/>
        </w:rPr>
        <w:t>Refer to</w:t>
      </w:r>
      <w:r w:rsidR="00F3318B" w:rsidRPr="00CE0970">
        <w:rPr>
          <w:rFonts w:ascii="Verdana" w:eastAsia="Times New Roman" w:hAnsi="Verdana" w:cs="Segoe UI"/>
          <w:sz w:val="24"/>
          <w:szCs w:val="24"/>
        </w:rPr>
        <w:t xml:space="preserve"> </w:t>
      </w:r>
      <w:hyperlink r:id="rId11" w:anchor="!/view?docid=096dcedb-fa61-418c-86cd-aa470ca83b02" w:history="1">
        <w:r w:rsidR="00CE0970" w:rsidRPr="00CE0970">
          <w:rPr>
            <w:rStyle w:val="Hyperlink"/>
            <w:rFonts w:ascii="Verdana" w:eastAsia="Times New Roman" w:hAnsi="Verdana" w:cs="Segoe UI"/>
            <w:sz w:val="24"/>
            <w:szCs w:val="24"/>
          </w:rPr>
          <w:t>Aetna Compass Med D - Handling Prior Authorization Inquiries</w:t>
        </w:r>
      </w:hyperlink>
      <w:r w:rsidR="00CE0970" w:rsidRPr="00CE0970">
        <w:rPr>
          <w:rFonts w:ascii="Verdana" w:eastAsia="Times New Roman" w:hAnsi="Verdana" w:cs="Segoe UI"/>
          <w:sz w:val="24"/>
          <w:szCs w:val="24"/>
        </w:rPr>
        <w:t xml:space="preserve">.  </w:t>
      </w:r>
    </w:p>
    <w:p w14:paraId="7484AEC5" w14:textId="0BB4F738" w:rsidR="00636D71" w:rsidRPr="00636D71" w:rsidRDefault="00CE0970" w:rsidP="00636D71">
      <w:pPr>
        <w:pStyle w:val="ListParagraph"/>
        <w:widowControl/>
        <w:ind w:left="1440"/>
        <w:rPr>
          <w:rFonts w:ascii="Verdana" w:eastAsia="Times New Roman" w:hAnsi="Verdana" w:cs="Segoe UI"/>
          <w:i/>
          <w:iCs/>
          <w:sz w:val="24"/>
          <w:szCs w:val="24"/>
          <w:u w:val="single"/>
        </w:rPr>
      </w:pPr>
      <w:r w:rsidRPr="00CE0970">
        <w:rPr>
          <w:rFonts w:ascii="Verdana" w:eastAsia="Times New Roman" w:hAnsi="Verdana" w:cs="Segoe UI"/>
          <w:sz w:val="24"/>
          <w:szCs w:val="24"/>
        </w:rPr>
        <w:t xml:space="preserve"> </w:t>
      </w:r>
    </w:p>
    <w:p w14:paraId="75DCF6A6" w14:textId="759C63FE" w:rsidR="007B4308" w:rsidRPr="00CE0970" w:rsidRDefault="00636D71" w:rsidP="00636D71">
      <w:pPr>
        <w:pStyle w:val="ListParagraph"/>
        <w:widowControl/>
        <w:numPr>
          <w:ilvl w:val="1"/>
          <w:numId w:val="21"/>
        </w:numPr>
        <w:rPr>
          <w:rFonts w:ascii="Verdana" w:eastAsia="Times New Roman" w:hAnsi="Verdana" w:cs="Segoe UI"/>
          <w:i/>
          <w:iCs/>
          <w:sz w:val="24"/>
          <w:szCs w:val="24"/>
          <w:u w:val="single"/>
        </w:rPr>
      </w:pPr>
      <w:r>
        <w:rPr>
          <w:rFonts w:ascii="Verdana" w:eastAsia="Times New Roman" w:hAnsi="Verdana" w:cs="Segoe UI"/>
          <w:b/>
          <w:bCs/>
          <w:sz w:val="24"/>
          <w:szCs w:val="24"/>
        </w:rPr>
        <w:t>SilverScript:</w:t>
      </w:r>
      <w:r>
        <w:rPr>
          <w:rFonts w:ascii="Verdana" w:eastAsia="Times New Roman" w:hAnsi="Verdana" w:cs="Segoe UI"/>
          <w:sz w:val="24"/>
          <w:szCs w:val="24"/>
        </w:rPr>
        <w:t xml:space="preserve"> </w:t>
      </w:r>
      <w:r w:rsidRPr="00636D71">
        <w:rPr>
          <w:rFonts w:ascii="Verdana" w:eastAsia="Times New Roman" w:hAnsi="Verdana" w:cs="Segoe UI"/>
          <w:sz w:val="24"/>
          <w:szCs w:val="24"/>
        </w:rPr>
        <w:t>Refer to</w:t>
      </w:r>
      <w:r>
        <w:rPr>
          <w:rFonts w:ascii="Verdana" w:eastAsia="Times New Roman" w:hAnsi="Verdana" w:cs="Segoe UI"/>
          <w:b/>
          <w:bCs/>
          <w:sz w:val="24"/>
          <w:szCs w:val="24"/>
        </w:rPr>
        <w:t xml:space="preserve"> </w:t>
      </w:r>
      <w:hyperlink r:id="rId12" w:anchor="!/view?docid=a23bc09d-37f7-4105-ba57-d4e9d7f512ff" w:history="1">
        <w:r w:rsidRPr="00636D71">
          <w:rPr>
            <w:rStyle w:val="Hyperlink"/>
            <w:rFonts w:ascii="Verdana" w:eastAsia="Times New Roman" w:hAnsi="Verdana" w:cs="Segoe UI"/>
            <w:sz w:val="24"/>
            <w:szCs w:val="24"/>
          </w:rPr>
          <w:t>Compass MED D - CCR - Coverage Determinations and Redeterminations (Appeals)</w:t>
        </w:r>
      </w:hyperlink>
      <w:r>
        <w:rPr>
          <w:rFonts w:ascii="Verdana" w:eastAsia="Times New Roman" w:hAnsi="Verdana" w:cs="Segoe UI"/>
          <w:sz w:val="24"/>
          <w:szCs w:val="24"/>
        </w:rPr>
        <w:t>.</w:t>
      </w:r>
    </w:p>
    <w:p w14:paraId="3B127CDC" w14:textId="77777777" w:rsidR="007B4308" w:rsidRPr="00CE0970" w:rsidRDefault="007B4308" w:rsidP="007B4308">
      <w:pPr>
        <w:widowControl/>
        <w:rPr>
          <w:rFonts w:ascii="Verdana" w:eastAsia="Times New Roman" w:hAnsi="Verdana" w:cs="Segoe UI"/>
          <w:i/>
          <w:iCs/>
          <w:sz w:val="24"/>
          <w:szCs w:val="24"/>
          <w:u w:val="single"/>
        </w:rPr>
      </w:pPr>
    </w:p>
    <w:p w14:paraId="33360721" w14:textId="3BD02063" w:rsidR="00562686" w:rsidRPr="00562686" w:rsidRDefault="00562686" w:rsidP="00562686">
      <w:pPr>
        <w:widowControl/>
        <w:spacing w:before="120" w:after="120"/>
        <w:jc w:val="right"/>
        <w:rPr>
          <w:rFonts w:ascii="Times New Roman" w:eastAsia="Times New Roman" w:hAnsi="Times New Roman" w:cs="Times New Roman"/>
          <w:color w:val="000000"/>
          <w:sz w:val="27"/>
          <w:szCs w:val="27"/>
        </w:rPr>
      </w:pPr>
      <w:hyperlink w:anchor="_top" w:history="1">
        <w:r w:rsidRPr="00562686">
          <w:rPr>
            <w:rFonts w:ascii="Verdana" w:eastAsia="Times New Roman" w:hAnsi="Verdana" w:cs="Times New Roman"/>
            <w:color w:val="0000FF"/>
            <w:sz w:val="24"/>
            <w:szCs w:val="24"/>
            <w:u w:val="single"/>
          </w:rPr>
          <w:t>Top of the Document</w:t>
        </w:r>
      </w:hyperlink>
    </w:p>
    <w:p w14:paraId="3ABC5DCC" w14:textId="77777777"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color w:val="000000"/>
          <w:sz w:val="16"/>
          <w:szCs w:val="16"/>
        </w:rPr>
        <w:t> </w:t>
      </w:r>
    </w:p>
    <w:p w14:paraId="676728A8" w14:textId="77777777"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color w:val="000000"/>
          <w:sz w:val="16"/>
          <w:szCs w:val="16"/>
        </w:rPr>
        <w:t>Not To Be Reproduced </w:t>
      </w:r>
      <w:proofErr w:type="gramStart"/>
      <w:r w:rsidRPr="00562686">
        <w:rPr>
          <w:rFonts w:ascii="Verdana" w:eastAsia="Times New Roman" w:hAnsi="Verdana" w:cs="Times New Roman"/>
          <w:color w:val="000000"/>
          <w:sz w:val="16"/>
          <w:szCs w:val="16"/>
        </w:rPr>
        <w:t>Or</w:t>
      </w:r>
      <w:proofErr w:type="gramEnd"/>
      <w:r w:rsidRPr="00562686">
        <w:rPr>
          <w:rFonts w:ascii="Verdana" w:eastAsia="Times New Roman" w:hAnsi="Verdana" w:cs="Times New Roman"/>
          <w:color w:val="000000"/>
          <w:sz w:val="16"/>
          <w:szCs w:val="16"/>
        </w:rPr>
        <w:t> Disclosed to Others Without Prior Written Approval</w:t>
      </w:r>
    </w:p>
    <w:p w14:paraId="7B8FB528" w14:textId="778E05CA" w:rsidR="00562686" w:rsidRPr="00562686" w:rsidRDefault="00562686" w:rsidP="00562686">
      <w:pPr>
        <w:widowControl/>
        <w:jc w:val="center"/>
        <w:rPr>
          <w:rFonts w:ascii="Times New Roman" w:eastAsia="Times New Roman" w:hAnsi="Times New Roman" w:cs="Times New Roman"/>
          <w:color w:val="000000"/>
          <w:sz w:val="27"/>
          <w:szCs w:val="27"/>
        </w:rPr>
      </w:pPr>
      <w:r w:rsidRPr="00562686">
        <w:rPr>
          <w:rFonts w:ascii="Verdana" w:eastAsia="Times New Roman" w:hAnsi="Verdana" w:cs="Times New Roman"/>
          <w:b/>
          <w:bCs/>
          <w:color w:val="000000"/>
          <w:sz w:val="16"/>
          <w:szCs w:val="16"/>
        </w:rPr>
        <w:t xml:space="preserve">ELECTRONIC DATA = OFFICIAL VERSION – PAPER COPY </w:t>
      </w:r>
      <w:r w:rsidR="00DE1D39">
        <w:rPr>
          <w:rFonts w:ascii="Verdana" w:eastAsia="Times New Roman" w:hAnsi="Verdana" w:cs="Times New Roman"/>
          <w:b/>
          <w:bCs/>
          <w:color w:val="000000"/>
          <w:sz w:val="16"/>
          <w:szCs w:val="16"/>
        </w:rPr>
        <w:t>=</w:t>
      </w:r>
      <w:r w:rsidRPr="00562686">
        <w:rPr>
          <w:rFonts w:ascii="Verdana" w:eastAsia="Times New Roman" w:hAnsi="Verdana" w:cs="Times New Roman"/>
          <w:b/>
          <w:bCs/>
          <w:color w:val="000000"/>
          <w:sz w:val="16"/>
          <w:szCs w:val="16"/>
        </w:rPr>
        <w:t xml:space="preserve"> INFORMATIONAL ONLY</w:t>
      </w:r>
    </w:p>
    <w:p w14:paraId="6A5FE16B" w14:textId="77777777" w:rsidR="00CD345B" w:rsidRPr="002C08CF" w:rsidRDefault="00CD345B" w:rsidP="002C08CF">
      <w:pPr>
        <w:widowControl/>
        <w:rPr>
          <w:rFonts w:ascii="CVS Health Sans" w:eastAsia="Times New Roman" w:hAnsi="CVS Health Sans" w:cs="Segoe UI"/>
        </w:rPr>
      </w:pPr>
    </w:p>
    <w:p w14:paraId="1C265E52" w14:textId="77777777" w:rsidR="00F87D9B" w:rsidRDefault="00F87D9B" w:rsidP="002C08CF">
      <w:pPr>
        <w:ind w:right="43"/>
        <w:rPr>
          <w:rFonts w:ascii="CVS Health Sans" w:eastAsia="CVS Health Sans" w:hAnsi="CVS Health Sans" w:cs="CVS Health Sans"/>
        </w:rPr>
      </w:pPr>
    </w:p>
    <w:sectPr w:rsidR="00F87D9B">
      <w:footerReference w:type="first" r:id="rId13"/>
      <w:pgSz w:w="12240" w:h="15840"/>
      <w:pgMar w:top="700" w:right="44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71531" w14:textId="77777777" w:rsidR="003B780F" w:rsidRDefault="003B780F" w:rsidP="00C42765">
      <w:r>
        <w:separator/>
      </w:r>
    </w:p>
  </w:endnote>
  <w:endnote w:type="continuationSeparator" w:id="0">
    <w:p w14:paraId="0B992659" w14:textId="77777777" w:rsidR="003B780F" w:rsidRDefault="003B780F" w:rsidP="00C42765">
      <w:r>
        <w:continuationSeparator/>
      </w:r>
    </w:p>
  </w:endnote>
  <w:endnote w:type="continuationNotice" w:id="1">
    <w:p w14:paraId="55D4026C" w14:textId="77777777" w:rsidR="003B780F" w:rsidRDefault="003B7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VS Health Sans">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VSHealthSan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5EB86" w14:textId="77777777" w:rsidR="00B01EB2" w:rsidRPr="00B01EB2" w:rsidRDefault="00B01EB2" w:rsidP="00B01EB2">
    <w:pPr>
      <w:widowControl/>
      <w:autoSpaceDE w:val="0"/>
      <w:autoSpaceDN w:val="0"/>
      <w:adjustRightInd w:val="0"/>
      <w:rPr>
        <w:rFonts w:ascii="CVSHealthSans" w:eastAsia="Calibri" w:hAnsi="CVSHealthSans" w:cs="CVSHealthSans"/>
        <w:color w:val="000000"/>
        <w:sz w:val="16"/>
        <w:szCs w:val="16"/>
      </w:rPr>
    </w:pPr>
    <w:r w:rsidRPr="00B01EB2">
      <w:rPr>
        <w:rFonts w:ascii="CVSHealthSans" w:eastAsia="Calibri" w:hAnsi="CVSHealthSans" w:cs="CVSHealthSans"/>
        <w:color w:val="000000"/>
        <w:sz w:val="16"/>
        <w:szCs w:val="16"/>
      </w:rPr>
      <w:t>Pharmacy network participation varies by plan.</w:t>
    </w:r>
  </w:p>
  <w:p w14:paraId="0A3329F2" w14:textId="77777777" w:rsidR="00C23A86" w:rsidRPr="00E61A3C" w:rsidRDefault="00C23A86" w:rsidP="00C23A86">
    <w:pPr>
      <w:pStyle w:val="Footer"/>
      <w:rPr>
        <w:sz w:val="16"/>
        <w:szCs w:val="16"/>
      </w:rPr>
    </w:pPr>
    <w:r w:rsidRPr="00E61A3C">
      <w:rPr>
        <w:sz w:val="16"/>
        <w:szCs w:val="16"/>
      </w:rPr>
      <w:t>The recipient of this fax may make a request to opt-out of receiving telemarketing fax transmissions from CVS Caremark. There are numerous ways you may opt-out: The recipient may call the toll-free number at 877-265-2711 and/or fax the opt-out request to 401-652-0893, at any time, 24 hours a day/7 days a week. The recipient may also send an opt-out request via email to do_not_call@cvscaremark.com. An opt out request is only valid if it (1) identifies the number to which the request relates, and (2) if the person/entity making the request does not, subsequent to the request, provide express invitation or permission to CVS Caremark to send facsimile advertisements to such person/entity at that particular number. CVS Caremark is required by law to honor an opt-out request within thirty days of receipt. An opt out request will not opt you out of purely informational, non-advertisements, Caremark pharmacy communications such as new implementation notices, formulary changes, point-of sale issues, network enrollment forms, and amendments to the Provider Manual.</w:t>
    </w:r>
  </w:p>
  <w:p w14:paraId="67DCE78D" w14:textId="77777777" w:rsidR="00C23A86" w:rsidRPr="00E61A3C" w:rsidRDefault="00C23A86" w:rsidP="00C23A86">
    <w:pPr>
      <w:pStyle w:val="Footer"/>
      <w:rPr>
        <w:sz w:val="16"/>
        <w:szCs w:val="16"/>
      </w:rPr>
    </w:pPr>
  </w:p>
  <w:p w14:paraId="20AC06BC" w14:textId="77777777" w:rsidR="00C23A86" w:rsidRPr="00E61A3C" w:rsidRDefault="00C23A86" w:rsidP="00C23A86">
    <w:pPr>
      <w:pStyle w:val="Footer"/>
      <w:rPr>
        <w:sz w:val="16"/>
        <w:szCs w:val="16"/>
      </w:rPr>
    </w:pPr>
    <w:r w:rsidRPr="00E61A3C">
      <w:rPr>
        <w:sz w:val="16"/>
        <w:szCs w:val="16"/>
      </w:rPr>
      <w:t>This communication and any attachments may contain confidential information. If you are not the intended recipient, you are hereby notified that you have received this communication in error and that any review, disclosure, dissemination, distribution, or copying of it or its contents, is prohibited. If you have received this communication in error, please notify the sender immediately by telephone and destroy all copies of this communication and any attachments. This communication is a Caremark Document within the meaning of the Provider Manual.</w:t>
    </w:r>
  </w:p>
  <w:p w14:paraId="684543D9" w14:textId="77777777" w:rsidR="00C23A86" w:rsidRDefault="00C2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D3042" w14:textId="77777777" w:rsidR="003B780F" w:rsidRDefault="003B780F" w:rsidP="00C42765">
      <w:r>
        <w:separator/>
      </w:r>
    </w:p>
  </w:footnote>
  <w:footnote w:type="continuationSeparator" w:id="0">
    <w:p w14:paraId="08CEB17B" w14:textId="77777777" w:rsidR="003B780F" w:rsidRDefault="003B780F" w:rsidP="00C42765">
      <w:r>
        <w:continuationSeparator/>
      </w:r>
    </w:p>
  </w:footnote>
  <w:footnote w:type="continuationNotice" w:id="1">
    <w:p w14:paraId="24F45A1F" w14:textId="77777777" w:rsidR="003B780F" w:rsidRDefault="003B78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C44C0"/>
    <w:multiLevelType w:val="hybridMultilevel"/>
    <w:tmpl w:val="98D6D16A"/>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372F6"/>
    <w:multiLevelType w:val="hybridMultilevel"/>
    <w:tmpl w:val="0DD6084C"/>
    <w:lvl w:ilvl="0" w:tplc="9E22F77E">
      <w:start w:val="1"/>
      <w:numFmt w:val="bullet"/>
      <w:lvlText w:val=""/>
      <w:lvlJc w:val="left"/>
      <w:pPr>
        <w:ind w:hanging="360"/>
      </w:pPr>
      <w:rPr>
        <w:rFonts w:ascii="Segoe MDL2 Assets" w:eastAsia="Segoe MDL2 Assets" w:hAnsi="Segoe MDL2 Assets" w:hint="default"/>
        <w:w w:val="45"/>
        <w:sz w:val="22"/>
        <w:szCs w:val="22"/>
      </w:rPr>
    </w:lvl>
    <w:lvl w:ilvl="1" w:tplc="241A443E">
      <w:start w:val="1"/>
      <w:numFmt w:val="bullet"/>
      <w:lvlText w:val="•"/>
      <w:lvlJc w:val="left"/>
      <w:rPr>
        <w:rFonts w:hint="default"/>
      </w:rPr>
    </w:lvl>
    <w:lvl w:ilvl="2" w:tplc="75C0C880">
      <w:start w:val="1"/>
      <w:numFmt w:val="bullet"/>
      <w:lvlText w:val="•"/>
      <w:lvlJc w:val="left"/>
      <w:rPr>
        <w:rFonts w:hint="default"/>
      </w:rPr>
    </w:lvl>
    <w:lvl w:ilvl="3" w:tplc="8A58BF6C">
      <w:start w:val="1"/>
      <w:numFmt w:val="bullet"/>
      <w:lvlText w:val="•"/>
      <w:lvlJc w:val="left"/>
      <w:rPr>
        <w:rFonts w:hint="default"/>
      </w:rPr>
    </w:lvl>
    <w:lvl w:ilvl="4" w:tplc="0964C208">
      <w:start w:val="1"/>
      <w:numFmt w:val="bullet"/>
      <w:lvlText w:val="•"/>
      <w:lvlJc w:val="left"/>
      <w:rPr>
        <w:rFonts w:hint="default"/>
      </w:rPr>
    </w:lvl>
    <w:lvl w:ilvl="5" w:tplc="652A517A">
      <w:start w:val="1"/>
      <w:numFmt w:val="bullet"/>
      <w:lvlText w:val="•"/>
      <w:lvlJc w:val="left"/>
      <w:rPr>
        <w:rFonts w:hint="default"/>
      </w:rPr>
    </w:lvl>
    <w:lvl w:ilvl="6" w:tplc="21924E16">
      <w:start w:val="1"/>
      <w:numFmt w:val="bullet"/>
      <w:lvlText w:val="•"/>
      <w:lvlJc w:val="left"/>
      <w:rPr>
        <w:rFonts w:hint="default"/>
      </w:rPr>
    </w:lvl>
    <w:lvl w:ilvl="7" w:tplc="297855FC">
      <w:start w:val="1"/>
      <w:numFmt w:val="bullet"/>
      <w:lvlText w:val="•"/>
      <w:lvlJc w:val="left"/>
      <w:rPr>
        <w:rFonts w:hint="default"/>
      </w:rPr>
    </w:lvl>
    <w:lvl w:ilvl="8" w:tplc="087023C2">
      <w:start w:val="1"/>
      <w:numFmt w:val="bullet"/>
      <w:lvlText w:val="•"/>
      <w:lvlJc w:val="left"/>
      <w:rPr>
        <w:rFonts w:hint="default"/>
      </w:rPr>
    </w:lvl>
  </w:abstractNum>
  <w:abstractNum w:abstractNumId="2" w15:restartNumberingAfterBreak="0">
    <w:nsid w:val="2279380A"/>
    <w:multiLevelType w:val="hybridMultilevel"/>
    <w:tmpl w:val="15F6E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E128A7"/>
    <w:multiLevelType w:val="hybridMultilevel"/>
    <w:tmpl w:val="78D2A0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329669D0"/>
    <w:multiLevelType w:val="hybridMultilevel"/>
    <w:tmpl w:val="2960B90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15:restartNumberingAfterBreak="0">
    <w:nsid w:val="417D2036"/>
    <w:multiLevelType w:val="hybridMultilevel"/>
    <w:tmpl w:val="D7EC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C517AF"/>
    <w:multiLevelType w:val="hybridMultilevel"/>
    <w:tmpl w:val="ABAEA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80C09"/>
    <w:multiLevelType w:val="hybridMultilevel"/>
    <w:tmpl w:val="BD9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276E8"/>
    <w:multiLevelType w:val="hybridMultilevel"/>
    <w:tmpl w:val="0DE08F3A"/>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15:restartNumberingAfterBreak="0">
    <w:nsid w:val="4F856037"/>
    <w:multiLevelType w:val="multilevel"/>
    <w:tmpl w:val="F6605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96517"/>
    <w:multiLevelType w:val="hybridMultilevel"/>
    <w:tmpl w:val="E48674D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1" w15:restartNumberingAfterBreak="0">
    <w:nsid w:val="52886C65"/>
    <w:multiLevelType w:val="hybridMultilevel"/>
    <w:tmpl w:val="8F7636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1">
      <w:start w:val="1"/>
      <w:numFmt w:val="bullet"/>
      <w:lvlText w:val=""/>
      <w:lvlJc w:val="left"/>
      <w:pPr>
        <w:ind w:left="2210" w:hanging="360"/>
      </w:pPr>
      <w:rPr>
        <w:rFonts w:ascii="Symbol" w:hAnsi="Symbol"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BCD7E8D"/>
    <w:multiLevelType w:val="hybridMultilevel"/>
    <w:tmpl w:val="F1620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3E765F"/>
    <w:multiLevelType w:val="hybridMultilevel"/>
    <w:tmpl w:val="A7588B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BB6432"/>
    <w:multiLevelType w:val="hybridMultilevel"/>
    <w:tmpl w:val="CD3626AE"/>
    <w:lvl w:ilvl="0" w:tplc="CE982722">
      <w:start w:val="1"/>
      <w:numFmt w:val="decimal"/>
      <w:lvlText w:val="(%1)"/>
      <w:lvlJc w:val="left"/>
      <w:pPr>
        <w:ind w:left="537" w:hanging="360"/>
      </w:pPr>
      <w:rPr>
        <w:rFonts w:hint="default"/>
      </w:rPr>
    </w:lvl>
    <w:lvl w:ilvl="1" w:tplc="04090019" w:tentative="1">
      <w:start w:val="1"/>
      <w:numFmt w:val="lowerLetter"/>
      <w:lvlText w:val="%2."/>
      <w:lvlJc w:val="left"/>
      <w:pPr>
        <w:ind w:left="1257" w:hanging="360"/>
      </w:pPr>
    </w:lvl>
    <w:lvl w:ilvl="2" w:tplc="0409001B" w:tentative="1">
      <w:start w:val="1"/>
      <w:numFmt w:val="lowerRoman"/>
      <w:lvlText w:val="%3."/>
      <w:lvlJc w:val="right"/>
      <w:pPr>
        <w:ind w:left="1977" w:hanging="180"/>
      </w:pPr>
    </w:lvl>
    <w:lvl w:ilvl="3" w:tplc="0409000F" w:tentative="1">
      <w:start w:val="1"/>
      <w:numFmt w:val="decimal"/>
      <w:lvlText w:val="%4."/>
      <w:lvlJc w:val="left"/>
      <w:pPr>
        <w:ind w:left="2697" w:hanging="360"/>
      </w:pPr>
    </w:lvl>
    <w:lvl w:ilvl="4" w:tplc="04090019" w:tentative="1">
      <w:start w:val="1"/>
      <w:numFmt w:val="lowerLetter"/>
      <w:lvlText w:val="%5."/>
      <w:lvlJc w:val="left"/>
      <w:pPr>
        <w:ind w:left="3417" w:hanging="360"/>
      </w:pPr>
    </w:lvl>
    <w:lvl w:ilvl="5" w:tplc="0409001B" w:tentative="1">
      <w:start w:val="1"/>
      <w:numFmt w:val="lowerRoman"/>
      <w:lvlText w:val="%6."/>
      <w:lvlJc w:val="right"/>
      <w:pPr>
        <w:ind w:left="4137" w:hanging="180"/>
      </w:pPr>
    </w:lvl>
    <w:lvl w:ilvl="6" w:tplc="0409000F" w:tentative="1">
      <w:start w:val="1"/>
      <w:numFmt w:val="decimal"/>
      <w:lvlText w:val="%7."/>
      <w:lvlJc w:val="left"/>
      <w:pPr>
        <w:ind w:left="4857" w:hanging="360"/>
      </w:pPr>
    </w:lvl>
    <w:lvl w:ilvl="7" w:tplc="04090019" w:tentative="1">
      <w:start w:val="1"/>
      <w:numFmt w:val="lowerLetter"/>
      <w:lvlText w:val="%8."/>
      <w:lvlJc w:val="left"/>
      <w:pPr>
        <w:ind w:left="5577" w:hanging="360"/>
      </w:pPr>
    </w:lvl>
    <w:lvl w:ilvl="8" w:tplc="0409001B" w:tentative="1">
      <w:start w:val="1"/>
      <w:numFmt w:val="lowerRoman"/>
      <w:lvlText w:val="%9."/>
      <w:lvlJc w:val="right"/>
      <w:pPr>
        <w:ind w:left="6297" w:hanging="180"/>
      </w:pPr>
    </w:lvl>
  </w:abstractNum>
  <w:abstractNum w:abstractNumId="15" w15:restartNumberingAfterBreak="0">
    <w:nsid w:val="6C734277"/>
    <w:multiLevelType w:val="hybridMultilevel"/>
    <w:tmpl w:val="DFF0B55E"/>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6" w15:restartNumberingAfterBreak="0">
    <w:nsid w:val="6CFC5B5E"/>
    <w:multiLevelType w:val="hybridMultilevel"/>
    <w:tmpl w:val="ECD2B2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0D5575"/>
    <w:multiLevelType w:val="multilevel"/>
    <w:tmpl w:val="74D45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77ED7"/>
    <w:multiLevelType w:val="hybridMultilevel"/>
    <w:tmpl w:val="C8F88ABE"/>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9" w15:restartNumberingAfterBreak="0">
    <w:nsid w:val="771D6C3B"/>
    <w:multiLevelType w:val="hybridMultilevel"/>
    <w:tmpl w:val="DFF0B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A663DA"/>
    <w:multiLevelType w:val="hybridMultilevel"/>
    <w:tmpl w:val="645690EE"/>
    <w:lvl w:ilvl="0" w:tplc="102CEAD4">
      <w:start w:val="2024"/>
      <w:numFmt w:val="bullet"/>
      <w:lvlText w:val=""/>
      <w:lvlJc w:val="left"/>
      <w:pPr>
        <w:ind w:left="490" w:hanging="360"/>
      </w:pPr>
      <w:rPr>
        <w:rFonts w:ascii="Symbol" w:eastAsia="CVS Health Sans" w:hAnsi="Symbol" w:cs="CVS Health Sans"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16cid:durableId="1981376146">
    <w:abstractNumId w:val="1"/>
  </w:num>
  <w:num w:numId="2" w16cid:durableId="788470581">
    <w:abstractNumId w:val="19"/>
  </w:num>
  <w:num w:numId="3" w16cid:durableId="1222011857">
    <w:abstractNumId w:val="10"/>
  </w:num>
  <w:num w:numId="4" w16cid:durableId="1533572997">
    <w:abstractNumId w:val="8"/>
  </w:num>
  <w:num w:numId="5" w16cid:durableId="1054045350">
    <w:abstractNumId w:val="3"/>
  </w:num>
  <w:num w:numId="6" w16cid:durableId="131291156">
    <w:abstractNumId w:val="18"/>
  </w:num>
  <w:num w:numId="7" w16cid:durableId="1657102859">
    <w:abstractNumId w:val="14"/>
  </w:num>
  <w:num w:numId="8" w16cid:durableId="1830363165">
    <w:abstractNumId w:val="15"/>
  </w:num>
  <w:num w:numId="9" w16cid:durableId="1033186380">
    <w:abstractNumId w:val="4"/>
  </w:num>
  <w:num w:numId="10" w16cid:durableId="446584956">
    <w:abstractNumId w:val="13"/>
  </w:num>
  <w:num w:numId="11" w16cid:durableId="96101661">
    <w:abstractNumId w:val="7"/>
  </w:num>
  <w:num w:numId="12" w16cid:durableId="2106218635">
    <w:abstractNumId w:val="20"/>
  </w:num>
  <w:num w:numId="13" w16cid:durableId="1447888303">
    <w:abstractNumId w:val="0"/>
  </w:num>
  <w:num w:numId="14" w16cid:durableId="1747990971">
    <w:abstractNumId w:val="16"/>
  </w:num>
  <w:num w:numId="15" w16cid:durableId="1125780006">
    <w:abstractNumId w:val="17"/>
  </w:num>
  <w:num w:numId="16" w16cid:durableId="52389001">
    <w:abstractNumId w:val="9"/>
  </w:num>
  <w:num w:numId="17" w16cid:durableId="2108846953">
    <w:abstractNumId w:val="11"/>
  </w:num>
  <w:num w:numId="18" w16cid:durableId="595216652">
    <w:abstractNumId w:val="2"/>
  </w:num>
  <w:num w:numId="19" w16cid:durableId="78405536">
    <w:abstractNumId w:val="12"/>
  </w:num>
  <w:num w:numId="20" w16cid:durableId="1515151773">
    <w:abstractNumId w:val="5"/>
  </w:num>
  <w:num w:numId="21" w16cid:durableId="10690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F"/>
    <w:rsid w:val="000022A7"/>
    <w:rsid w:val="000076F9"/>
    <w:rsid w:val="0001265E"/>
    <w:rsid w:val="00012B8C"/>
    <w:rsid w:val="00012C26"/>
    <w:rsid w:val="00021502"/>
    <w:rsid w:val="00024CD5"/>
    <w:rsid w:val="00024FD2"/>
    <w:rsid w:val="00025C6F"/>
    <w:rsid w:val="00030DD5"/>
    <w:rsid w:val="00032FFD"/>
    <w:rsid w:val="00033185"/>
    <w:rsid w:val="00033C96"/>
    <w:rsid w:val="00034C88"/>
    <w:rsid w:val="00035895"/>
    <w:rsid w:val="00035F7B"/>
    <w:rsid w:val="00036720"/>
    <w:rsid w:val="0003797E"/>
    <w:rsid w:val="00041801"/>
    <w:rsid w:val="000419F7"/>
    <w:rsid w:val="00042419"/>
    <w:rsid w:val="0004728D"/>
    <w:rsid w:val="00051E01"/>
    <w:rsid w:val="00053520"/>
    <w:rsid w:val="00053E2A"/>
    <w:rsid w:val="00055DC3"/>
    <w:rsid w:val="000561BF"/>
    <w:rsid w:val="000561E1"/>
    <w:rsid w:val="00057734"/>
    <w:rsid w:val="0006091B"/>
    <w:rsid w:val="00062A6B"/>
    <w:rsid w:val="0006570D"/>
    <w:rsid w:val="00070E43"/>
    <w:rsid w:val="000747FA"/>
    <w:rsid w:val="00075734"/>
    <w:rsid w:val="00076312"/>
    <w:rsid w:val="000771FC"/>
    <w:rsid w:val="00082B75"/>
    <w:rsid w:val="0008339B"/>
    <w:rsid w:val="00084288"/>
    <w:rsid w:val="00084D9C"/>
    <w:rsid w:val="000856F1"/>
    <w:rsid w:val="0008656A"/>
    <w:rsid w:val="000866F7"/>
    <w:rsid w:val="00091426"/>
    <w:rsid w:val="00091B10"/>
    <w:rsid w:val="00096875"/>
    <w:rsid w:val="00096FD6"/>
    <w:rsid w:val="00097C93"/>
    <w:rsid w:val="000A0CF2"/>
    <w:rsid w:val="000A0D18"/>
    <w:rsid w:val="000A155C"/>
    <w:rsid w:val="000A3E10"/>
    <w:rsid w:val="000A4C57"/>
    <w:rsid w:val="000A5244"/>
    <w:rsid w:val="000A5D24"/>
    <w:rsid w:val="000A6CF2"/>
    <w:rsid w:val="000A7A10"/>
    <w:rsid w:val="000A7A53"/>
    <w:rsid w:val="000B1535"/>
    <w:rsid w:val="000B65D9"/>
    <w:rsid w:val="000B7C86"/>
    <w:rsid w:val="000C18B0"/>
    <w:rsid w:val="000C1B28"/>
    <w:rsid w:val="000D4414"/>
    <w:rsid w:val="000E3E16"/>
    <w:rsid w:val="000E4AF1"/>
    <w:rsid w:val="000E6088"/>
    <w:rsid w:val="000E749F"/>
    <w:rsid w:val="000F618D"/>
    <w:rsid w:val="000F7A31"/>
    <w:rsid w:val="000F7E00"/>
    <w:rsid w:val="000F7FA1"/>
    <w:rsid w:val="00101247"/>
    <w:rsid w:val="00101AF1"/>
    <w:rsid w:val="00102E0E"/>
    <w:rsid w:val="00105362"/>
    <w:rsid w:val="0010579C"/>
    <w:rsid w:val="00105E01"/>
    <w:rsid w:val="0010780C"/>
    <w:rsid w:val="00110C8D"/>
    <w:rsid w:val="00110D5C"/>
    <w:rsid w:val="00110E4F"/>
    <w:rsid w:val="001114BD"/>
    <w:rsid w:val="00112949"/>
    <w:rsid w:val="0011298C"/>
    <w:rsid w:val="00117D9D"/>
    <w:rsid w:val="0013148A"/>
    <w:rsid w:val="00131536"/>
    <w:rsid w:val="00136AA9"/>
    <w:rsid w:val="0013714F"/>
    <w:rsid w:val="00142480"/>
    <w:rsid w:val="00145ED4"/>
    <w:rsid w:val="00146A60"/>
    <w:rsid w:val="001506BA"/>
    <w:rsid w:val="00154E61"/>
    <w:rsid w:val="001550C3"/>
    <w:rsid w:val="00155B0F"/>
    <w:rsid w:val="00156184"/>
    <w:rsid w:val="00156EA9"/>
    <w:rsid w:val="00157CD7"/>
    <w:rsid w:val="0016017F"/>
    <w:rsid w:val="001636E0"/>
    <w:rsid w:val="00170254"/>
    <w:rsid w:val="00183D69"/>
    <w:rsid w:val="001907C6"/>
    <w:rsid w:val="00195B14"/>
    <w:rsid w:val="001962F4"/>
    <w:rsid w:val="001A1FF4"/>
    <w:rsid w:val="001A2FFC"/>
    <w:rsid w:val="001A343F"/>
    <w:rsid w:val="001A5725"/>
    <w:rsid w:val="001A5DEB"/>
    <w:rsid w:val="001A75CA"/>
    <w:rsid w:val="001B001D"/>
    <w:rsid w:val="001B01FD"/>
    <w:rsid w:val="001B0D31"/>
    <w:rsid w:val="001B1CE7"/>
    <w:rsid w:val="001B6A3F"/>
    <w:rsid w:val="001B7C3A"/>
    <w:rsid w:val="001C2978"/>
    <w:rsid w:val="001C3023"/>
    <w:rsid w:val="001C3124"/>
    <w:rsid w:val="001C3DE1"/>
    <w:rsid w:val="001C553B"/>
    <w:rsid w:val="001C67A8"/>
    <w:rsid w:val="001D1128"/>
    <w:rsid w:val="001D1154"/>
    <w:rsid w:val="001D1E00"/>
    <w:rsid w:val="001D7156"/>
    <w:rsid w:val="001D7E71"/>
    <w:rsid w:val="001E1272"/>
    <w:rsid w:val="001E1ED3"/>
    <w:rsid w:val="001E2199"/>
    <w:rsid w:val="001E35E3"/>
    <w:rsid w:val="001E3AD6"/>
    <w:rsid w:val="001E58C4"/>
    <w:rsid w:val="001E631D"/>
    <w:rsid w:val="001E6E88"/>
    <w:rsid w:val="001E755A"/>
    <w:rsid w:val="001F151C"/>
    <w:rsid w:val="001F22D3"/>
    <w:rsid w:val="001F4E1A"/>
    <w:rsid w:val="001F6407"/>
    <w:rsid w:val="001F789C"/>
    <w:rsid w:val="002015F5"/>
    <w:rsid w:val="00201DF6"/>
    <w:rsid w:val="00202C35"/>
    <w:rsid w:val="002037B3"/>
    <w:rsid w:val="0020795D"/>
    <w:rsid w:val="00215C48"/>
    <w:rsid w:val="00222BED"/>
    <w:rsid w:val="002235DE"/>
    <w:rsid w:val="0022494D"/>
    <w:rsid w:val="00225655"/>
    <w:rsid w:val="00227890"/>
    <w:rsid w:val="00227EC0"/>
    <w:rsid w:val="00232637"/>
    <w:rsid w:val="002343DD"/>
    <w:rsid w:val="0023461E"/>
    <w:rsid w:val="0023518F"/>
    <w:rsid w:val="002358CD"/>
    <w:rsid w:val="002375EA"/>
    <w:rsid w:val="00244385"/>
    <w:rsid w:val="002447CF"/>
    <w:rsid w:val="002478B5"/>
    <w:rsid w:val="002479AA"/>
    <w:rsid w:val="00250483"/>
    <w:rsid w:val="00253BCA"/>
    <w:rsid w:val="0025592F"/>
    <w:rsid w:val="0026017C"/>
    <w:rsid w:val="002656B3"/>
    <w:rsid w:val="00266159"/>
    <w:rsid w:val="002662ED"/>
    <w:rsid w:val="00272200"/>
    <w:rsid w:val="00277AE5"/>
    <w:rsid w:val="00280146"/>
    <w:rsid w:val="00282365"/>
    <w:rsid w:val="00285AFE"/>
    <w:rsid w:val="00287B8C"/>
    <w:rsid w:val="002941D2"/>
    <w:rsid w:val="00295306"/>
    <w:rsid w:val="00297950"/>
    <w:rsid w:val="002A45C4"/>
    <w:rsid w:val="002A6B7B"/>
    <w:rsid w:val="002B2B2B"/>
    <w:rsid w:val="002B608D"/>
    <w:rsid w:val="002C08CF"/>
    <w:rsid w:val="002C4AB3"/>
    <w:rsid w:val="002C70BF"/>
    <w:rsid w:val="002C7909"/>
    <w:rsid w:val="002C7F95"/>
    <w:rsid w:val="002D6782"/>
    <w:rsid w:val="002E1913"/>
    <w:rsid w:val="002E50D7"/>
    <w:rsid w:val="002E676A"/>
    <w:rsid w:val="002F0B7F"/>
    <w:rsid w:val="002F11D2"/>
    <w:rsid w:val="002F54CC"/>
    <w:rsid w:val="002F54E4"/>
    <w:rsid w:val="00301CE5"/>
    <w:rsid w:val="00303E6C"/>
    <w:rsid w:val="00306C89"/>
    <w:rsid w:val="00306E9E"/>
    <w:rsid w:val="00312E20"/>
    <w:rsid w:val="0031685A"/>
    <w:rsid w:val="0032219B"/>
    <w:rsid w:val="00325E75"/>
    <w:rsid w:val="00327A4C"/>
    <w:rsid w:val="003348C2"/>
    <w:rsid w:val="003378BB"/>
    <w:rsid w:val="00337BD7"/>
    <w:rsid w:val="003417CE"/>
    <w:rsid w:val="00342444"/>
    <w:rsid w:val="00345D45"/>
    <w:rsid w:val="00351445"/>
    <w:rsid w:val="00355AB2"/>
    <w:rsid w:val="003613C9"/>
    <w:rsid w:val="00364DC7"/>
    <w:rsid w:val="003655EE"/>
    <w:rsid w:val="00366FBC"/>
    <w:rsid w:val="00371A94"/>
    <w:rsid w:val="003815E7"/>
    <w:rsid w:val="00385F08"/>
    <w:rsid w:val="0038737E"/>
    <w:rsid w:val="00391E87"/>
    <w:rsid w:val="00395AFF"/>
    <w:rsid w:val="003A00D3"/>
    <w:rsid w:val="003A0AAE"/>
    <w:rsid w:val="003A113C"/>
    <w:rsid w:val="003A1F0F"/>
    <w:rsid w:val="003A2F07"/>
    <w:rsid w:val="003A6202"/>
    <w:rsid w:val="003A6FCF"/>
    <w:rsid w:val="003A70A2"/>
    <w:rsid w:val="003A7636"/>
    <w:rsid w:val="003B191D"/>
    <w:rsid w:val="003B3523"/>
    <w:rsid w:val="003B3D87"/>
    <w:rsid w:val="003B4CE8"/>
    <w:rsid w:val="003B780F"/>
    <w:rsid w:val="003B7D85"/>
    <w:rsid w:val="003C1BAC"/>
    <w:rsid w:val="003D50D1"/>
    <w:rsid w:val="003D5D56"/>
    <w:rsid w:val="003D5E7F"/>
    <w:rsid w:val="003D645F"/>
    <w:rsid w:val="003D66F3"/>
    <w:rsid w:val="003E3535"/>
    <w:rsid w:val="003E78A9"/>
    <w:rsid w:val="003F0FB6"/>
    <w:rsid w:val="0040348A"/>
    <w:rsid w:val="00403C87"/>
    <w:rsid w:val="00404247"/>
    <w:rsid w:val="00404635"/>
    <w:rsid w:val="00407E90"/>
    <w:rsid w:val="00413B9A"/>
    <w:rsid w:val="004315BC"/>
    <w:rsid w:val="00432B55"/>
    <w:rsid w:val="004331F0"/>
    <w:rsid w:val="004354E5"/>
    <w:rsid w:val="00435BC3"/>
    <w:rsid w:val="00440457"/>
    <w:rsid w:val="00440A87"/>
    <w:rsid w:val="00443CE8"/>
    <w:rsid w:val="0044573C"/>
    <w:rsid w:val="00445BF3"/>
    <w:rsid w:val="00447729"/>
    <w:rsid w:val="004519D2"/>
    <w:rsid w:val="00451B82"/>
    <w:rsid w:val="004526FF"/>
    <w:rsid w:val="00454CF2"/>
    <w:rsid w:val="00455509"/>
    <w:rsid w:val="00455550"/>
    <w:rsid w:val="00455C03"/>
    <w:rsid w:val="004621BF"/>
    <w:rsid w:val="004643DE"/>
    <w:rsid w:val="004668B1"/>
    <w:rsid w:val="004675DF"/>
    <w:rsid w:val="0047121A"/>
    <w:rsid w:val="00471849"/>
    <w:rsid w:val="00471F3B"/>
    <w:rsid w:val="0047236E"/>
    <w:rsid w:val="00477497"/>
    <w:rsid w:val="00483C3C"/>
    <w:rsid w:val="00484673"/>
    <w:rsid w:val="004862F1"/>
    <w:rsid w:val="00486FD2"/>
    <w:rsid w:val="00487F5C"/>
    <w:rsid w:val="004903D4"/>
    <w:rsid w:val="00491C2B"/>
    <w:rsid w:val="00494E55"/>
    <w:rsid w:val="00495B26"/>
    <w:rsid w:val="004A5BD7"/>
    <w:rsid w:val="004B259E"/>
    <w:rsid w:val="004B2BFF"/>
    <w:rsid w:val="004B48D3"/>
    <w:rsid w:val="004B5D21"/>
    <w:rsid w:val="004B644D"/>
    <w:rsid w:val="004C0519"/>
    <w:rsid w:val="004C1990"/>
    <w:rsid w:val="004C2011"/>
    <w:rsid w:val="004C4DEB"/>
    <w:rsid w:val="004C53C5"/>
    <w:rsid w:val="004C543D"/>
    <w:rsid w:val="004C75B5"/>
    <w:rsid w:val="004D04B1"/>
    <w:rsid w:val="004D161F"/>
    <w:rsid w:val="004D31D0"/>
    <w:rsid w:val="004D3658"/>
    <w:rsid w:val="004D3B0C"/>
    <w:rsid w:val="004D53D7"/>
    <w:rsid w:val="004E0FFD"/>
    <w:rsid w:val="004E11DD"/>
    <w:rsid w:val="004E71FC"/>
    <w:rsid w:val="004F2FFD"/>
    <w:rsid w:val="004F7021"/>
    <w:rsid w:val="00501210"/>
    <w:rsid w:val="005014EA"/>
    <w:rsid w:val="00503B4E"/>
    <w:rsid w:val="00507BA4"/>
    <w:rsid w:val="00510E52"/>
    <w:rsid w:val="00513BD1"/>
    <w:rsid w:val="0052193F"/>
    <w:rsid w:val="00540A78"/>
    <w:rsid w:val="00543F73"/>
    <w:rsid w:val="00547683"/>
    <w:rsid w:val="00550902"/>
    <w:rsid w:val="005521A9"/>
    <w:rsid w:val="00557876"/>
    <w:rsid w:val="00557B4D"/>
    <w:rsid w:val="00560991"/>
    <w:rsid w:val="00562686"/>
    <w:rsid w:val="005645A5"/>
    <w:rsid w:val="00564AC0"/>
    <w:rsid w:val="005658A5"/>
    <w:rsid w:val="00567617"/>
    <w:rsid w:val="00570C55"/>
    <w:rsid w:val="0057760D"/>
    <w:rsid w:val="0058264C"/>
    <w:rsid w:val="00582AD4"/>
    <w:rsid w:val="0058556C"/>
    <w:rsid w:val="0058759C"/>
    <w:rsid w:val="00593248"/>
    <w:rsid w:val="00594F5C"/>
    <w:rsid w:val="00595219"/>
    <w:rsid w:val="0059662E"/>
    <w:rsid w:val="00597CE7"/>
    <w:rsid w:val="005A05B9"/>
    <w:rsid w:val="005A0627"/>
    <w:rsid w:val="005A07D0"/>
    <w:rsid w:val="005A0931"/>
    <w:rsid w:val="005A270C"/>
    <w:rsid w:val="005A5A83"/>
    <w:rsid w:val="005A6E10"/>
    <w:rsid w:val="005B0558"/>
    <w:rsid w:val="005B0DD0"/>
    <w:rsid w:val="005B4238"/>
    <w:rsid w:val="005C0887"/>
    <w:rsid w:val="005C0C23"/>
    <w:rsid w:val="005C5F1D"/>
    <w:rsid w:val="005C7CDD"/>
    <w:rsid w:val="005C7FD9"/>
    <w:rsid w:val="005C7FDB"/>
    <w:rsid w:val="005D0116"/>
    <w:rsid w:val="005D55D2"/>
    <w:rsid w:val="005D6214"/>
    <w:rsid w:val="005E3E8C"/>
    <w:rsid w:val="005E64B0"/>
    <w:rsid w:val="005F0F27"/>
    <w:rsid w:val="005F2BC4"/>
    <w:rsid w:val="006030F7"/>
    <w:rsid w:val="00607205"/>
    <w:rsid w:val="00611527"/>
    <w:rsid w:val="00614AAD"/>
    <w:rsid w:val="006159E3"/>
    <w:rsid w:val="00625A06"/>
    <w:rsid w:val="006273C4"/>
    <w:rsid w:val="00630564"/>
    <w:rsid w:val="006305C9"/>
    <w:rsid w:val="00631779"/>
    <w:rsid w:val="006318C3"/>
    <w:rsid w:val="00636D71"/>
    <w:rsid w:val="00637972"/>
    <w:rsid w:val="00637B77"/>
    <w:rsid w:val="006404DD"/>
    <w:rsid w:val="00640711"/>
    <w:rsid w:val="00646272"/>
    <w:rsid w:val="00647F0D"/>
    <w:rsid w:val="00651BC5"/>
    <w:rsid w:val="006571C1"/>
    <w:rsid w:val="0066095F"/>
    <w:rsid w:val="00662BED"/>
    <w:rsid w:val="00666EA8"/>
    <w:rsid w:val="00667024"/>
    <w:rsid w:val="00673222"/>
    <w:rsid w:val="00682D1F"/>
    <w:rsid w:val="0068743D"/>
    <w:rsid w:val="00691CE0"/>
    <w:rsid w:val="00691F0C"/>
    <w:rsid w:val="006935C0"/>
    <w:rsid w:val="006A203F"/>
    <w:rsid w:val="006A5B96"/>
    <w:rsid w:val="006B10B2"/>
    <w:rsid w:val="006B10BD"/>
    <w:rsid w:val="006B3170"/>
    <w:rsid w:val="006B3C62"/>
    <w:rsid w:val="006B45B7"/>
    <w:rsid w:val="006C0554"/>
    <w:rsid w:val="006C18AF"/>
    <w:rsid w:val="006C212A"/>
    <w:rsid w:val="006C26D6"/>
    <w:rsid w:val="006C30A9"/>
    <w:rsid w:val="006C3CE4"/>
    <w:rsid w:val="006D1E46"/>
    <w:rsid w:val="006D2021"/>
    <w:rsid w:val="006E0E0B"/>
    <w:rsid w:val="006E5CE0"/>
    <w:rsid w:val="006E65F2"/>
    <w:rsid w:val="006E79E1"/>
    <w:rsid w:val="006F1256"/>
    <w:rsid w:val="006F4CD9"/>
    <w:rsid w:val="006F5566"/>
    <w:rsid w:val="006F5B8B"/>
    <w:rsid w:val="006F7F3A"/>
    <w:rsid w:val="0070358C"/>
    <w:rsid w:val="00705E5B"/>
    <w:rsid w:val="007072B7"/>
    <w:rsid w:val="00711A06"/>
    <w:rsid w:val="00711D5E"/>
    <w:rsid w:val="00716187"/>
    <w:rsid w:val="00717C96"/>
    <w:rsid w:val="00717CF3"/>
    <w:rsid w:val="00724AAF"/>
    <w:rsid w:val="00726E3E"/>
    <w:rsid w:val="00730A19"/>
    <w:rsid w:val="007352B7"/>
    <w:rsid w:val="00736B92"/>
    <w:rsid w:val="0074036B"/>
    <w:rsid w:val="00744279"/>
    <w:rsid w:val="007455EE"/>
    <w:rsid w:val="00746722"/>
    <w:rsid w:val="0075089C"/>
    <w:rsid w:val="007508D1"/>
    <w:rsid w:val="0075410B"/>
    <w:rsid w:val="00755C58"/>
    <w:rsid w:val="00763850"/>
    <w:rsid w:val="00764F8E"/>
    <w:rsid w:val="007660E1"/>
    <w:rsid w:val="00767279"/>
    <w:rsid w:val="00770817"/>
    <w:rsid w:val="00770DFE"/>
    <w:rsid w:val="00776EE5"/>
    <w:rsid w:val="007807CE"/>
    <w:rsid w:val="0078529F"/>
    <w:rsid w:val="00790AC6"/>
    <w:rsid w:val="00790B5F"/>
    <w:rsid w:val="007911A5"/>
    <w:rsid w:val="00794705"/>
    <w:rsid w:val="007953A4"/>
    <w:rsid w:val="00797D30"/>
    <w:rsid w:val="007A2082"/>
    <w:rsid w:val="007A5A09"/>
    <w:rsid w:val="007A6B7F"/>
    <w:rsid w:val="007A6FC7"/>
    <w:rsid w:val="007A703E"/>
    <w:rsid w:val="007A762B"/>
    <w:rsid w:val="007B4308"/>
    <w:rsid w:val="007B518A"/>
    <w:rsid w:val="007B60BE"/>
    <w:rsid w:val="007B6E0F"/>
    <w:rsid w:val="007B7B70"/>
    <w:rsid w:val="007C1A5A"/>
    <w:rsid w:val="007C4A6D"/>
    <w:rsid w:val="007C6914"/>
    <w:rsid w:val="007C729A"/>
    <w:rsid w:val="007C7675"/>
    <w:rsid w:val="007C7D35"/>
    <w:rsid w:val="007D0D90"/>
    <w:rsid w:val="007D1ED4"/>
    <w:rsid w:val="007D3D15"/>
    <w:rsid w:val="007D648E"/>
    <w:rsid w:val="007E19A3"/>
    <w:rsid w:val="007E29FF"/>
    <w:rsid w:val="007E33F5"/>
    <w:rsid w:val="007E5C3D"/>
    <w:rsid w:val="007E70FD"/>
    <w:rsid w:val="007F021C"/>
    <w:rsid w:val="007F0DA1"/>
    <w:rsid w:val="007F4C59"/>
    <w:rsid w:val="007F68D7"/>
    <w:rsid w:val="00802D32"/>
    <w:rsid w:val="00810B46"/>
    <w:rsid w:val="00811E0C"/>
    <w:rsid w:val="008260A1"/>
    <w:rsid w:val="00831DD6"/>
    <w:rsid w:val="008355CF"/>
    <w:rsid w:val="0083640E"/>
    <w:rsid w:val="0084311D"/>
    <w:rsid w:val="00844F44"/>
    <w:rsid w:val="00850755"/>
    <w:rsid w:val="00851C7D"/>
    <w:rsid w:val="008558CE"/>
    <w:rsid w:val="00855A41"/>
    <w:rsid w:val="008566B6"/>
    <w:rsid w:val="00861D93"/>
    <w:rsid w:val="00863404"/>
    <w:rsid w:val="00864219"/>
    <w:rsid w:val="00864B38"/>
    <w:rsid w:val="0087121E"/>
    <w:rsid w:val="0087472E"/>
    <w:rsid w:val="00874FF9"/>
    <w:rsid w:val="008773EB"/>
    <w:rsid w:val="00877A39"/>
    <w:rsid w:val="0088245D"/>
    <w:rsid w:val="00886D5E"/>
    <w:rsid w:val="008902DC"/>
    <w:rsid w:val="00891703"/>
    <w:rsid w:val="008928D8"/>
    <w:rsid w:val="008934F9"/>
    <w:rsid w:val="00894D0B"/>
    <w:rsid w:val="00895F96"/>
    <w:rsid w:val="008965EC"/>
    <w:rsid w:val="008978E2"/>
    <w:rsid w:val="008A064D"/>
    <w:rsid w:val="008A2A4A"/>
    <w:rsid w:val="008A4C25"/>
    <w:rsid w:val="008A5D24"/>
    <w:rsid w:val="008B7774"/>
    <w:rsid w:val="008C0ACD"/>
    <w:rsid w:val="008C3212"/>
    <w:rsid w:val="008C7235"/>
    <w:rsid w:val="008D1C47"/>
    <w:rsid w:val="008D3989"/>
    <w:rsid w:val="008D468E"/>
    <w:rsid w:val="008D4EF5"/>
    <w:rsid w:val="008D5AD8"/>
    <w:rsid w:val="008D6445"/>
    <w:rsid w:val="008E0115"/>
    <w:rsid w:val="008E44C0"/>
    <w:rsid w:val="008E5939"/>
    <w:rsid w:val="008F0109"/>
    <w:rsid w:val="008F1660"/>
    <w:rsid w:val="008F3B78"/>
    <w:rsid w:val="008F499A"/>
    <w:rsid w:val="008F79A6"/>
    <w:rsid w:val="008F79DA"/>
    <w:rsid w:val="008F7FF2"/>
    <w:rsid w:val="00902D92"/>
    <w:rsid w:val="0090305F"/>
    <w:rsid w:val="009132B3"/>
    <w:rsid w:val="00913E92"/>
    <w:rsid w:val="009208E6"/>
    <w:rsid w:val="00920DD5"/>
    <w:rsid w:val="009225A8"/>
    <w:rsid w:val="00922A68"/>
    <w:rsid w:val="0092400D"/>
    <w:rsid w:val="00925DEB"/>
    <w:rsid w:val="00926E3D"/>
    <w:rsid w:val="00930F13"/>
    <w:rsid w:val="00931C6B"/>
    <w:rsid w:val="00932B8D"/>
    <w:rsid w:val="00934095"/>
    <w:rsid w:val="009341A1"/>
    <w:rsid w:val="009405DB"/>
    <w:rsid w:val="0094079D"/>
    <w:rsid w:val="0094082D"/>
    <w:rsid w:val="00942A24"/>
    <w:rsid w:val="00944607"/>
    <w:rsid w:val="00945EB2"/>
    <w:rsid w:val="00952982"/>
    <w:rsid w:val="00955DFD"/>
    <w:rsid w:val="009601DB"/>
    <w:rsid w:val="00960804"/>
    <w:rsid w:val="00965CB6"/>
    <w:rsid w:val="0096693B"/>
    <w:rsid w:val="009673F5"/>
    <w:rsid w:val="009739E7"/>
    <w:rsid w:val="00973F1A"/>
    <w:rsid w:val="00974C1B"/>
    <w:rsid w:val="009750DC"/>
    <w:rsid w:val="00976DEF"/>
    <w:rsid w:val="009821A7"/>
    <w:rsid w:val="00986B11"/>
    <w:rsid w:val="009874A8"/>
    <w:rsid w:val="00987ABF"/>
    <w:rsid w:val="00991062"/>
    <w:rsid w:val="009929D5"/>
    <w:rsid w:val="009956DE"/>
    <w:rsid w:val="00996F73"/>
    <w:rsid w:val="009A347C"/>
    <w:rsid w:val="009A7AE4"/>
    <w:rsid w:val="009B33A2"/>
    <w:rsid w:val="009B6097"/>
    <w:rsid w:val="009B69B4"/>
    <w:rsid w:val="009B7521"/>
    <w:rsid w:val="009B7B81"/>
    <w:rsid w:val="009C0C29"/>
    <w:rsid w:val="009C21DD"/>
    <w:rsid w:val="009C6421"/>
    <w:rsid w:val="009C679B"/>
    <w:rsid w:val="009D2629"/>
    <w:rsid w:val="009D2933"/>
    <w:rsid w:val="009D3191"/>
    <w:rsid w:val="009D43C2"/>
    <w:rsid w:val="009D4691"/>
    <w:rsid w:val="009E27FE"/>
    <w:rsid w:val="009E49A3"/>
    <w:rsid w:val="009E5D2E"/>
    <w:rsid w:val="009E6FD6"/>
    <w:rsid w:val="009F2559"/>
    <w:rsid w:val="009F6410"/>
    <w:rsid w:val="009F7005"/>
    <w:rsid w:val="00A00394"/>
    <w:rsid w:val="00A01DE7"/>
    <w:rsid w:val="00A02146"/>
    <w:rsid w:val="00A04681"/>
    <w:rsid w:val="00A145D7"/>
    <w:rsid w:val="00A14BE8"/>
    <w:rsid w:val="00A1501C"/>
    <w:rsid w:val="00A16CEE"/>
    <w:rsid w:val="00A16D81"/>
    <w:rsid w:val="00A264F0"/>
    <w:rsid w:val="00A27191"/>
    <w:rsid w:val="00A34738"/>
    <w:rsid w:val="00A347E2"/>
    <w:rsid w:val="00A40148"/>
    <w:rsid w:val="00A4041F"/>
    <w:rsid w:val="00A40989"/>
    <w:rsid w:val="00A52937"/>
    <w:rsid w:val="00A609D8"/>
    <w:rsid w:val="00A60CB0"/>
    <w:rsid w:val="00A627B5"/>
    <w:rsid w:val="00A62ACC"/>
    <w:rsid w:val="00A63EA6"/>
    <w:rsid w:val="00A6531B"/>
    <w:rsid w:val="00A727AC"/>
    <w:rsid w:val="00A7479B"/>
    <w:rsid w:val="00A74869"/>
    <w:rsid w:val="00A80CB1"/>
    <w:rsid w:val="00A8175E"/>
    <w:rsid w:val="00A83C2E"/>
    <w:rsid w:val="00A83FE1"/>
    <w:rsid w:val="00A84285"/>
    <w:rsid w:val="00A85E1B"/>
    <w:rsid w:val="00A861DF"/>
    <w:rsid w:val="00A87F7E"/>
    <w:rsid w:val="00A9187A"/>
    <w:rsid w:val="00A923F4"/>
    <w:rsid w:val="00A92778"/>
    <w:rsid w:val="00A941BD"/>
    <w:rsid w:val="00A94AC8"/>
    <w:rsid w:val="00AA004F"/>
    <w:rsid w:val="00AA11A9"/>
    <w:rsid w:val="00AA2951"/>
    <w:rsid w:val="00AA39C0"/>
    <w:rsid w:val="00AA4E92"/>
    <w:rsid w:val="00AA610C"/>
    <w:rsid w:val="00AA667B"/>
    <w:rsid w:val="00AB3F99"/>
    <w:rsid w:val="00AB57BB"/>
    <w:rsid w:val="00AB6D7D"/>
    <w:rsid w:val="00AC080D"/>
    <w:rsid w:val="00AC19FC"/>
    <w:rsid w:val="00AC5689"/>
    <w:rsid w:val="00AC66FD"/>
    <w:rsid w:val="00AD06F2"/>
    <w:rsid w:val="00AD6306"/>
    <w:rsid w:val="00AE2941"/>
    <w:rsid w:val="00AE7816"/>
    <w:rsid w:val="00AF0AD8"/>
    <w:rsid w:val="00AF0B0E"/>
    <w:rsid w:val="00AF2BA6"/>
    <w:rsid w:val="00AF3291"/>
    <w:rsid w:val="00AF3878"/>
    <w:rsid w:val="00AF4388"/>
    <w:rsid w:val="00AF6FAB"/>
    <w:rsid w:val="00B01EB2"/>
    <w:rsid w:val="00B03DAA"/>
    <w:rsid w:val="00B0638E"/>
    <w:rsid w:val="00B12A2F"/>
    <w:rsid w:val="00B14E01"/>
    <w:rsid w:val="00B14FB6"/>
    <w:rsid w:val="00B15CD5"/>
    <w:rsid w:val="00B1717F"/>
    <w:rsid w:val="00B204EF"/>
    <w:rsid w:val="00B207C0"/>
    <w:rsid w:val="00B22AB7"/>
    <w:rsid w:val="00B24B6C"/>
    <w:rsid w:val="00B277B9"/>
    <w:rsid w:val="00B35243"/>
    <w:rsid w:val="00B3588F"/>
    <w:rsid w:val="00B35E6C"/>
    <w:rsid w:val="00B36363"/>
    <w:rsid w:val="00B37FC8"/>
    <w:rsid w:val="00B41180"/>
    <w:rsid w:val="00B411D4"/>
    <w:rsid w:val="00B4342C"/>
    <w:rsid w:val="00B446D8"/>
    <w:rsid w:val="00B52746"/>
    <w:rsid w:val="00B56489"/>
    <w:rsid w:val="00B62178"/>
    <w:rsid w:val="00B624C2"/>
    <w:rsid w:val="00B66CB5"/>
    <w:rsid w:val="00B72C2D"/>
    <w:rsid w:val="00B741E5"/>
    <w:rsid w:val="00B744A0"/>
    <w:rsid w:val="00B750BE"/>
    <w:rsid w:val="00B81D2D"/>
    <w:rsid w:val="00B82C4C"/>
    <w:rsid w:val="00B863C9"/>
    <w:rsid w:val="00B86ED3"/>
    <w:rsid w:val="00B90E20"/>
    <w:rsid w:val="00B91E6A"/>
    <w:rsid w:val="00B94963"/>
    <w:rsid w:val="00B9580F"/>
    <w:rsid w:val="00BA070E"/>
    <w:rsid w:val="00BA07A0"/>
    <w:rsid w:val="00BB4D77"/>
    <w:rsid w:val="00BC367C"/>
    <w:rsid w:val="00BD16F4"/>
    <w:rsid w:val="00BD4C50"/>
    <w:rsid w:val="00BD4DD7"/>
    <w:rsid w:val="00BD5D03"/>
    <w:rsid w:val="00BE3C5A"/>
    <w:rsid w:val="00BE7407"/>
    <w:rsid w:val="00BF1867"/>
    <w:rsid w:val="00BF2497"/>
    <w:rsid w:val="00BF3670"/>
    <w:rsid w:val="00BF454B"/>
    <w:rsid w:val="00BF63F7"/>
    <w:rsid w:val="00BF6459"/>
    <w:rsid w:val="00C020D4"/>
    <w:rsid w:val="00C035F7"/>
    <w:rsid w:val="00C04168"/>
    <w:rsid w:val="00C16DFF"/>
    <w:rsid w:val="00C23A86"/>
    <w:rsid w:val="00C24249"/>
    <w:rsid w:val="00C24792"/>
    <w:rsid w:val="00C264E4"/>
    <w:rsid w:val="00C272DA"/>
    <w:rsid w:val="00C279E3"/>
    <w:rsid w:val="00C27E1D"/>
    <w:rsid w:val="00C300D6"/>
    <w:rsid w:val="00C307E6"/>
    <w:rsid w:val="00C3647E"/>
    <w:rsid w:val="00C41BF5"/>
    <w:rsid w:val="00C42765"/>
    <w:rsid w:val="00C442ED"/>
    <w:rsid w:val="00C54A8B"/>
    <w:rsid w:val="00C67395"/>
    <w:rsid w:val="00C713A4"/>
    <w:rsid w:val="00C75450"/>
    <w:rsid w:val="00C83900"/>
    <w:rsid w:val="00C85082"/>
    <w:rsid w:val="00C86702"/>
    <w:rsid w:val="00C875CA"/>
    <w:rsid w:val="00C87E1E"/>
    <w:rsid w:val="00C93D7C"/>
    <w:rsid w:val="00C93F0C"/>
    <w:rsid w:val="00CA039B"/>
    <w:rsid w:val="00CA17F6"/>
    <w:rsid w:val="00CA1D5E"/>
    <w:rsid w:val="00CA23EC"/>
    <w:rsid w:val="00CA2C2B"/>
    <w:rsid w:val="00CA394E"/>
    <w:rsid w:val="00CA5359"/>
    <w:rsid w:val="00CB23B0"/>
    <w:rsid w:val="00CB57CB"/>
    <w:rsid w:val="00CC0FE9"/>
    <w:rsid w:val="00CC2884"/>
    <w:rsid w:val="00CD1095"/>
    <w:rsid w:val="00CD16A3"/>
    <w:rsid w:val="00CD28C0"/>
    <w:rsid w:val="00CD345B"/>
    <w:rsid w:val="00CD5E30"/>
    <w:rsid w:val="00CE0970"/>
    <w:rsid w:val="00CE1C45"/>
    <w:rsid w:val="00CE59EE"/>
    <w:rsid w:val="00CE5B3B"/>
    <w:rsid w:val="00CF11C7"/>
    <w:rsid w:val="00CF2551"/>
    <w:rsid w:val="00CF3190"/>
    <w:rsid w:val="00CF3C91"/>
    <w:rsid w:val="00CF5B0A"/>
    <w:rsid w:val="00CF65FB"/>
    <w:rsid w:val="00D0551D"/>
    <w:rsid w:val="00D05522"/>
    <w:rsid w:val="00D07E3B"/>
    <w:rsid w:val="00D11438"/>
    <w:rsid w:val="00D12DF4"/>
    <w:rsid w:val="00D15C1B"/>
    <w:rsid w:val="00D163D1"/>
    <w:rsid w:val="00D20E0A"/>
    <w:rsid w:val="00D20E5F"/>
    <w:rsid w:val="00D225DE"/>
    <w:rsid w:val="00D264CF"/>
    <w:rsid w:val="00D27314"/>
    <w:rsid w:val="00D27D0A"/>
    <w:rsid w:val="00D31228"/>
    <w:rsid w:val="00D31EF0"/>
    <w:rsid w:val="00D32442"/>
    <w:rsid w:val="00D32716"/>
    <w:rsid w:val="00D330DA"/>
    <w:rsid w:val="00D333B1"/>
    <w:rsid w:val="00D355D9"/>
    <w:rsid w:val="00D35AC1"/>
    <w:rsid w:val="00D373CC"/>
    <w:rsid w:val="00D375B3"/>
    <w:rsid w:val="00D37DE6"/>
    <w:rsid w:val="00D41BCB"/>
    <w:rsid w:val="00D46742"/>
    <w:rsid w:val="00D50233"/>
    <w:rsid w:val="00D50B92"/>
    <w:rsid w:val="00D522E3"/>
    <w:rsid w:val="00D545D9"/>
    <w:rsid w:val="00D57FD1"/>
    <w:rsid w:val="00D60AFF"/>
    <w:rsid w:val="00D638E6"/>
    <w:rsid w:val="00D63EE2"/>
    <w:rsid w:val="00D65426"/>
    <w:rsid w:val="00D65617"/>
    <w:rsid w:val="00D6622E"/>
    <w:rsid w:val="00D67E66"/>
    <w:rsid w:val="00D727D3"/>
    <w:rsid w:val="00D74814"/>
    <w:rsid w:val="00D76696"/>
    <w:rsid w:val="00D76E3E"/>
    <w:rsid w:val="00D77476"/>
    <w:rsid w:val="00D8030D"/>
    <w:rsid w:val="00D823C3"/>
    <w:rsid w:val="00D8349B"/>
    <w:rsid w:val="00D83EE5"/>
    <w:rsid w:val="00D8755E"/>
    <w:rsid w:val="00D900BA"/>
    <w:rsid w:val="00D9124F"/>
    <w:rsid w:val="00D921F9"/>
    <w:rsid w:val="00D949C8"/>
    <w:rsid w:val="00D96AFF"/>
    <w:rsid w:val="00D97D84"/>
    <w:rsid w:val="00DA0056"/>
    <w:rsid w:val="00DA6DF6"/>
    <w:rsid w:val="00DB090C"/>
    <w:rsid w:val="00DB2CC8"/>
    <w:rsid w:val="00DB2CF8"/>
    <w:rsid w:val="00DB2E43"/>
    <w:rsid w:val="00DB44B0"/>
    <w:rsid w:val="00DB6DFA"/>
    <w:rsid w:val="00DB782D"/>
    <w:rsid w:val="00DB7D28"/>
    <w:rsid w:val="00DC0054"/>
    <w:rsid w:val="00DC0C4C"/>
    <w:rsid w:val="00DC1DD7"/>
    <w:rsid w:val="00DC6BD2"/>
    <w:rsid w:val="00DC7F69"/>
    <w:rsid w:val="00DD0E35"/>
    <w:rsid w:val="00DD638E"/>
    <w:rsid w:val="00DD782D"/>
    <w:rsid w:val="00DE1D39"/>
    <w:rsid w:val="00DE29BD"/>
    <w:rsid w:val="00DE3F88"/>
    <w:rsid w:val="00DF002E"/>
    <w:rsid w:val="00DF4600"/>
    <w:rsid w:val="00DF47B0"/>
    <w:rsid w:val="00DF5B1A"/>
    <w:rsid w:val="00E02DE5"/>
    <w:rsid w:val="00E046B5"/>
    <w:rsid w:val="00E0580D"/>
    <w:rsid w:val="00E1071F"/>
    <w:rsid w:val="00E107A4"/>
    <w:rsid w:val="00E11070"/>
    <w:rsid w:val="00E113EC"/>
    <w:rsid w:val="00E12B03"/>
    <w:rsid w:val="00E155BF"/>
    <w:rsid w:val="00E17314"/>
    <w:rsid w:val="00E22727"/>
    <w:rsid w:val="00E234A0"/>
    <w:rsid w:val="00E24191"/>
    <w:rsid w:val="00E242D6"/>
    <w:rsid w:val="00E25D9F"/>
    <w:rsid w:val="00E262CC"/>
    <w:rsid w:val="00E27E9E"/>
    <w:rsid w:val="00E3348B"/>
    <w:rsid w:val="00E36446"/>
    <w:rsid w:val="00E446EC"/>
    <w:rsid w:val="00E45A3C"/>
    <w:rsid w:val="00E47B34"/>
    <w:rsid w:val="00E50341"/>
    <w:rsid w:val="00E50DBE"/>
    <w:rsid w:val="00E51B86"/>
    <w:rsid w:val="00E52062"/>
    <w:rsid w:val="00E521D4"/>
    <w:rsid w:val="00E52D47"/>
    <w:rsid w:val="00E62FB8"/>
    <w:rsid w:val="00E64502"/>
    <w:rsid w:val="00E76CC6"/>
    <w:rsid w:val="00E77D45"/>
    <w:rsid w:val="00E8481B"/>
    <w:rsid w:val="00E85EE6"/>
    <w:rsid w:val="00E87E9C"/>
    <w:rsid w:val="00E9056B"/>
    <w:rsid w:val="00E91DA4"/>
    <w:rsid w:val="00E92AAE"/>
    <w:rsid w:val="00E92C09"/>
    <w:rsid w:val="00E9449E"/>
    <w:rsid w:val="00EA1DF4"/>
    <w:rsid w:val="00EA2E12"/>
    <w:rsid w:val="00EA2E78"/>
    <w:rsid w:val="00EA2F55"/>
    <w:rsid w:val="00EA31D5"/>
    <w:rsid w:val="00EA37A1"/>
    <w:rsid w:val="00EA5531"/>
    <w:rsid w:val="00EA632A"/>
    <w:rsid w:val="00EA65F9"/>
    <w:rsid w:val="00EA7D9C"/>
    <w:rsid w:val="00EB1392"/>
    <w:rsid w:val="00EB1DA7"/>
    <w:rsid w:val="00EB1FF6"/>
    <w:rsid w:val="00EB20E7"/>
    <w:rsid w:val="00EB3D0D"/>
    <w:rsid w:val="00EB5802"/>
    <w:rsid w:val="00EB6E23"/>
    <w:rsid w:val="00EB7A13"/>
    <w:rsid w:val="00EC0344"/>
    <w:rsid w:val="00EC2640"/>
    <w:rsid w:val="00ED0CA9"/>
    <w:rsid w:val="00ED20AA"/>
    <w:rsid w:val="00ED287C"/>
    <w:rsid w:val="00ED2E79"/>
    <w:rsid w:val="00ED3D1B"/>
    <w:rsid w:val="00EE22AE"/>
    <w:rsid w:val="00EE42C7"/>
    <w:rsid w:val="00EE4752"/>
    <w:rsid w:val="00EE5D08"/>
    <w:rsid w:val="00EE5D15"/>
    <w:rsid w:val="00EF0FAA"/>
    <w:rsid w:val="00EF1046"/>
    <w:rsid w:val="00EF60F1"/>
    <w:rsid w:val="00EF7EAD"/>
    <w:rsid w:val="00F02243"/>
    <w:rsid w:val="00F0314C"/>
    <w:rsid w:val="00F06C79"/>
    <w:rsid w:val="00F10295"/>
    <w:rsid w:val="00F13D7F"/>
    <w:rsid w:val="00F167CF"/>
    <w:rsid w:val="00F17FEE"/>
    <w:rsid w:val="00F2408A"/>
    <w:rsid w:val="00F26028"/>
    <w:rsid w:val="00F3202F"/>
    <w:rsid w:val="00F3318B"/>
    <w:rsid w:val="00F362F0"/>
    <w:rsid w:val="00F375B6"/>
    <w:rsid w:val="00F4058D"/>
    <w:rsid w:val="00F41DB0"/>
    <w:rsid w:val="00F433F5"/>
    <w:rsid w:val="00F438B4"/>
    <w:rsid w:val="00F44311"/>
    <w:rsid w:val="00F44CFD"/>
    <w:rsid w:val="00F44DF3"/>
    <w:rsid w:val="00F470B1"/>
    <w:rsid w:val="00F524EE"/>
    <w:rsid w:val="00F56161"/>
    <w:rsid w:val="00F576D2"/>
    <w:rsid w:val="00F64C2D"/>
    <w:rsid w:val="00F657B0"/>
    <w:rsid w:val="00F70F77"/>
    <w:rsid w:val="00F71614"/>
    <w:rsid w:val="00F72B21"/>
    <w:rsid w:val="00F73847"/>
    <w:rsid w:val="00F7417F"/>
    <w:rsid w:val="00F747D3"/>
    <w:rsid w:val="00F76DE4"/>
    <w:rsid w:val="00F77C9F"/>
    <w:rsid w:val="00F807CC"/>
    <w:rsid w:val="00F8288B"/>
    <w:rsid w:val="00F82A1C"/>
    <w:rsid w:val="00F85054"/>
    <w:rsid w:val="00F8583E"/>
    <w:rsid w:val="00F86AC9"/>
    <w:rsid w:val="00F87D9B"/>
    <w:rsid w:val="00F901FE"/>
    <w:rsid w:val="00F9128F"/>
    <w:rsid w:val="00F9534A"/>
    <w:rsid w:val="00F962BC"/>
    <w:rsid w:val="00FA21BB"/>
    <w:rsid w:val="00FA6C2A"/>
    <w:rsid w:val="00FB54B1"/>
    <w:rsid w:val="00FB7516"/>
    <w:rsid w:val="00FC2D83"/>
    <w:rsid w:val="00FC3BDF"/>
    <w:rsid w:val="00FC413A"/>
    <w:rsid w:val="00FC5744"/>
    <w:rsid w:val="00FC65A8"/>
    <w:rsid w:val="00FD5138"/>
    <w:rsid w:val="00FD5630"/>
    <w:rsid w:val="00FE13EC"/>
    <w:rsid w:val="00FE2DEF"/>
    <w:rsid w:val="00FE48AC"/>
    <w:rsid w:val="00FF667F"/>
    <w:rsid w:val="0720C3FC"/>
    <w:rsid w:val="0D889725"/>
    <w:rsid w:val="18E3885F"/>
    <w:rsid w:val="251C8307"/>
    <w:rsid w:val="26D066A0"/>
    <w:rsid w:val="28C12CE2"/>
    <w:rsid w:val="2E01DBCA"/>
    <w:rsid w:val="415A04F4"/>
    <w:rsid w:val="4B0F516A"/>
    <w:rsid w:val="4B33D183"/>
    <w:rsid w:val="4E6E241E"/>
    <w:rsid w:val="51F6B2D8"/>
    <w:rsid w:val="635E5AA0"/>
    <w:rsid w:val="6ED122E1"/>
    <w:rsid w:val="77775607"/>
    <w:rsid w:val="7941E57F"/>
    <w:rsid w:val="7F3A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BEA0F"/>
  <w15:docId w15:val="{F24CE0ED-5687-4EF8-A554-A49DBC98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83"/>
  </w:style>
  <w:style w:type="paragraph" w:styleId="Heading1">
    <w:name w:val="heading 1"/>
    <w:basedOn w:val="Normal"/>
    <w:uiPriority w:val="9"/>
    <w:qFormat/>
    <w:pPr>
      <w:ind w:left="104"/>
      <w:outlineLvl w:val="0"/>
    </w:pPr>
    <w:rPr>
      <w:rFonts w:ascii="CVS Health Sans" w:eastAsia="CVS Health Sans" w:hAnsi="CVS Health Sans"/>
      <w:b/>
      <w:bCs/>
    </w:rPr>
  </w:style>
  <w:style w:type="paragraph" w:styleId="Heading2">
    <w:name w:val="heading 2"/>
    <w:basedOn w:val="Normal"/>
    <w:uiPriority w:val="9"/>
    <w:unhideWhenUsed/>
    <w:qFormat/>
    <w:pPr>
      <w:ind w:left="103"/>
      <w:outlineLvl w:val="1"/>
    </w:pPr>
    <w:rPr>
      <w:rFonts w:ascii="CVS Health Sans" w:eastAsia="CVS Health Sans" w:hAnsi="CVS Health Sans"/>
    </w:rPr>
  </w:style>
  <w:style w:type="paragraph" w:styleId="Heading3">
    <w:name w:val="heading 3"/>
    <w:basedOn w:val="Normal"/>
    <w:uiPriority w:val="9"/>
    <w:unhideWhenUsed/>
    <w:qFormat/>
    <w:pPr>
      <w:outlineLvl w:val="2"/>
    </w:pPr>
    <w:rPr>
      <w:rFonts w:ascii="CVS Health Sans" w:eastAsia="CVS Health Sans" w:hAnsi="CVS Health San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120"/>
    </w:pPr>
    <w:rPr>
      <w:rFonts w:ascii="Arial" w:eastAsia="Arial" w:hAnsi="Arial"/>
      <w:sz w:val="14"/>
      <w:szCs w:val="1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2765"/>
    <w:pPr>
      <w:tabs>
        <w:tab w:val="center" w:pos="4680"/>
        <w:tab w:val="right" w:pos="9360"/>
      </w:tabs>
    </w:pPr>
  </w:style>
  <w:style w:type="character" w:customStyle="1" w:styleId="HeaderChar">
    <w:name w:val="Header Char"/>
    <w:basedOn w:val="DefaultParagraphFont"/>
    <w:link w:val="Header"/>
    <w:uiPriority w:val="99"/>
    <w:rsid w:val="00C42765"/>
  </w:style>
  <w:style w:type="paragraph" w:styleId="Footer">
    <w:name w:val="footer"/>
    <w:basedOn w:val="Normal"/>
    <w:link w:val="FooterChar"/>
    <w:uiPriority w:val="99"/>
    <w:unhideWhenUsed/>
    <w:rsid w:val="00C42765"/>
    <w:pPr>
      <w:tabs>
        <w:tab w:val="center" w:pos="4680"/>
        <w:tab w:val="right" w:pos="9360"/>
      </w:tabs>
    </w:pPr>
  </w:style>
  <w:style w:type="character" w:customStyle="1" w:styleId="FooterChar">
    <w:name w:val="Footer Char"/>
    <w:basedOn w:val="DefaultParagraphFont"/>
    <w:link w:val="Footer"/>
    <w:uiPriority w:val="99"/>
    <w:rsid w:val="00C42765"/>
  </w:style>
  <w:style w:type="table" w:styleId="TableGrid">
    <w:name w:val="Table Grid"/>
    <w:basedOn w:val="TableNormal"/>
    <w:uiPriority w:val="59"/>
    <w:rsid w:val="0052193F"/>
    <w:pPr>
      <w:widowControl/>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39B"/>
    <w:rPr>
      <w:color w:val="0000FF" w:themeColor="hyperlink"/>
      <w:u w:val="single"/>
    </w:rPr>
  </w:style>
  <w:style w:type="character" w:styleId="UnresolvedMention">
    <w:name w:val="Unresolved Mention"/>
    <w:basedOn w:val="DefaultParagraphFont"/>
    <w:uiPriority w:val="99"/>
    <w:semiHidden/>
    <w:unhideWhenUsed/>
    <w:rsid w:val="0008339B"/>
    <w:rPr>
      <w:color w:val="605E5C"/>
      <w:shd w:val="clear" w:color="auto" w:fill="E1DFDD"/>
    </w:rPr>
  </w:style>
  <w:style w:type="character" w:styleId="CommentReference">
    <w:name w:val="annotation reference"/>
    <w:basedOn w:val="DefaultParagraphFont"/>
    <w:uiPriority w:val="99"/>
    <w:semiHidden/>
    <w:unhideWhenUsed/>
    <w:rsid w:val="003815E7"/>
    <w:rPr>
      <w:sz w:val="16"/>
      <w:szCs w:val="16"/>
    </w:rPr>
  </w:style>
  <w:style w:type="paragraph" w:styleId="CommentText">
    <w:name w:val="annotation text"/>
    <w:basedOn w:val="Normal"/>
    <w:link w:val="CommentTextChar"/>
    <w:uiPriority w:val="99"/>
    <w:unhideWhenUsed/>
    <w:rsid w:val="003815E7"/>
    <w:rPr>
      <w:sz w:val="20"/>
      <w:szCs w:val="20"/>
    </w:rPr>
  </w:style>
  <w:style w:type="character" w:customStyle="1" w:styleId="CommentTextChar">
    <w:name w:val="Comment Text Char"/>
    <w:basedOn w:val="DefaultParagraphFont"/>
    <w:link w:val="CommentText"/>
    <w:uiPriority w:val="99"/>
    <w:rsid w:val="003815E7"/>
    <w:rPr>
      <w:sz w:val="20"/>
      <w:szCs w:val="20"/>
    </w:rPr>
  </w:style>
  <w:style w:type="paragraph" w:styleId="CommentSubject">
    <w:name w:val="annotation subject"/>
    <w:basedOn w:val="CommentText"/>
    <w:next w:val="CommentText"/>
    <w:link w:val="CommentSubjectChar"/>
    <w:uiPriority w:val="99"/>
    <w:semiHidden/>
    <w:unhideWhenUsed/>
    <w:rsid w:val="003815E7"/>
    <w:rPr>
      <w:b/>
      <w:bCs/>
    </w:rPr>
  </w:style>
  <w:style w:type="character" w:customStyle="1" w:styleId="CommentSubjectChar">
    <w:name w:val="Comment Subject Char"/>
    <w:basedOn w:val="CommentTextChar"/>
    <w:link w:val="CommentSubject"/>
    <w:uiPriority w:val="99"/>
    <w:semiHidden/>
    <w:rsid w:val="003815E7"/>
    <w:rPr>
      <w:b/>
      <w:bCs/>
      <w:sz w:val="20"/>
      <w:szCs w:val="20"/>
    </w:rPr>
  </w:style>
  <w:style w:type="table" w:styleId="GridTable1Light">
    <w:name w:val="Grid Table 1 Light"/>
    <w:basedOn w:val="TableNormal"/>
    <w:uiPriority w:val="46"/>
    <w:rsid w:val="004C2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C20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647F0D"/>
    <w:pPr>
      <w:widowControl/>
    </w:pPr>
  </w:style>
  <w:style w:type="paragraph" w:styleId="NormalWeb">
    <w:name w:val="Normal (Web)"/>
    <w:basedOn w:val="Normal"/>
    <w:uiPriority w:val="99"/>
    <w:unhideWhenUsed/>
    <w:rsid w:val="00096FD6"/>
    <w:pPr>
      <w:widowControl/>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1B6A3F"/>
  </w:style>
  <w:style w:type="paragraph" w:styleId="TOC2">
    <w:name w:val="toc 2"/>
    <w:basedOn w:val="Normal"/>
    <w:next w:val="Normal"/>
    <w:autoRedefine/>
    <w:uiPriority w:val="39"/>
    <w:unhideWhenUsed/>
    <w:rsid w:val="005676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0527">
      <w:bodyDiv w:val="1"/>
      <w:marLeft w:val="0"/>
      <w:marRight w:val="0"/>
      <w:marTop w:val="0"/>
      <w:marBottom w:val="0"/>
      <w:divBdr>
        <w:top w:val="none" w:sz="0" w:space="0" w:color="auto"/>
        <w:left w:val="none" w:sz="0" w:space="0" w:color="auto"/>
        <w:bottom w:val="none" w:sz="0" w:space="0" w:color="auto"/>
        <w:right w:val="none" w:sz="0" w:space="0" w:color="auto"/>
      </w:divBdr>
    </w:div>
    <w:div w:id="201941147">
      <w:bodyDiv w:val="1"/>
      <w:marLeft w:val="0"/>
      <w:marRight w:val="0"/>
      <w:marTop w:val="0"/>
      <w:marBottom w:val="0"/>
      <w:divBdr>
        <w:top w:val="none" w:sz="0" w:space="0" w:color="auto"/>
        <w:left w:val="none" w:sz="0" w:space="0" w:color="auto"/>
        <w:bottom w:val="none" w:sz="0" w:space="0" w:color="auto"/>
        <w:right w:val="none" w:sz="0" w:space="0" w:color="auto"/>
      </w:divBdr>
      <w:divsChild>
        <w:div w:id="676201884">
          <w:marLeft w:val="0"/>
          <w:marRight w:val="0"/>
          <w:marTop w:val="0"/>
          <w:marBottom w:val="0"/>
          <w:divBdr>
            <w:top w:val="none" w:sz="0" w:space="0" w:color="auto"/>
            <w:left w:val="none" w:sz="0" w:space="0" w:color="auto"/>
            <w:bottom w:val="none" w:sz="0" w:space="0" w:color="auto"/>
            <w:right w:val="none" w:sz="0" w:space="0" w:color="auto"/>
          </w:divBdr>
        </w:div>
        <w:div w:id="415908653">
          <w:marLeft w:val="0"/>
          <w:marRight w:val="0"/>
          <w:marTop w:val="0"/>
          <w:marBottom w:val="0"/>
          <w:divBdr>
            <w:top w:val="none" w:sz="0" w:space="0" w:color="auto"/>
            <w:left w:val="none" w:sz="0" w:space="0" w:color="auto"/>
            <w:bottom w:val="none" w:sz="0" w:space="0" w:color="auto"/>
            <w:right w:val="none" w:sz="0" w:space="0" w:color="auto"/>
          </w:divBdr>
        </w:div>
        <w:div w:id="1557156839">
          <w:marLeft w:val="0"/>
          <w:marRight w:val="0"/>
          <w:marTop w:val="0"/>
          <w:marBottom w:val="0"/>
          <w:divBdr>
            <w:top w:val="none" w:sz="0" w:space="0" w:color="auto"/>
            <w:left w:val="none" w:sz="0" w:space="0" w:color="auto"/>
            <w:bottom w:val="none" w:sz="0" w:space="0" w:color="auto"/>
            <w:right w:val="none" w:sz="0" w:space="0" w:color="auto"/>
          </w:divBdr>
        </w:div>
      </w:divsChild>
    </w:div>
    <w:div w:id="237447412">
      <w:bodyDiv w:val="1"/>
      <w:marLeft w:val="0"/>
      <w:marRight w:val="0"/>
      <w:marTop w:val="0"/>
      <w:marBottom w:val="0"/>
      <w:divBdr>
        <w:top w:val="none" w:sz="0" w:space="0" w:color="auto"/>
        <w:left w:val="none" w:sz="0" w:space="0" w:color="auto"/>
        <w:bottom w:val="none" w:sz="0" w:space="0" w:color="auto"/>
        <w:right w:val="none" w:sz="0" w:space="0" w:color="auto"/>
      </w:divBdr>
    </w:div>
    <w:div w:id="633758390">
      <w:bodyDiv w:val="1"/>
      <w:marLeft w:val="0"/>
      <w:marRight w:val="0"/>
      <w:marTop w:val="0"/>
      <w:marBottom w:val="0"/>
      <w:divBdr>
        <w:top w:val="none" w:sz="0" w:space="0" w:color="auto"/>
        <w:left w:val="none" w:sz="0" w:space="0" w:color="auto"/>
        <w:bottom w:val="none" w:sz="0" w:space="0" w:color="auto"/>
        <w:right w:val="none" w:sz="0" w:space="0" w:color="auto"/>
      </w:divBdr>
    </w:div>
    <w:div w:id="776749827">
      <w:bodyDiv w:val="1"/>
      <w:marLeft w:val="0"/>
      <w:marRight w:val="0"/>
      <w:marTop w:val="0"/>
      <w:marBottom w:val="0"/>
      <w:divBdr>
        <w:top w:val="none" w:sz="0" w:space="0" w:color="auto"/>
        <w:left w:val="none" w:sz="0" w:space="0" w:color="auto"/>
        <w:bottom w:val="none" w:sz="0" w:space="0" w:color="auto"/>
        <w:right w:val="none" w:sz="0" w:space="0" w:color="auto"/>
      </w:divBdr>
      <w:divsChild>
        <w:div w:id="268050772">
          <w:marLeft w:val="446"/>
          <w:marRight w:val="0"/>
          <w:marTop w:val="120"/>
          <w:marBottom w:val="120"/>
          <w:divBdr>
            <w:top w:val="none" w:sz="0" w:space="0" w:color="auto"/>
            <w:left w:val="none" w:sz="0" w:space="0" w:color="auto"/>
            <w:bottom w:val="none" w:sz="0" w:space="0" w:color="auto"/>
            <w:right w:val="none" w:sz="0" w:space="0" w:color="auto"/>
          </w:divBdr>
        </w:div>
        <w:div w:id="679046129">
          <w:marLeft w:val="1166"/>
          <w:marRight w:val="0"/>
          <w:marTop w:val="120"/>
          <w:marBottom w:val="120"/>
          <w:divBdr>
            <w:top w:val="none" w:sz="0" w:space="0" w:color="auto"/>
            <w:left w:val="none" w:sz="0" w:space="0" w:color="auto"/>
            <w:bottom w:val="none" w:sz="0" w:space="0" w:color="auto"/>
            <w:right w:val="none" w:sz="0" w:space="0" w:color="auto"/>
          </w:divBdr>
        </w:div>
        <w:div w:id="776406219">
          <w:marLeft w:val="446"/>
          <w:marRight w:val="0"/>
          <w:marTop w:val="120"/>
          <w:marBottom w:val="120"/>
          <w:divBdr>
            <w:top w:val="none" w:sz="0" w:space="0" w:color="auto"/>
            <w:left w:val="none" w:sz="0" w:space="0" w:color="auto"/>
            <w:bottom w:val="none" w:sz="0" w:space="0" w:color="auto"/>
            <w:right w:val="none" w:sz="0" w:space="0" w:color="auto"/>
          </w:divBdr>
        </w:div>
        <w:div w:id="1203664217">
          <w:marLeft w:val="446"/>
          <w:marRight w:val="0"/>
          <w:marTop w:val="120"/>
          <w:marBottom w:val="120"/>
          <w:divBdr>
            <w:top w:val="none" w:sz="0" w:space="0" w:color="auto"/>
            <w:left w:val="none" w:sz="0" w:space="0" w:color="auto"/>
            <w:bottom w:val="none" w:sz="0" w:space="0" w:color="auto"/>
            <w:right w:val="none" w:sz="0" w:space="0" w:color="auto"/>
          </w:divBdr>
        </w:div>
        <w:div w:id="1620453304">
          <w:marLeft w:val="446"/>
          <w:marRight w:val="0"/>
          <w:marTop w:val="120"/>
          <w:marBottom w:val="120"/>
          <w:divBdr>
            <w:top w:val="none" w:sz="0" w:space="0" w:color="auto"/>
            <w:left w:val="none" w:sz="0" w:space="0" w:color="auto"/>
            <w:bottom w:val="none" w:sz="0" w:space="0" w:color="auto"/>
            <w:right w:val="none" w:sz="0" w:space="0" w:color="auto"/>
          </w:divBdr>
        </w:div>
      </w:divsChild>
    </w:div>
    <w:div w:id="1128816811">
      <w:bodyDiv w:val="1"/>
      <w:marLeft w:val="0"/>
      <w:marRight w:val="0"/>
      <w:marTop w:val="0"/>
      <w:marBottom w:val="0"/>
      <w:divBdr>
        <w:top w:val="none" w:sz="0" w:space="0" w:color="auto"/>
        <w:left w:val="none" w:sz="0" w:space="0" w:color="auto"/>
        <w:bottom w:val="none" w:sz="0" w:space="0" w:color="auto"/>
        <w:right w:val="none" w:sz="0" w:space="0" w:color="auto"/>
      </w:divBdr>
    </w:div>
    <w:div w:id="1357459492">
      <w:bodyDiv w:val="1"/>
      <w:marLeft w:val="0"/>
      <w:marRight w:val="0"/>
      <w:marTop w:val="0"/>
      <w:marBottom w:val="0"/>
      <w:divBdr>
        <w:top w:val="none" w:sz="0" w:space="0" w:color="auto"/>
        <w:left w:val="none" w:sz="0" w:space="0" w:color="auto"/>
        <w:bottom w:val="none" w:sz="0" w:space="0" w:color="auto"/>
        <w:right w:val="none" w:sz="0" w:space="0" w:color="auto"/>
      </w:divBdr>
    </w:div>
    <w:div w:id="1384018735">
      <w:bodyDiv w:val="1"/>
      <w:marLeft w:val="0"/>
      <w:marRight w:val="0"/>
      <w:marTop w:val="0"/>
      <w:marBottom w:val="0"/>
      <w:divBdr>
        <w:top w:val="none" w:sz="0" w:space="0" w:color="auto"/>
        <w:left w:val="none" w:sz="0" w:space="0" w:color="auto"/>
        <w:bottom w:val="none" w:sz="0" w:space="0" w:color="auto"/>
        <w:right w:val="none" w:sz="0" w:space="0" w:color="auto"/>
      </w:divBdr>
    </w:div>
    <w:div w:id="1886403025">
      <w:bodyDiv w:val="1"/>
      <w:marLeft w:val="0"/>
      <w:marRight w:val="0"/>
      <w:marTop w:val="0"/>
      <w:marBottom w:val="0"/>
      <w:divBdr>
        <w:top w:val="none" w:sz="0" w:space="0" w:color="auto"/>
        <w:left w:val="none" w:sz="0" w:space="0" w:color="auto"/>
        <w:bottom w:val="none" w:sz="0" w:space="0" w:color="auto"/>
        <w:right w:val="none" w:sz="0" w:space="0" w:color="auto"/>
      </w:divBdr>
    </w:div>
    <w:div w:id="1924484537">
      <w:bodyDiv w:val="1"/>
      <w:marLeft w:val="0"/>
      <w:marRight w:val="0"/>
      <w:marTop w:val="0"/>
      <w:marBottom w:val="0"/>
      <w:divBdr>
        <w:top w:val="none" w:sz="0" w:space="0" w:color="auto"/>
        <w:left w:val="none" w:sz="0" w:space="0" w:color="auto"/>
        <w:bottom w:val="none" w:sz="0" w:space="0" w:color="auto"/>
        <w:right w:val="none" w:sz="0" w:space="0" w:color="auto"/>
      </w:divBdr>
    </w:div>
    <w:div w:id="200855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DC95D9A1519B48ABDAF7456250F4DF" ma:contentTypeVersion="34" ma:contentTypeDescription="Create a new document." ma:contentTypeScope="" ma:versionID="6387b12292662fde6b7d7a94742cae2b">
  <xsd:schema xmlns:xsd="http://www.w3.org/2001/XMLSchema" xmlns:xs="http://www.w3.org/2001/XMLSchema" xmlns:p="http://schemas.microsoft.com/office/2006/metadata/properties" xmlns:ns2="2fe16f37-bc37-4a5f-a28b-51c4b7e69790" xmlns:ns3="37ae73b3-79ed-43de-8951-11f28f8f892a" targetNamespace="http://schemas.microsoft.com/office/2006/metadata/properties" ma:root="true" ma:fieldsID="4a4dcbae13f313138307feb320d88940" ns2:_="" ns3:_="">
    <xsd:import namespace="2fe16f37-bc37-4a5f-a28b-51c4b7e69790"/>
    <xsd:import namespace="37ae73b3-79ed-43de-8951-11f28f8f892a"/>
    <xsd:element name="properties">
      <xsd:complexType>
        <xsd:sequence>
          <xsd:element name="documentManagement">
            <xsd:complexType>
              <xsd:all>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16f37-bc37-4a5f-a28b-51c4b7e69790" elementFormDefault="qualified">
    <xsd:import namespace="http://schemas.microsoft.com/office/2006/documentManagement/types"/>
    <xsd:import namespace="http://schemas.microsoft.com/office/infopath/2007/PartnerControls"/>
    <xsd:element name="MediaServiceEventHashCode" ma:index="8" nillable="true" ma:displayName="MediaServiceEventHashCode" ma:hidden="true" ma:internalName="MediaServiceEventHashCode" ma:readOnly="true">
      <xsd:simpleType>
        <xsd:restriction base="dms:Text"/>
      </xsd:simpleType>
    </xsd:element>
    <xsd:element name="MediaServiceGenerationTime" ma:index="9"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ae73b3-79ed-43de-8951-11f28f8f89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5212B-6726-4287-BDF7-673703D73D90}">
  <ds:schemaRefs>
    <ds:schemaRef ds:uri="http://schemas.openxmlformats.org/officeDocument/2006/bibliography"/>
  </ds:schemaRefs>
</ds:datastoreItem>
</file>

<file path=customXml/itemProps2.xml><?xml version="1.0" encoding="utf-8"?>
<ds:datastoreItem xmlns:ds="http://schemas.openxmlformats.org/officeDocument/2006/customXml" ds:itemID="{BFAA8E57-7207-4174-9C42-5D34446BD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16f37-bc37-4a5f-a28b-51c4b7e69790"/>
    <ds:schemaRef ds:uri="37ae73b3-79ed-43de-8951-11f28f8f8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0B7664-7021-4F42-A997-A9CEC37B8A91}">
  <ds:schemaRefs>
    <ds:schemaRef ds:uri="http://schemas.microsoft.com/sharepoint/v3/contenttype/forms"/>
  </ds:schemaRefs>
</ds:datastoreItem>
</file>

<file path=customXml/itemProps4.xml><?xml version="1.0" encoding="utf-8"?>
<ds:datastoreItem xmlns:ds="http://schemas.openxmlformats.org/officeDocument/2006/customXml" ds:itemID="{B95CF032-63D2-42A9-BA25-2FB52CA315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- 2021 Med D Formulary Update Insulin Supply Exclusions_FINAL 12232020.docx</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 Med D Formulary Update Insulin Supply Exclusions_FINAL 12232020.docx</dc:title>
  <dc:subject/>
  <dc:creator>UQ200EI</dc:creator>
  <cp:keywords/>
  <cp:lastModifiedBy>Kristoff, Angel T</cp:lastModifiedBy>
  <cp:revision>3</cp:revision>
  <dcterms:created xsi:type="dcterms:W3CDTF">2024-12-20T19:12:00Z</dcterms:created>
  <dcterms:modified xsi:type="dcterms:W3CDTF">2024-12-20T19:12:00Z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LastSaved">
    <vt:filetime>2021-01-04T00:00:00Z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2022-09-20T14:09:43Z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c6134b4a-10e1-4ba5-8f65-07bc51d23cc3</vt:lpwstr>
  </property>
  <property fmtid="{D5CDD505-2E9C-101B-9397-08002B2CF9AE}" pid="10" name="MSIP_Label_67599526-06ca-49cc-9fa9-5307800a949a_ContentBits">
    <vt:lpwstr>0</vt:lpwstr>
  </property>
  <property fmtid="{D5CDD505-2E9C-101B-9397-08002B2CF9AE}" pid="11" name="ContentTypeId">
    <vt:lpwstr>0x0101002ADC95D9A1519B48ABDAF7456250F4DF</vt:lpwstr>
  </property>
</Properties>
</file>