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B17B" w14:textId="77777777" w:rsidR="00524CDD" w:rsidRPr="00603428" w:rsidRDefault="00000000" w:rsidP="00AC5DEE">
      <w:pPr>
        <w:pStyle w:val="Heading1"/>
        <w:spacing w:after="0"/>
        <w:rPr>
          <w:rFonts w:ascii="Verdana" w:hAnsi="Verdana"/>
          <w:color w:val="000000"/>
          <w:sz w:val="18"/>
          <w:szCs w:val="18"/>
        </w:rPr>
      </w:pPr>
      <w:bookmarkStart w:id="0" w:name="_top"/>
      <w:bookmarkStart w:id="1" w:name="OLE_LINK1"/>
      <w:bookmarkStart w:id="2" w:name="OLE_LINK2"/>
      <w:bookmarkEnd w:id="0"/>
      <w:r>
        <w:rPr>
          <w:rFonts w:ascii="Verdana" w:hAnsi="Verdana"/>
          <w:color w:val="auto"/>
          <w:sz w:val="36"/>
          <w:szCs w:val="36"/>
        </w:rPr>
        <w:t>the</w:t>
      </w:r>
      <w:r>
        <w:rPr>
          <w:rFonts w:ascii="Verdana" w:hAnsi="Verdana"/>
          <w:color w:val="auto"/>
          <w:sz w:val="36"/>
          <w:szCs w:val="36"/>
        </w:rPr>
        <w:t xml:space="preserve">Source - </w:t>
      </w:r>
      <w:r>
        <w:rPr>
          <w:rFonts w:ascii="Verdana" w:hAnsi="Verdana"/>
          <w:color w:val="auto"/>
          <w:sz w:val="36"/>
          <w:szCs w:val="36"/>
        </w:rPr>
        <w:t>Profile Settings</w:t>
      </w:r>
      <w:r>
        <w:rPr>
          <w:rFonts w:ascii="Verdana" w:hAnsi="Verdana"/>
          <w:color w:val="auto"/>
          <w:sz w:val="36"/>
          <w:szCs w:val="36"/>
        </w:rPr>
        <w:t xml:space="preserve"> </w:t>
      </w:r>
      <w:r>
        <w:rPr>
          <w:rFonts w:ascii="Verdana" w:hAnsi="Verdana"/>
          <w:color w:val="auto"/>
          <w:sz w:val="36"/>
          <w:szCs w:val="36"/>
        </w:rPr>
        <w:t>Reference Guide</w:t>
      </w:r>
      <w:r>
        <w:rPr>
          <w:rFonts w:ascii="Verdana" w:hAnsi="Verdana"/>
          <w:color w:val="auto"/>
          <w:sz w:val="36"/>
          <w:szCs w:val="36"/>
        </w:rPr>
        <w:t xml:space="preserve"> </w:t>
      </w:r>
      <w:bookmarkEnd w:id="1"/>
      <w:bookmarkEnd w:id="2"/>
      <w:r>
        <w:rPr>
          <w:rFonts w:ascii="Verdana" w:hAnsi="Verdana"/>
          <w:color w:val="auto"/>
          <w:sz w:val="36"/>
          <w:szCs w:val="36"/>
        </w:rPr>
        <w:t>(Personal Settings)</w:t>
      </w:r>
    </w:p>
    <w:p w14:paraId="27B872FC" w14:textId="77777777" w:rsidR="000D3358" w:rsidRDefault="00000000" w:rsidP="00AC5DEE">
      <w:pPr>
        <w:pStyle w:val="TOC2"/>
        <w:tabs>
          <w:tab w:val="right" w:leader="dot" w:pos="12950"/>
        </w:tabs>
      </w:pPr>
    </w:p>
    <w:p w14:paraId="6A1FE2F8" w14:textId="77777777" w:rsidR="00A75B6D" w:rsidRDefault="00000000" w:rsidP="00AC5DEE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66109352" w:history="1">
        <w:r w:rsidRPr="00D4620D">
          <w:rPr>
            <w:rStyle w:val="Hyperlink"/>
            <w:rFonts w:cs="Arial"/>
            <w:noProof/>
          </w:rPr>
          <w:t>theSource - Profile Settings</w:t>
        </w:r>
      </w:hyperlink>
    </w:p>
    <w:p w14:paraId="6453317D" w14:textId="77777777" w:rsidR="00A75B6D" w:rsidRDefault="00000000" w:rsidP="00AC5DEE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66109353" w:history="1">
        <w:r w:rsidRPr="00D4620D">
          <w:rPr>
            <w:rStyle w:val="Hyperlink"/>
            <w:rFonts w:cs="Arial"/>
            <w:noProof/>
          </w:rPr>
          <w:t>Example Scenario</w:t>
        </w:r>
      </w:hyperlink>
    </w:p>
    <w:p w14:paraId="669E69BD" w14:textId="77777777" w:rsidR="00A75B6D" w:rsidRDefault="00000000" w:rsidP="00AC5DEE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66109354" w:history="1">
        <w:r w:rsidRPr="00D4620D">
          <w:rPr>
            <w:rStyle w:val="Hyperlink"/>
            <w:noProof/>
          </w:rPr>
          <w:t>Related Documents</w:t>
        </w:r>
      </w:hyperlink>
    </w:p>
    <w:p w14:paraId="664B75FD" w14:textId="77777777" w:rsidR="00A21823" w:rsidRDefault="00000000" w:rsidP="00AC5DEE">
      <w:r>
        <w:fldChar w:fldCharType="end"/>
      </w:r>
    </w:p>
    <w:p w14:paraId="77FA4E30" w14:textId="77777777" w:rsidR="004162E0" w:rsidRDefault="00000000" w:rsidP="00AC5DEE"/>
    <w:p w14:paraId="58967B20" w14:textId="77777777" w:rsidR="00A15D47" w:rsidRPr="00586E7C" w:rsidRDefault="00000000" w:rsidP="00AC5DEE">
      <w:pPr>
        <w:rPr>
          <w:rFonts w:ascii="Verdana" w:hAnsi="Verdana"/>
        </w:rPr>
      </w:pPr>
      <w:r w:rsidRPr="00A2182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Pr="00586E7C">
        <w:rPr>
          <w:rFonts w:ascii="Verdana" w:hAnsi="Verdana"/>
        </w:rPr>
        <w:t>T</w:t>
      </w:r>
      <w:r w:rsidRPr="00603428">
        <w:rPr>
          <w:rFonts w:ascii="Verdana" w:hAnsi="Verdana"/>
          <w:color w:val="000000"/>
        </w:rPr>
        <w:t>h</w:t>
      </w:r>
      <w:r w:rsidRPr="00586E7C">
        <w:rPr>
          <w:rFonts w:ascii="Verdana" w:hAnsi="Verdana"/>
        </w:rPr>
        <w:t xml:space="preserve">e purpose of this </w:t>
      </w:r>
      <w:r>
        <w:rPr>
          <w:rFonts w:ascii="Verdana" w:hAnsi="Verdana"/>
        </w:rPr>
        <w:t>document</w:t>
      </w:r>
      <w:r w:rsidRPr="00586E7C">
        <w:rPr>
          <w:rFonts w:ascii="Verdana" w:hAnsi="Verdana"/>
        </w:rPr>
        <w:t xml:space="preserve"> is</w:t>
      </w:r>
      <w:r>
        <w:rPr>
          <w:rFonts w:ascii="Verdana" w:hAnsi="Verdana"/>
        </w:rPr>
        <w:t xml:space="preserve"> to assist </w:t>
      </w:r>
      <w:r>
        <w:rPr>
          <w:rFonts w:ascii="Verdana" w:hAnsi="Verdana"/>
        </w:rPr>
        <w:t xml:space="preserve">users </w:t>
      </w:r>
      <w:r>
        <w:rPr>
          <w:rFonts w:ascii="Verdana" w:hAnsi="Verdana"/>
        </w:rPr>
        <w:t xml:space="preserve">with personalizing </w:t>
      </w:r>
      <w:r>
        <w:rPr>
          <w:rFonts w:ascii="Verdana" w:hAnsi="Verdana"/>
        </w:rPr>
        <w:t xml:space="preserve">profile </w:t>
      </w:r>
      <w:r>
        <w:rPr>
          <w:rFonts w:ascii="Verdana" w:hAnsi="Verdana"/>
        </w:rPr>
        <w:t>settings</w:t>
      </w:r>
      <w:r>
        <w:rPr>
          <w:rFonts w:ascii="Verdana" w:hAnsi="Verdana"/>
        </w:rPr>
        <w:t xml:space="preserve"> in </w:t>
      </w:r>
      <w:r w:rsidRPr="00491B7F">
        <w:rPr>
          <w:rFonts w:ascii="Verdana" w:hAnsi="Verdana"/>
          <w:b/>
        </w:rPr>
        <w:t>theSource</w:t>
      </w:r>
      <w:r>
        <w:rPr>
          <w:rFonts w:ascii="Verdana" w:hAnsi="Verdana"/>
        </w:rPr>
        <w:t>.</w:t>
      </w:r>
    </w:p>
    <w:p w14:paraId="1FFE65DA" w14:textId="77777777" w:rsidR="00A75B6D" w:rsidRDefault="00000000" w:rsidP="00AC5DEE">
      <w:pPr>
        <w:jc w:val="right"/>
        <w:rPr>
          <w:rFonts w:ascii="Verdana" w:hAnsi="Verdana"/>
        </w:rPr>
      </w:pPr>
      <w:bookmarkStart w:id="3" w:name="_Rationale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B5EBD" w14:paraId="0079AFF2" w14:textId="77777777" w:rsidTr="00CE3358">
        <w:tc>
          <w:tcPr>
            <w:tcW w:w="5000" w:type="pct"/>
            <w:shd w:val="clear" w:color="auto" w:fill="C0C0C0"/>
          </w:tcPr>
          <w:p w14:paraId="7D960CE5" w14:textId="77777777" w:rsidR="00A97B7D" w:rsidRPr="001220EF" w:rsidRDefault="00000000" w:rsidP="00AC5DEE">
            <w:pPr>
              <w:pStyle w:val="Heading2"/>
              <w:spacing w:before="0" w:after="0"/>
              <w:rPr>
                <w:rFonts w:ascii="Verdana" w:hAnsi="Verdana" w:cs="Arial"/>
                <w:i w:val="0"/>
                <w:iCs w:val="0"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My_Caresource_-"/>
            <w:bookmarkStart w:id="9" w:name="_My_CareSource_–"/>
            <w:bookmarkStart w:id="10" w:name="_Toc66109352"/>
            <w:bookmarkStart w:id="11" w:name="WI"/>
            <w:bookmarkEnd w:id="4"/>
            <w:bookmarkEnd w:id="5"/>
            <w:bookmarkEnd w:id="6"/>
            <w:bookmarkEnd w:id="7"/>
            <w:bookmarkEnd w:id="8"/>
            <w:bookmarkEnd w:id="9"/>
            <w:r w:rsidRPr="001220EF">
              <w:rPr>
                <w:rFonts w:ascii="Verdana" w:hAnsi="Verdana" w:cs="Arial"/>
                <w:i w:val="0"/>
                <w:iCs w:val="0"/>
              </w:rPr>
              <w:t>the</w:t>
            </w:r>
            <w:r w:rsidRPr="001220EF">
              <w:rPr>
                <w:rFonts w:ascii="Verdana" w:hAnsi="Verdana" w:cs="Arial"/>
                <w:i w:val="0"/>
                <w:iCs w:val="0"/>
              </w:rPr>
              <w:t>Source</w:t>
            </w:r>
            <w:r w:rsidRPr="001220EF">
              <w:rPr>
                <w:rFonts w:ascii="Verdana" w:hAnsi="Verdana" w:cs="Arial"/>
                <w:i w:val="0"/>
                <w:iCs w:val="0"/>
              </w:rPr>
              <w:t xml:space="preserve"> </w:t>
            </w:r>
            <w:r>
              <w:rPr>
                <w:rFonts w:ascii="Verdana" w:hAnsi="Verdana" w:cs="Arial"/>
                <w:i w:val="0"/>
                <w:iCs w:val="0"/>
              </w:rPr>
              <w:t>-</w:t>
            </w:r>
            <w:r w:rsidRPr="001220EF">
              <w:rPr>
                <w:rFonts w:ascii="Verdana" w:hAnsi="Verdana" w:cs="Arial"/>
                <w:i w:val="0"/>
                <w:iCs w:val="0"/>
              </w:rPr>
              <w:t xml:space="preserve"> </w:t>
            </w:r>
            <w:r w:rsidRPr="001220EF">
              <w:rPr>
                <w:rFonts w:ascii="Verdana" w:hAnsi="Verdana" w:cs="Arial"/>
                <w:i w:val="0"/>
                <w:iCs w:val="0"/>
              </w:rPr>
              <w:t>P</w:t>
            </w:r>
            <w:r>
              <w:rPr>
                <w:rFonts w:ascii="Verdana" w:hAnsi="Verdana" w:cs="Arial"/>
                <w:i w:val="0"/>
                <w:iCs w:val="0"/>
              </w:rPr>
              <w:t>rofile</w:t>
            </w:r>
            <w:r w:rsidRPr="001220EF">
              <w:rPr>
                <w:rFonts w:ascii="Verdana" w:hAnsi="Verdana" w:cs="Arial"/>
                <w:i w:val="0"/>
                <w:iCs w:val="0"/>
              </w:rPr>
              <w:t xml:space="preserve"> </w:t>
            </w:r>
            <w:r w:rsidRPr="001220EF">
              <w:rPr>
                <w:rFonts w:ascii="Verdana" w:hAnsi="Verdana" w:cs="Arial"/>
                <w:i w:val="0"/>
                <w:iCs w:val="0"/>
              </w:rPr>
              <w:t>Settings</w:t>
            </w:r>
            <w:bookmarkEnd w:id="10"/>
            <w:r w:rsidRPr="001220EF">
              <w:rPr>
                <w:rFonts w:ascii="Verdana" w:hAnsi="Verdana" w:cs="Arial"/>
                <w:i w:val="0"/>
                <w:iCs w:val="0"/>
              </w:rPr>
              <w:t xml:space="preserve"> </w:t>
            </w:r>
            <w:bookmarkEnd w:id="11"/>
          </w:p>
        </w:tc>
      </w:tr>
    </w:tbl>
    <w:p w14:paraId="575F890A" w14:textId="77777777" w:rsidR="009D1544" w:rsidRDefault="00000000" w:rsidP="00AC5DEE">
      <w:pPr>
        <w:rPr>
          <w:rFonts w:ascii="Verdana" w:hAnsi="Verdana"/>
          <w:b/>
          <w:bCs/>
        </w:rPr>
      </w:pPr>
    </w:p>
    <w:p w14:paraId="07193255" w14:textId="77777777" w:rsidR="00862B65" w:rsidRPr="008F15A5" w:rsidRDefault="00000000" w:rsidP="00AC5DEE">
      <w:pPr>
        <w:rPr>
          <w:rFonts w:ascii="Verdana" w:hAnsi="Verdana"/>
        </w:rPr>
      </w:pPr>
      <w:r w:rsidRPr="001F7619">
        <w:rPr>
          <w:rFonts w:ascii="Verdana" w:hAnsi="Verdana"/>
          <w:b/>
          <w:bCs/>
        </w:rPr>
        <w:t>P</w:t>
      </w:r>
      <w:r>
        <w:rPr>
          <w:rFonts w:ascii="Verdana" w:hAnsi="Verdana"/>
          <w:b/>
          <w:bCs/>
        </w:rPr>
        <w:t>rofile</w:t>
      </w:r>
      <w:r w:rsidRPr="001F7619">
        <w:rPr>
          <w:rFonts w:ascii="Verdana" w:hAnsi="Verdana"/>
          <w:b/>
          <w:bCs/>
        </w:rPr>
        <w:t xml:space="preserve"> Settings</w:t>
      </w:r>
      <w:r w:rsidRPr="008F15A5">
        <w:rPr>
          <w:rFonts w:ascii="Verdana" w:hAnsi="Verdana"/>
        </w:rPr>
        <w:t xml:space="preserve"> </w:t>
      </w:r>
      <w:r>
        <w:rPr>
          <w:rFonts w:ascii="Verdana" w:hAnsi="Verdana"/>
        </w:rPr>
        <w:t>are</w:t>
      </w:r>
      <w:r w:rsidRPr="008F15A5">
        <w:rPr>
          <w:rFonts w:ascii="Verdana" w:hAnsi="Verdana"/>
        </w:rPr>
        <w:t xml:space="preserve"> used to</w:t>
      </w:r>
      <w:r>
        <w:rPr>
          <w:rFonts w:ascii="Verdana" w:hAnsi="Verdana"/>
        </w:rPr>
        <w:t>:</w:t>
      </w:r>
    </w:p>
    <w:p w14:paraId="6CACA2D2" w14:textId="77777777" w:rsidR="00491B7F" w:rsidRPr="00491B7F" w:rsidRDefault="00000000" w:rsidP="00AC5DEE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Make sure to receive the appropriate acknowledgments for the area(s) you support</w:t>
      </w:r>
      <w:r>
        <w:rPr>
          <w:rFonts w:ascii="Verdana" w:hAnsi="Verdana"/>
          <w:color w:val="000000"/>
        </w:rPr>
        <w:t>.</w:t>
      </w:r>
    </w:p>
    <w:p w14:paraId="35EF381E" w14:textId="77777777" w:rsidR="00491B7F" w:rsidRPr="00472A7F" w:rsidRDefault="00000000" w:rsidP="00AC5DEE">
      <w:pPr>
        <w:numPr>
          <w:ilvl w:val="0"/>
          <w:numId w:val="1"/>
        </w:numPr>
        <w:rPr>
          <w:rFonts w:ascii="Verdana" w:hAnsi="Verdana"/>
        </w:rPr>
      </w:pPr>
      <w:r w:rsidRPr="008F15A5">
        <w:rPr>
          <w:rFonts w:ascii="Verdana" w:hAnsi="Verdana"/>
        </w:rPr>
        <w:t xml:space="preserve">Change </w:t>
      </w:r>
      <w:r w:rsidRPr="00491B7F">
        <w:rPr>
          <w:rFonts w:ascii="Verdana" w:hAnsi="Verdana"/>
          <w:b/>
          <w:bCs/>
        </w:rPr>
        <w:t xml:space="preserve">theSource </w:t>
      </w:r>
      <w:r w:rsidRPr="00A11116">
        <w:rPr>
          <w:rFonts w:ascii="Verdana" w:hAnsi="Verdana"/>
          <w:bCs/>
        </w:rPr>
        <w:t xml:space="preserve">content </w:t>
      </w:r>
      <w:r w:rsidRPr="00603428">
        <w:rPr>
          <w:rFonts w:ascii="Verdana" w:hAnsi="Verdana"/>
          <w:bCs/>
          <w:color w:val="000000"/>
        </w:rPr>
        <w:t xml:space="preserve">view </w:t>
      </w:r>
      <w:r w:rsidRPr="00603428">
        <w:rPr>
          <w:rFonts w:ascii="Verdana" w:hAnsi="Verdana"/>
          <w:color w:val="000000"/>
        </w:rPr>
        <w:t>to assist with different</w:t>
      </w:r>
      <w:r>
        <w:rPr>
          <w:rFonts w:ascii="Verdana" w:hAnsi="Verdana"/>
          <w:color w:val="000000"/>
        </w:rPr>
        <w:t xml:space="preserve"> </w:t>
      </w:r>
      <w:r w:rsidRPr="00603428">
        <w:rPr>
          <w:rFonts w:ascii="Verdana" w:hAnsi="Verdana"/>
          <w:color w:val="000000"/>
        </w:rPr>
        <w:t>clients</w:t>
      </w:r>
      <w:r>
        <w:rPr>
          <w:rFonts w:ascii="Verdana" w:hAnsi="Verdana"/>
          <w:color w:val="000000"/>
        </w:rPr>
        <w:t xml:space="preserve"> or business areas</w:t>
      </w:r>
      <w:r>
        <w:rPr>
          <w:rFonts w:ascii="Verdana" w:hAnsi="Verdana"/>
          <w:color w:val="000000"/>
        </w:rPr>
        <w:t>.</w:t>
      </w:r>
    </w:p>
    <w:p w14:paraId="3548AB0B" w14:textId="77777777" w:rsidR="009D1544" w:rsidRPr="00491B7F" w:rsidRDefault="00000000" w:rsidP="00AC5DEE">
      <w:pPr>
        <w:ind w:left="7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5B5EBD" w14:paraId="37CB87E2" w14:textId="77777777" w:rsidTr="009D1544">
        <w:tc>
          <w:tcPr>
            <w:tcW w:w="0" w:type="auto"/>
            <w:shd w:val="clear" w:color="auto" w:fill="E6E6E6"/>
          </w:tcPr>
          <w:p w14:paraId="3FD69E29" w14:textId="77777777" w:rsidR="00D471B5" w:rsidRPr="00CE3358" w:rsidRDefault="00000000" w:rsidP="00AC5DEE">
            <w:pPr>
              <w:jc w:val="center"/>
              <w:rPr>
                <w:rFonts w:ascii="Verdana" w:hAnsi="Verdana"/>
                <w:b/>
              </w:rPr>
            </w:pPr>
            <w:r w:rsidRPr="00CE3358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shd w:val="clear" w:color="auto" w:fill="E6E6E6"/>
          </w:tcPr>
          <w:p w14:paraId="277E6A94" w14:textId="77777777" w:rsidR="00D471B5" w:rsidRPr="00CE3358" w:rsidRDefault="00000000" w:rsidP="00AC5DEE">
            <w:pPr>
              <w:jc w:val="center"/>
              <w:rPr>
                <w:rFonts w:ascii="Verdana" w:hAnsi="Verdana"/>
                <w:b/>
              </w:rPr>
            </w:pPr>
            <w:r w:rsidRPr="00CE3358">
              <w:rPr>
                <w:rFonts w:ascii="Verdana" w:hAnsi="Verdana"/>
                <w:b/>
              </w:rPr>
              <w:t>Action</w:t>
            </w:r>
          </w:p>
        </w:tc>
      </w:tr>
      <w:tr w:rsidR="005B5EBD" w14:paraId="3023E9DA" w14:textId="77777777" w:rsidTr="009D1544">
        <w:tc>
          <w:tcPr>
            <w:tcW w:w="0" w:type="auto"/>
          </w:tcPr>
          <w:p w14:paraId="1628B3F5" w14:textId="77777777" w:rsidR="009D1544" w:rsidRPr="00CE3358" w:rsidRDefault="00000000" w:rsidP="00AC5D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</w:tcPr>
          <w:p w14:paraId="328C8317" w14:textId="77777777" w:rsidR="009D1544" w:rsidRDefault="00000000" w:rsidP="00AC5D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applicable link below to view a reference guide </w:t>
            </w:r>
            <w:r>
              <w:rPr>
                <w:rFonts w:ascii="Verdana" w:hAnsi="Verdana"/>
              </w:rPr>
              <w:t xml:space="preserve">to </w:t>
            </w:r>
            <w:r w:rsidRPr="00D45650">
              <w:rPr>
                <w:rFonts w:ascii="Verdana" w:hAnsi="Verdana"/>
              </w:rPr>
              <w:t xml:space="preserve">decide which business area, department, line of business, position, and facility to choose.  </w:t>
            </w:r>
          </w:p>
          <w:p w14:paraId="538DCEF7" w14:textId="77777777" w:rsidR="009D1544" w:rsidRPr="007E4B65" w:rsidRDefault="00000000" w:rsidP="00AC5DEE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hyperlink r:id="rId7" w:history="1">
              <w:r w:rsidRPr="007E4B65">
                <w:rPr>
                  <w:rStyle w:val="Hyperlink"/>
                  <w:rFonts w:ascii="Verdana" w:hAnsi="Verdana"/>
                </w:rPr>
                <w:t>theSource Profile Settings Reference Guide</w:t>
              </w:r>
            </w:hyperlink>
          </w:p>
          <w:p w14:paraId="0249A9C2" w14:textId="77777777" w:rsidR="009D1544" w:rsidRPr="007E4B65" w:rsidRDefault="00000000" w:rsidP="00AC5DEE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hyperlink r:id="rId8" w:history="1">
              <w:proofErr w:type="spellStart"/>
              <w:r w:rsidRPr="007E4B65">
                <w:rPr>
                  <w:rStyle w:val="Hyperlink"/>
                  <w:rFonts w:ascii="Verdana" w:hAnsi="Verdana"/>
                </w:rPr>
                <w:t>CarelonRx</w:t>
              </w:r>
              <w:proofErr w:type="spellEnd"/>
              <w:r w:rsidRPr="007E4B65">
                <w:rPr>
                  <w:rStyle w:val="Hyperlink"/>
                  <w:rFonts w:ascii="Verdana" w:hAnsi="Verdana"/>
                </w:rPr>
                <w:t xml:space="preserve"> - theSource Profile Settings Reference Guide</w:t>
              </w:r>
            </w:hyperlink>
          </w:p>
          <w:p w14:paraId="5F022AA7" w14:textId="77777777" w:rsidR="009D1544" w:rsidRDefault="00000000" w:rsidP="00AC5DEE">
            <w:pPr>
              <w:rPr>
                <w:rFonts w:ascii="Verdana" w:hAnsi="Verdana"/>
              </w:rPr>
            </w:pPr>
          </w:p>
          <w:p w14:paraId="712B24D4" w14:textId="77777777" w:rsidR="009D1544" w:rsidRPr="00D45650" w:rsidRDefault="00000000" w:rsidP="00AC5DEE">
            <w:pPr>
              <w:rPr>
                <w:rFonts w:ascii="Verdana" w:hAnsi="Verdana"/>
              </w:rPr>
            </w:pPr>
            <w:r w:rsidRPr="00D45650">
              <w:rPr>
                <w:rFonts w:ascii="Verdana" w:hAnsi="Verdana"/>
                <w:b/>
              </w:rPr>
              <w:t>Note:</w:t>
            </w:r>
            <w:r w:rsidRPr="00D45650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 w:rsidRPr="00D45650">
              <w:rPr>
                <w:rFonts w:ascii="Verdana" w:hAnsi="Verdana"/>
              </w:rPr>
              <w:t xml:space="preserve">If “All” is </w:t>
            </w:r>
            <w:r>
              <w:rPr>
                <w:rFonts w:ascii="Verdana" w:hAnsi="Verdana"/>
              </w:rPr>
              <w:t>listed in the reference guide</w:t>
            </w:r>
            <w:r w:rsidRPr="00D45650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>it</w:t>
            </w:r>
            <w:r w:rsidRPr="00D45650">
              <w:rPr>
                <w:rFonts w:ascii="Verdana" w:hAnsi="Verdana"/>
              </w:rPr>
              <w:t xml:space="preserve"> means your business department has decided not to specify that </w:t>
            </w:r>
            <w:proofErr w:type="gramStart"/>
            <w:r w:rsidRPr="00D45650">
              <w:rPr>
                <w:rFonts w:ascii="Verdana" w:hAnsi="Verdana"/>
              </w:rPr>
              <w:t>particular setting</w:t>
            </w:r>
            <w:proofErr w:type="gramEnd"/>
            <w:r w:rsidRPr="00D45650">
              <w:rPr>
                <w:rFonts w:ascii="Verdana" w:hAnsi="Verdana"/>
              </w:rPr>
              <w:t>.</w:t>
            </w:r>
          </w:p>
          <w:p w14:paraId="1F30D9E5" w14:textId="77777777" w:rsidR="009D1544" w:rsidRDefault="00000000" w:rsidP="00AC5DEE">
            <w:pPr>
              <w:rPr>
                <w:rFonts w:ascii="Verdana" w:hAnsi="Verdana"/>
              </w:rPr>
            </w:pPr>
          </w:p>
        </w:tc>
      </w:tr>
      <w:tr w:rsidR="005B5EBD" w14:paraId="2C7A1835" w14:textId="77777777" w:rsidTr="00C552E3">
        <w:trPr>
          <w:trHeight w:val="7200"/>
        </w:trPr>
        <w:tc>
          <w:tcPr>
            <w:tcW w:w="0" w:type="auto"/>
          </w:tcPr>
          <w:p w14:paraId="6CCF2ADB" w14:textId="77777777" w:rsidR="00D471B5" w:rsidRPr="00CE3358" w:rsidRDefault="00000000" w:rsidP="00AC5D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0" w:type="auto"/>
          </w:tcPr>
          <w:p w14:paraId="62AC0B84" w14:textId="77777777" w:rsidR="009D1544" w:rsidRDefault="00000000" w:rsidP="00AC5D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Create a new profile or update </w:t>
            </w:r>
            <w:r>
              <w:rPr>
                <w:rFonts w:ascii="Verdana" w:hAnsi="Verdana"/>
              </w:rPr>
              <w:t xml:space="preserve">the existing profile as needed.  It is recommended to save a default profile on the </w:t>
            </w:r>
            <w:r w:rsidRPr="00472A7F">
              <w:rPr>
                <w:rFonts w:ascii="Verdana" w:hAnsi="Verdana"/>
                <w:b/>
              </w:rPr>
              <w:t>Manage</w:t>
            </w:r>
            <w:r>
              <w:rPr>
                <w:rFonts w:ascii="Verdana" w:hAnsi="Verdana"/>
              </w:rPr>
              <w:t xml:space="preserve"> tab.  </w:t>
            </w:r>
          </w:p>
          <w:p w14:paraId="7D42BFCF" w14:textId="77777777" w:rsidR="009D1544" w:rsidRDefault="00000000" w:rsidP="00AC5DEE">
            <w:pPr>
              <w:rPr>
                <w:rFonts w:ascii="Verdana" w:hAnsi="Verdana"/>
              </w:rPr>
            </w:pPr>
          </w:p>
          <w:p w14:paraId="04C567E2" w14:textId="77777777" w:rsidR="009D1544" w:rsidRPr="00472A7F" w:rsidRDefault="00000000" w:rsidP="00AC5DEE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472A7F">
              <w:rPr>
                <w:rFonts w:ascii="Verdana" w:hAnsi="Verdana"/>
              </w:rPr>
              <w:t>Refer to</w:t>
            </w:r>
            <w:r w:rsidRPr="00472A7F">
              <w:rPr>
                <w:rFonts w:ascii="Verdana" w:hAnsi="Verdana"/>
                <w:b/>
              </w:rPr>
              <w:t xml:space="preserve"> Establishing a Profile </w:t>
            </w:r>
            <w:r>
              <w:rPr>
                <w:rFonts w:ascii="Verdana" w:hAnsi="Verdana"/>
              </w:rPr>
              <w:t>section of</w:t>
            </w:r>
            <w:r w:rsidRPr="00472A7F">
              <w:rPr>
                <w:rFonts w:ascii="Verdana" w:hAnsi="Verdana"/>
              </w:rPr>
              <w:t xml:space="preserve"> </w:t>
            </w:r>
            <w:hyperlink r:id="rId9" w:history="1">
              <w:r w:rsidRPr="00472A7F">
                <w:rPr>
                  <w:rStyle w:val="Hyperlink"/>
                  <w:rFonts w:ascii="Verdana" w:hAnsi="Verdana"/>
                </w:rPr>
                <w:t>theSource- Feature User Guide</w:t>
              </w:r>
            </w:hyperlink>
            <w:r w:rsidRPr="00472A7F">
              <w:rPr>
                <w:rFonts w:ascii="Verdana" w:hAnsi="Verdana"/>
              </w:rPr>
              <w:t xml:space="preserve"> for detailed steps</w:t>
            </w:r>
            <w:r>
              <w:rPr>
                <w:rFonts w:ascii="Verdana" w:hAnsi="Verdana"/>
              </w:rPr>
              <w:t xml:space="preserve"> for setting up a profile</w:t>
            </w:r>
            <w:r w:rsidRPr="00472A7F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 </w:t>
            </w:r>
          </w:p>
          <w:p w14:paraId="242EE9FF" w14:textId="77777777" w:rsidR="009D1544" w:rsidRDefault="00000000" w:rsidP="00AC5D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36D3AB83" w14:textId="77777777" w:rsidR="009D1544" w:rsidRPr="00CE3358" w:rsidRDefault="00000000" w:rsidP="00AC5DE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5C3AA13" wp14:editId="5E60690D">
                  <wp:extent cx="1487409" cy="3188015"/>
                  <wp:effectExtent l="0" t="0" r="0" b="0"/>
                  <wp:docPr id="21" name="Picture 21" descr="C:\Users\cwolf5\AppData\Local\Temp\SNAGHTML1a8d0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olf5\AppData\Local\Temp\SNAGHTML1a8d0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358" cy="322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678C31" w14:textId="77777777" w:rsidR="00862B65" w:rsidRPr="00CE3358" w:rsidRDefault="00000000" w:rsidP="00AC5DEE">
            <w:pPr>
              <w:rPr>
                <w:rFonts w:ascii="Verdana" w:hAnsi="Verdana"/>
              </w:rPr>
            </w:pPr>
          </w:p>
        </w:tc>
      </w:tr>
    </w:tbl>
    <w:p w14:paraId="62FF6C03" w14:textId="77777777" w:rsidR="00B55366" w:rsidRDefault="00000000" w:rsidP="00AC5DEE">
      <w:pPr>
        <w:jc w:val="right"/>
        <w:rPr>
          <w:rStyle w:val="Hyperlink"/>
          <w:rFonts w:ascii="Verdana" w:hAnsi="Verdana"/>
        </w:rPr>
      </w:pPr>
    </w:p>
    <w:p w14:paraId="7BDFA938" w14:textId="77777777" w:rsidR="00E92C73" w:rsidRDefault="00000000" w:rsidP="00AC5DEE">
      <w:pPr>
        <w:jc w:val="right"/>
        <w:rPr>
          <w:rFonts w:ascii="Verdana" w:hAnsi="Verdana"/>
        </w:rPr>
      </w:pPr>
      <w:hyperlink w:anchor="_top" w:history="1">
        <w:r w:rsidRPr="00F8691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B5EBD" w14:paraId="188D0CB2" w14:textId="77777777" w:rsidTr="00B55366">
        <w:tc>
          <w:tcPr>
            <w:tcW w:w="5000" w:type="pct"/>
            <w:shd w:val="clear" w:color="auto" w:fill="C0C0C0"/>
          </w:tcPr>
          <w:p w14:paraId="4E6BCC65" w14:textId="77777777" w:rsidR="00491B7F" w:rsidRPr="001220EF" w:rsidRDefault="00000000" w:rsidP="00AC5DEE">
            <w:pPr>
              <w:pStyle w:val="Heading2"/>
              <w:spacing w:before="0" w:after="0"/>
              <w:rPr>
                <w:rFonts w:ascii="Verdana" w:hAnsi="Verdana" w:cs="Arial"/>
                <w:i w:val="0"/>
                <w:iCs w:val="0"/>
              </w:rPr>
            </w:pPr>
            <w:bookmarkStart w:id="12" w:name="_CareSource_Home_Page_"/>
            <w:bookmarkStart w:id="13" w:name="_theSource_–_Personal"/>
            <w:bookmarkStart w:id="14" w:name="_theSource_–_Department"/>
            <w:bookmarkStart w:id="15" w:name="_Toc66109353"/>
            <w:bookmarkEnd w:id="12"/>
            <w:bookmarkEnd w:id="13"/>
            <w:bookmarkEnd w:id="14"/>
            <w:r>
              <w:rPr>
                <w:rFonts w:ascii="Verdana" w:hAnsi="Verdana" w:cs="Arial"/>
                <w:i w:val="0"/>
                <w:iCs w:val="0"/>
              </w:rPr>
              <w:t>Example Scenario</w:t>
            </w:r>
            <w:bookmarkEnd w:id="15"/>
          </w:p>
        </w:tc>
      </w:tr>
    </w:tbl>
    <w:p w14:paraId="762CBF82" w14:textId="77777777" w:rsidR="00D45650" w:rsidRDefault="00000000" w:rsidP="00AC5DEE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Let’s </w:t>
      </w:r>
      <w:r>
        <w:rPr>
          <w:rFonts w:ascii="Verdana" w:hAnsi="Verdana"/>
          <w:bCs/>
        </w:rPr>
        <w:t>set up a profile</w:t>
      </w:r>
      <w:r w:rsidRPr="00D45650">
        <w:rPr>
          <w:rFonts w:ascii="Verdana" w:hAnsi="Verdana"/>
          <w:bCs/>
        </w:rPr>
        <w:t xml:space="preserve"> in the Product Selection area of the Back End Pharmacy in Chicago.  </w:t>
      </w:r>
    </w:p>
    <w:p w14:paraId="2DBBDCEF" w14:textId="77777777" w:rsidR="00D45650" w:rsidRDefault="00000000" w:rsidP="00AC5DEE">
      <w:pPr>
        <w:rPr>
          <w:rFonts w:ascii="Verdana" w:hAnsi="Verdana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5B5EBD" w14:paraId="2998A996" w14:textId="77777777" w:rsidTr="00CF3BC0">
        <w:tc>
          <w:tcPr>
            <w:tcW w:w="310" w:type="pct"/>
            <w:shd w:val="clear" w:color="auto" w:fill="E6E6E6"/>
          </w:tcPr>
          <w:p w14:paraId="1B17764C" w14:textId="77777777" w:rsidR="00D45650" w:rsidRPr="00CE3358" w:rsidRDefault="00000000" w:rsidP="00AC5DEE">
            <w:pPr>
              <w:jc w:val="center"/>
              <w:rPr>
                <w:rFonts w:ascii="Verdana" w:hAnsi="Verdana"/>
                <w:b/>
              </w:rPr>
            </w:pPr>
            <w:r w:rsidRPr="00CE3358">
              <w:rPr>
                <w:rFonts w:ascii="Verdana" w:hAnsi="Verdana"/>
                <w:b/>
              </w:rPr>
              <w:t>Step</w:t>
            </w:r>
          </w:p>
        </w:tc>
        <w:tc>
          <w:tcPr>
            <w:tcW w:w="4690" w:type="pct"/>
            <w:shd w:val="clear" w:color="auto" w:fill="E6E6E6"/>
          </w:tcPr>
          <w:p w14:paraId="6E22014C" w14:textId="77777777" w:rsidR="00D45650" w:rsidRPr="00CE3358" w:rsidRDefault="00000000" w:rsidP="00AC5DEE">
            <w:pPr>
              <w:jc w:val="center"/>
              <w:rPr>
                <w:rFonts w:ascii="Verdana" w:hAnsi="Verdana"/>
                <w:b/>
              </w:rPr>
            </w:pPr>
            <w:r w:rsidRPr="00CE3358">
              <w:rPr>
                <w:rFonts w:ascii="Verdana" w:hAnsi="Verdana"/>
                <w:b/>
              </w:rPr>
              <w:t>Action</w:t>
            </w:r>
          </w:p>
        </w:tc>
      </w:tr>
      <w:tr w:rsidR="005B5EBD" w14:paraId="45F04D04" w14:textId="77777777" w:rsidTr="00CF3BC0">
        <w:tc>
          <w:tcPr>
            <w:tcW w:w="310" w:type="pct"/>
          </w:tcPr>
          <w:p w14:paraId="60AEA566" w14:textId="77777777" w:rsidR="00D45650" w:rsidRPr="00CE3358" w:rsidRDefault="00000000" w:rsidP="00AC5DEE">
            <w:pPr>
              <w:jc w:val="center"/>
              <w:rPr>
                <w:rFonts w:ascii="Verdana" w:hAnsi="Verdana"/>
                <w:b/>
              </w:rPr>
            </w:pPr>
            <w:r w:rsidRPr="00CE3358">
              <w:rPr>
                <w:rFonts w:ascii="Verdana" w:hAnsi="Verdana"/>
                <w:b/>
              </w:rPr>
              <w:t>1</w:t>
            </w:r>
          </w:p>
        </w:tc>
        <w:tc>
          <w:tcPr>
            <w:tcW w:w="4690" w:type="pct"/>
          </w:tcPr>
          <w:p w14:paraId="270C25F4" w14:textId="77777777" w:rsidR="00C34794" w:rsidRDefault="00000000" w:rsidP="00AC5DEE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</w:t>
            </w:r>
            <w:r w:rsidRPr="00D45650">
              <w:rPr>
                <w:rFonts w:ascii="Verdana" w:hAnsi="Verdana"/>
                <w:bCs/>
              </w:rPr>
              <w:t>ccess the</w:t>
            </w:r>
            <w:r>
              <w:rPr>
                <w:rFonts w:ascii="Verdana" w:hAnsi="Verdana"/>
                <w:bCs/>
              </w:rPr>
              <w:t xml:space="preserve"> spreadsheet linked above</w:t>
            </w:r>
            <w:r>
              <w:rPr>
                <w:rFonts w:ascii="Verdana" w:hAnsi="Verdana"/>
                <w:bCs/>
              </w:rPr>
              <w:t xml:space="preserve"> </w:t>
            </w:r>
            <w:r w:rsidRPr="00D45650">
              <w:rPr>
                <w:rFonts w:ascii="Verdana" w:hAnsi="Verdana"/>
                <w:bCs/>
              </w:rPr>
              <w:t xml:space="preserve">and find the </w:t>
            </w:r>
            <w:r>
              <w:rPr>
                <w:rFonts w:ascii="Verdana" w:hAnsi="Verdana"/>
                <w:bCs/>
              </w:rPr>
              <w:t xml:space="preserve">work area </w:t>
            </w:r>
            <w:r w:rsidRPr="00D45650">
              <w:rPr>
                <w:rFonts w:ascii="Verdana" w:hAnsi="Verdana"/>
                <w:bCs/>
              </w:rPr>
              <w:t xml:space="preserve">located in the </w:t>
            </w:r>
            <w:proofErr w:type="gramStart"/>
            <w:r w:rsidRPr="00D45650">
              <w:rPr>
                <w:rFonts w:ascii="Verdana" w:hAnsi="Verdana"/>
                <w:bCs/>
              </w:rPr>
              <w:t>far left</w:t>
            </w:r>
            <w:proofErr w:type="gramEnd"/>
            <w:r w:rsidRPr="00D45650">
              <w:rPr>
                <w:rFonts w:ascii="Verdana" w:hAnsi="Verdana"/>
                <w:bCs/>
              </w:rPr>
              <w:t xml:space="preserve"> column. </w:t>
            </w:r>
            <w:r>
              <w:rPr>
                <w:rFonts w:ascii="Verdana" w:hAnsi="Verdana"/>
                <w:bCs/>
              </w:rPr>
              <w:t>T</w:t>
            </w:r>
            <w:r w:rsidRPr="00D45650">
              <w:rPr>
                <w:rFonts w:ascii="Verdana" w:hAnsi="Verdana"/>
                <w:bCs/>
              </w:rPr>
              <w:t xml:space="preserve">hen read across the row to determine which choice to make for each setting in theSource, as highlighted </w:t>
            </w:r>
            <w:r>
              <w:rPr>
                <w:rFonts w:ascii="Verdana" w:hAnsi="Verdana"/>
                <w:bCs/>
              </w:rPr>
              <w:t xml:space="preserve">in yellow </w:t>
            </w:r>
            <w:r w:rsidRPr="00D45650">
              <w:rPr>
                <w:rFonts w:ascii="Verdana" w:hAnsi="Verdana"/>
                <w:bCs/>
              </w:rPr>
              <w:t xml:space="preserve">below.  </w:t>
            </w:r>
          </w:p>
          <w:p w14:paraId="1818CAB3" w14:textId="77777777" w:rsidR="00C34794" w:rsidRDefault="00000000" w:rsidP="00AC5DEE">
            <w:pPr>
              <w:rPr>
                <w:rFonts w:ascii="Verdana" w:hAnsi="Verdana"/>
                <w:bCs/>
              </w:rPr>
            </w:pPr>
          </w:p>
          <w:p w14:paraId="0A24EC54" w14:textId="77777777" w:rsidR="00A21823" w:rsidRDefault="00000000" w:rsidP="00AC5DEE">
            <w:pPr>
              <w:rPr>
                <w:rFonts w:ascii="Verdana" w:hAnsi="Verdana"/>
                <w:bCs/>
              </w:rPr>
            </w:pPr>
            <w:r w:rsidRPr="00C34794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  <w:bCs/>
              </w:rPr>
              <w:t xml:space="preserve">  </w:t>
            </w:r>
            <w:r w:rsidRPr="00D45650">
              <w:rPr>
                <w:rFonts w:ascii="Verdana" w:hAnsi="Verdana"/>
                <w:bCs/>
              </w:rPr>
              <w:t xml:space="preserve">When presented with multiple options </w:t>
            </w:r>
            <w:r>
              <w:rPr>
                <w:rFonts w:ascii="Verdana" w:hAnsi="Verdana"/>
                <w:bCs/>
              </w:rPr>
              <w:t>for Facility (</w:t>
            </w:r>
            <w:r w:rsidRPr="00D45650">
              <w:rPr>
                <w:rFonts w:ascii="Verdana" w:hAnsi="Verdana"/>
                <w:bCs/>
              </w:rPr>
              <w:t>Chicago, San Antonio,</w:t>
            </w:r>
            <w:r w:rsidRPr="00D45650">
              <w:rPr>
                <w:rFonts w:ascii="Verdana" w:hAnsi="Verdana"/>
                <w:bCs/>
              </w:rPr>
              <w:t xml:space="preserve"> or Wilkes Barre</w:t>
            </w:r>
            <w:r>
              <w:rPr>
                <w:rFonts w:ascii="Verdana" w:hAnsi="Verdana"/>
                <w:bCs/>
              </w:rPr>
              <w:t>),</w:t>
            </w:r>
            <w:r w:rsidRPr="00D45650">
              <w:rPr>
                <w:rFonts w:ascii="Verdana" w:hAnsi="Verdana"/>
                <w:bCs/>
              </w:rPr>
              <w:t xml:space="preserve"> </w:t>
            </w:r>
          </w:p>
          <w:p w14:paraId="458B07F1" w14:textId="77777777" w:rsidR="00D45650" w:rsidRDefault="00000000" w:rsidP="00AC5DEE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simply</w:t>
            </w:r>
            <w:r w:rsidRPr="00D45650">
              <w:rPr>
                <w:rFonts w:ascii="Verdana" w:hAnsi="Verdana"/>
                <w:bCs/>
              </w:rPr>
              <w:t xml:space="preserve"> select </w:t>
            </w:r>
            <w:r>
              <w:rPr>
                <w:rFonts w:ascii="Verdana" w:hAnsi="Verdana"/>
                <w:bCs/>
              </w:rPr>
              <w:t xml:space="preserve">the </w:t>
            </w:r>
            <w:r w:rsidRPr="00D45650">
              <w:rPr>
                <w:rFonts w:ascii="Verdana" w:hAnsi="Verdana"/>
                <w:bCs/>
              </w:rPr>
              <w:t>location</w:t>
            </w:r>
            <w:r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where you work (</w:t>
            </w:r>
            <w:r>
              <w:rPr>
                <w:rFonts w:ascii="Verdana" w:hAnsi="Verdana"/>
                <w:bCs/>
              </w:rPr>
              <w:t>in this example, it’s Chicago)</w:t>
            </w:r>
            <w:r w:rsidRPr="00D45650">
              <w:rPr>
                <w:rFonts w:ascii="Verdana" w:hAnsi="Verdana"/>
                <w:bCs/>
              </w:rPr>
              <w:t>.</w:t>
            </w:r>
          </w:p>
          <w:p w14:paraId="01BC6F96" w14:textId="77777777" w:rsidR="00D45650" w:rsidRPr="00D45650" w:rsidRDefault="00000000" w:rsidP="00AC5DEE">
            <w:pPr>
              <w:rPr>
                <w:rFonts w:ascii="Verdana" w:hAnsi="Verdana"/>
                <w:bCs/>
              </w:rPr>
            </w:pPr>
          </w:p>
          <w:p w14:paraId="35118876" w14:textId="77777777" w:rsidR="00D45650" w:rsidRPr="00CE3358" w:rsidRDefault="00000000" w:rsidP="00AC5DE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3AB02DF" wp14:editId="74E1A200">
                  <wp:extent cx="6506042" cy="2240915"/>
                  <wp:effectExtent l="0" t="0" r="952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6313" cy="226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CEED5" w14:textId="77777777" w:rsidR="00D45650" w:rsidRPr="00CE3358" w:rsidRDefault="00000000" w:rsidP="00AC5DEE">
            <w:pPr>
              <w:jc w:val="center"/>
              <w:rPr>
                <w:rFonts w:ascii="Verdana" w:hAnsi="Verdana"/>
              </w:rPr>
            </w:pPr>
          </w:p>
          <w:p w14:paraId="11535BAA" w14:textId="77777777" w:rsidR="00D45650" w:rsidRPr="00CE3358" w:rsidRDefault="00000000" w:rsidP="00AC5DEE">
            <w:pPr>
              <w:rPr>
                <w:rFonts w:ascii="Verdana" w:hAnsi="Verdana"/>
              </w:rPr>
            </w:pPr>
          </w:p>
        </w:tc>
      </w:tr>
      <w:tr w:rsidR="005B5EBD" w14:paraId="7E8DCCDA" w14:textId="77777777" w:rsidTr="00CF3BC0">
        <w:tc>
          <w:tcPr>
            <w:tcW w:w="310" w:type="pct"/>
          </w:tcPr>
          <w:p w14:paraId="2EC77E80" w14:textId="77777777" w:rsidR="00D45650" w:rsidRPr="00CE3358" w:rsidRDefault="00000000" w:rsidP="00AC5D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0" w:type="pct"/>
          </w:tcPr>
          <w:p w14:paraId="364CCB7E" w14:textId="77777777" w:rsidR="00D45650" w:rsidRDefault="00000000" w:rsidP="00AC5D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D45650">
              <w:rPr>
                <w:rFonts w:ascii="Verdana" w:hAnsi="Verdana"/>
              </w:rPr>
              <w:t xml:space="preserve">ccess theSource and click on the profile settings </w:t>
            </w:r>
            <w:r>
              <w:rPr>
                <w:rFonts w:ascii="Verdana" w:hAnsi="Verdana"/>
              </w:rPr>
              <w:t>icon</w:t>
            </w:r>
            <w:r w:rsidRPr="00D45650">
              <w:rPr>
                <w:rFonts w:ascii="Verdana" w:hAnsi="Verdana"/>
              </w:rPr>
              <w:t>.</w:t>
            </w:r>
          </w:p>
          <w:p w14:paraId="3B277631" w14:textId="77777777" w:rsidR="00D45650" w:rsidRDefault="00000000" w:rsidP="00AC5DEE">
            <w:pPr>
              <w:rPr>
                <w:rFonts w:ascii="Verdana" w:hAnsi="Verdana"/>
              </w:rPr>
            </w:pPr>
          </w:p>
          <w:p w14:paraId="73EE1256" w14:textId="77777777" w:rsidR="00D45650" w:rsidRPr="00D45650" w:rsidRDefault="00000000" w:rsidP="00AC5DEE">
            <w:pPr>
              <w:jc w:val="center"/>
              <w:rPr>
                <w:rFonts w:ascii="Verdana" w:hAnsi="Verdana"/>
              </w:rPr>
            </w:pPr>
            <w:r w:rsidRPr="00392A61">
              <w:rPr>
                <w:noProof/>
              </w:rPr>
              <w:drawing>
                <wp:inline distT="0" distB="0" distL="0" distR="0" wp14:anchorId="275D13AE" wp14:editId="38C8D241">
                  <wp:extent cx="2505075" cy="476250"/>
                  <wp:effectExtent l="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425399" w14:textId="77777777" w:rsidR="00D45650" w:rsidRDefault="00000000" w:rsidP="00AC5DEE">
            <w:pPr>
              <w:rPr>
                <w:rFonts w:ascii="Verdana" w:hAnsi="Verdana"/>
              </w:rPr>
            </w:pPr>
          </w:p>
        </w:tc>
      </w:tr>
      <w:tr w:rsidR="005B5EBD" w14:paraId="4D042E0F" w14:textId="77777777" w:rsidTr="00CF3BC0">
        <w:tc>
          <w:tcPr>
            <w:tcW w:w="310" w:type="pct"/>
          </w:tcPr>
          <w:p w14:paraId="20F8B0D9" w14:textId="77777777" w:rsidR="00A02C63" w:rsidRDefault="00000000" w:rsidP="00AC5DEE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90" w:type="pct"/>
          </w:tcPr>
          <w:p w14:paraId="7FA52CCD" w14:textId="77777777" w:rsidR="00A02C63" w:rsidRDefault="00000000" w:rsidP="00AC5D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</w:t>
            </w:r>
            <w:r w:rsidRPr="00472A7F">
              <w:rPr>
                <w:rFonts w:ascii="Verdana" w:hAnsi="Verdana"/>
                <w:b/>
              </w:rPr>
              <w:t>Manage</w:t>
            </w:r>
            <w:r>
              <w:rPr>
                <w:rFonts w:ascii="Verdana" w:hAnsi="Verdana"/>
              </w:rPr>
              <w:t xml:space="preserve"> and the pencil icon next to an empty profile option.</w:t>
            </w:r>
          </w:p>
          <w:p w14:paraId="7EB4A89C" w14:textId="77777777" w:rsidR="00A02C63" w:rsidRDefault="00000000" w:rsidP="00AC5DEE">
            <w:pPr>
              <w:rPr>
                <w:rFonts w:ascii="Verdana" w:hAnsi="Verdana"/>
              </w:rPr>
            </w:pPr>
          </w:p>
          <w:p w14:paraId="73B5577D" w14:textId="77777777" w:rsidR="00A02C63" w:rsidRDefault="00000000" w:rsidP="00AC5DE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B36CB80" wp14:editId="5029B6B4">
                  <wp:extent cx="1577572" cy="3381263"/>
                  <wp:effectExtent l="0" t="0" r="3810" b="0"/>
                  <wp:docPr id="32" name="Picture 32" descr="C:\Users\cwolf5\AppData\Local\Temp\SNAGHTML1af25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wolf5\AppData\Local\Temp\SNAGHTML1af25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758" cy="3400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EA4921" w14:textId="77777777" w:rsidR="00A02C63" w:rsidRPr="00D45650" w:rsidRDefault="00000000" w:rsidP="00AC5DEE">
            <w:pPr>
              <w:rPr>
                <w:rFonts w:ascii="Verdana" w:hAnsi="Verdana"/>
              </w:rPr>
            </w:pPr>
          </w:p>
        </w:tc>
      </w:tr>
      <w:tr w:rsidR="005B5EBD" w14:paraId="51D2CE7A" w14:textId="77777777" w:rsidTr="00CF3BC0">
        <w:tc>
          <w:tcPr>
            <w:tcW w:w="310" w:type="pct"/>
          </w:tcPr>
          <w:p w14:paraId="3467E2B2" w14:textId="77777777" w:rsidR="00D45650" w:rsidRPr="00CE3358" w:rsidRDefault="00000000" w:rsidP="00AC5DEE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90" w:type="pct"/>
          </w:tcPr>
          <w:p w14:paraId="10709A10" w14:textId="77777777" w:rsidR="00D45650" w:rsidRPr="00D45650" w:rsidRDefault="00000000" w:rsidP="00AC5D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lick on each setting </w:t>
            </w:r>
            <w:r>
              <w:rPr>
                <w:rFonts w:ascii="Verdana" w:hAnsi="Verdana"/>
              </w:rPr>
              <w:t xml:space="preserve">as shown </w:t>
            </w:r>
            <w:r>
              <w:rPr>
                <w:rFonts w:ascii="Verdana" w:hAnsi="Verdana"/>
              </w:rPr>
              <w:t xml:space="preserve">in </w:t>
            </w:r>
            <w:r>
              <w:rPr>
                <w:rFonts w:ascii="Verdana" w:hAnsi="Verdana"/>
              </w:rPr>
              <w:t xml:space="preserve">Step 1, </w:t>
            </w:r>
            <w:r>
              <w:rPr>
                <w:rFonts w:ascii="Verdana" w:hAnsi="Verdana"/>
              </w:rPr>
              <w:t>a</w:t>
            </w:r>
            <w:r w:rsidRPr="00D45650">
              <w:rPr>
                <w:rFonts w:ascii="Verdana" w:hAnsi="Verdana"/>
              </w:rPr>
              <w:t xml:space="preserve">nd then choose the </w:t>
            </w:r>
            <w:r>
              <w:rPr>
                <w:rFonts w:ascii="Verdana" w:hAnsi="Verdana"/>
              </w:rPr>
              <w:t>options listed in the reference guide for Product Selection</w:t>
            </w:r>
            <w:r w:rsidRPr="00D45650">
              <w:rPr>
                <w:rFonts w:ascii="Verdana" w:hAnsi="Verdana"/>
              </w:rPr>
              <w:t xml:space="preserve">.  </w:t>
            </w:r>
          </w:p>
          <w:p w14:paraId="4AD311A8" w14:textId="77777777" w:rsidR="00D45650" w:rsidRDefault="00000000" w:rsidP="00AC5DEE">
            <w:pPr>
              <w:textAlignment w:val="top"/>
              <w:rPr>
                <w:rFonts w:ascii="Verdana" w:hAnsi="Verdana"/>
              </w:rPr>
            </w:pPr>
          </w:p>
          <w:p w14:paraId="1E593C90" w14:textId="77777777" w:rsidR="00B818B5" w:rsidRPr="00B818B5" w:rsidRDefault="00000000" w:rsidP="00AC5DEE">
            <w:pPr>
              <w:textAlignment w:val="top"/>
              <w:rPr>
                <w:rFonts w:ascii="Verdana" w:hAnsi="Verdana"/>
                <w:b/>
                <w:bCs/>
              </w:rPr>
            </w:pPr>
            <w:r w:rsidRPr="00B818B5">
              <w:rPr>
                <w:rFonts w:ascii="Verdana" w:hAnsi="Verdana"/>
                <w:b/>
                <w:bCs/>
              </w:rPr>
              <w:t xml:space="preserve">Profile 1 Example: </w:t>
            </w:r>
          </w:p>
          <w:p w14:paraId="607534AE" w14:textId="77777777" w:rsidR="00D45650" w:rsidRDefault="00000000" w:rsidP="00AC5DEE">
            <w:pPr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B5302FC" wp14:editId="6AA67774">
                  <wp:extent cx="1506071" cy="309746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398" cy="314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2E549" w14:textId="77777777" w:rsidR="00D45650" w:rsidRPr="00491B7F" w:rsidRDefault="00000000" w:rsidP="00AC5DEE">
            <w:pPr>
              <w:textAlignment w:val="top"/>
              <w:rPr>
                <w:rFonts w:ascii="Verdana" w:hAnsi="Verdana"/>
                <w:b/>
              </w:rPr>
            </w:pPr>
          </w:p>
        </w:tc>
      </w:tr>
      <w:tr w:rsidR="005B5EBD" w14:paraId="50933333" w14:textId="77777777" w:rsidTr="00CF3BC0">
        <w:tc>
          <w:tcPr>
            <w:tcW w:w="310" w:type="pct"/>
          </w:tcPr>
          <w:p w14:paraId="1F47F790" w14:textId="77777777" w:rsidR="00D45650" w:rsidRDefault="00000000" w:rsidP="00AC5DEE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690" w:type="pct"/>
          </w:tcPr>
          <w:p w14:paraId="26F10F9A" w14:textId="77777777" w:rsidR="00A02C63" w:rsidRDefault="00000000" w:rsidP="00AC5D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</w:t>
            </w:r>
            <w:r w:rsidRPr="00D45650">
              <w:rPr>
                <w:rFonts w:ascii="Verdana" w:hAnsi="Verdana"/>
              </w:rPr>
              <w:t xml:space="preserve">oose Mail Pharmacy Operations – Back End for the Business Area.  </w:t>
            </w:r>
          </w:p>
          <w:p w14:paraId="08F05AF2" w14:textId="77777777" w:rsidR="00A02C63" w:rsidRDefault="00000000" w:rsidP="00AC5DEE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472A7F">
              <w:rPr>
                <w:rFonts w:ascii="Verdana" w:hAnsi="Verdana"/>
              </w:rPr>
              <w:t>Repeat for each profile setting option as needed (Business Area, Department, Line of Business, Position, and Facility).</w:t>
            </w:r>
          </w:p>
          <w:p w14:paraId="07DD9AC8" w14:textId="77777777" w:rsidR="00D45650" w:rsidRDefault="00000000" w:rsidP="00AC5DEE">
            <w:pPr>
              <w:rPr>
                <w:rFonts w:ascii="Verdana" w:hAnsi="Verdana"/>
              </w:rPr>
            </w:pPr>
          </w:p>
          <w:p w14:paraId="5B87AC38" w14:textId="77777777" w:rsidR="00A02C63" w:rsidRDefault="00000000" w:rsidP="00AC5DEE">
            <w:pPr>
              <w:jc w:val="center"/>
              <w:rPr>
                <w:rFonts w:ascii="Verdana" w:hAnsi="Verdana"/>
                <w:b/>
              </w:rPr>
            </w:pPr>
            <w:r w:rsidRPr="00392A61">
              <w:rPr>
                <w:noProof/>
              </w:rPr>
              <w:drawing>
                <wp:inline distT="0" distB="0" distL="0" distR="0" wp14:anchorId="0F418B5D" wp14:editId="608C29AD">
                  <wp:extent cx="1946151" cy="401955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593" cy="403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      </w:t>
            </w:r>
          </w:p>
          <w:p w14:paraId="7EE6B7B5" w14:textId="77777777" w:rsidR="00A02C63" w:rsidRDefault="00000000" w:rsidP="00AC5DEE">
            <w:pPr>
              <w:jc w:val="center"/>
              <w:rPr>
                <w:rFonts w:ascii="Verdana" w:hAnsi="Verdana"/>
                <w:b/>
              </w:rPr>
            </w:pPr>
          </w:p>
          <w:p w14:paraId="74229303" w14:textId="77777777" w:rsidR="00A02C63" w:rsidRPr="00C34794" w:rsidRDefault="00000000" w:rsidP="00AC5DEE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b/>
              </w:rPr>
            </w:pPr>
            <w:r w:rsidRPr="00C34794">
              <w:rPr>
                <w:rFonts w:ascii="Verdana" w:hAnsi="Verdana"/>
              </w:rPr>
              <w:t xml:space="preserve">When </w:t>
            </w:r>
            <w:r w:rsidRPr="00C34794">
              <w:rPr>
                <w:rFonts w:ascii="Verdana" w:hAnsi="Verdana"/>
              </w:rPr>
              <w:t xml:space="preserve">completed, set the profile as </w:t>
            </w:r>
            <w:r w:rsidRPr="00C34794">
              <w:rPr>
                <w:rFonts w:ascii="Verdana" w:hAnsi="Verdana"/>
              </w:rPr>
              <w:t xml:space="preserve">default, and then activate it. </w:t>
            </w:r>
            <w:r w:rsidRPr="00C34794">
              <w:rPr>
                <w:rFonts w:ascii="Verdana" w:hAnsi="Verdana"/>
              </w:rPr>
              <w:t xml:space="preserve"> The profile is set!</w:t>
            </w:r>
            <w:r w:rsidRPr="00C34794">
              <w:rPr>
                <w:rFonts w:ascii="Verdana" w:hAnsi="Verdana"/>
                <w:b/>
              </w:rPr>
              <w:t xml:space="preserve"> </w:t>
            </w:r>
          </w:p>
          <w:p w14:paraId="6D6EC875" w14:textId="77777777" w:rsidR="00A02C63" w:rsidRDefault="00000000" w:rsidP="00AC5DEE">
            <w:pPr>
              <w:jc w:val="center"/>
              <w:rPr>
                <w:rFonts w:ascii="Verdana" w:hAnsi="Verdana"/>
                <w:b/>
              </w:rPr>
            </w:pPr>
          </w:p>
          <w:p w14:paraId="4E0D1FC6" w14:textId="77777777" w:rsidR="00A02C63" w:rsidRDefault="00000000" w:rsidP="00AC5DEE">
            <w:pPr>
              <w:jc w:val="center"/>
              <w:rPr>
                <w:rFonts w:ascii="Verdana" w:hAnsi="Verdana"/>
                <w:b/>
              </w:rPr>
            </w:pPr>
          </w:p>
          <w:p w14:paraId="6888BEBA" w14:textId="77777777" w:rsidR="00A02C63" w:rsidRDefault="00000000" w:rsidP="00AC5D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C27C934" wp14:editId="1D5EDDA8">
                  <wp:extent cx="1448234" cy="2964931"/>
                  <wp:effectExtent l="0" t="0" r="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979" cy="299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9D091" w14:textId="77777777" w:rsidR="00A02C63" w:rsidRPr="00472A7F" w:rsidRDefault="00000000" w:rsidP="00AC5DEE">
            <w:pPr>
              <w:rPr>
                <w:rFonts w:ascii="Verdana" w:hAnsi="Verdana"/>
                <w:b/>
              </w:rPr>
            </w:pPr>
          </w:p>
        </w:tc>
      </w:tr>
    </w:tbl>
    <w:p w14:paraId="3A201447" w14:textId="77777777" w:rsidR="00491B7F" w:rsidRDefault="00000000" w:rsidP="00AC5DEE">
      <w:pPr>
        <w:rPr>
          <w:noProof/>
        </w:rPr>
      </w:pPr>
    </w:p>
    <w:p w14:paraId="7BB6BF15" w14:textId="77777777" w:rsidR="004773A1" w:rsidRPr="005D7976" w:rsidRDefault="00000000" w:rsidP="00AC5DEE">
      <w:pPr>
        <w:jc w:val="right"/>
        <w:rPr>
          <w:rFonts w:ascii="Verdana" w:hAnsi="Verdana"/>
        </w:rPr>
      </w:pPr>
      <w:hyperlink w:anchor="_top" w:history="1">
        <w:r w:rsidRPr="00F8691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B5EBD" w14:paraId="61CB1EC9" w14:textId="77777777" w:rsidTr="00A21823">
        <w:tc>
          <w:tcPr>
            <w:tcW w:w="5000" w:type="pct"/>
            <w:shd w:val="clear" w:color="auto" w:fill="C0C0C0"/>
          </w:tcPr>
          <w:p w14:paraId="2CCD79EC" w14:textId="77777777" w:rsidR="00B55366" w:rsidRPr="00A21823" w:rsidRDefault="00000000" w:rsidP="00AC5DEE">
            <w:pPr>
              <w:pStyle w:val="Heading2"/>
              <w:spacing w:before="0" w:after="0"/>
              <w:rPr>
                <w:rFonts w:ascii="Verdana" w:hAnsi="Verdana"/>
                <w:i w:val="0"/>
                <w:iCs w:val="0"/>
              </w:rPr>
            </w:pPr>
            <w:bookmarkStart w:id="16" w:name="_Parent_SOP"/>
            <w:bookmarkStart w:id="17" w:name="_Toc66109354"/>
            <w:bookmarkEnd w:id="1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</w:p>
        </w:tc>
      </w:tr>
    </w:tbl>
    <w:p w14:paraId="4868ECDF" w14:textId="77777777" w:rsidR="00A21823" w:rsidRPr="00A21823" w:rsidRDefault="00000000" w:rsidP="00AC5DEE">
      <w:pPr>
        <w:autoSpaceDE w:val="0"/>
        <w:autoSpaceDN w:val="0"/>
        <w:adjustRightInd w:val="0"/>
        <w:rPr>
          <w:rFonts w:ascii="Verdana" w:hAnsi="Verdana" w:cs="Verdana"/>
        </w:rPr>
      </w:pPr>
      <w:r w:rsidRPr="00A21823">
        <w:rPr>
          <w:rFonts w:ascii="Verdana" w:hAnsi="Verdana"/>
          <w:b/>
        </w:rPr>
        <w:t xml:space="preserve">Parent SOP:  </w:t>
      </w:r>
      <w:hyperlink r:id="rId17" w:history="1">
        <w:r w:rsidRPr="00A21823">
          <w:rPr>
            <w:rFonts w:ascii="Verdana" w:hAnsi="Verdana" w:cs="Verdana"/>
            <w:color w:val="0000FF"/>
            <w:u w:val="single"/>
          </w:rPr>
          <w:t xml:space="preserve">DOC-048962 Learning </w:t>
        </w:r>
        <w:bookmarkStart w:id="18" w:name="_Hlk60305513"/>
        <w:r w:rsidRPr="00A21823">
          <w:rPr>
            <w:rFonts w:ascii="Verdana" w:hAnsi="Verdana" w:cs="Verdana"/>
            <w:color w:val="0000FF"/>
            <w:u w:val="single"/>
          </w:rPr>
          <w:t>&amp;</w:t>
        </w:r>
        <w:bookmarkEnd w:id="18"/>
        <w:r w:rsidRPr="00A21823">
          <w:rPr>
            <w:rFonts w:ascii="Verdana" w:hAnsi="Verdana" w:cs="Verdana"/>
            <w:color w:val="0000FF"/>
            <w:u w:val="single"/>
          </w:rPr>
          <w:t xml:space="preserve"> Development Document Management Policy and Procedure</w:t>
        </w:r>
      </w:hyperlink>
    </w:p>
    <w:p w14:paraId="7C53F768" w14:textId="77777777" w:rsidR="00096F32" w:rsidRPr="00096F32" w:rsidRDefault="00000000" w:rsidP="00AC5DEE">
      <w:pPr>
        <w:rPr>
          <w:rFonts w:cs="Verdana"/>
          <w:color w:val="0000FF"/>
          <w:u w:val="single"/>
        </w:rPr>
      </w:pPr>
      <w:r w:rsidRPr="00096F32">
        <w:rPr>
          <w:rFonts w:ascii="Verdana" w:hAnsi="Verdana"/>
          <w:b/>
          <w:bCs/>
        </w:rPr>
        <w:t>Abbreviations / Definitions:</w:t>
      </w:r>
      <w:r w:rsidRPr="00096F32">
        <w:rPr>
          <w:rFonts w:ascii="Verdana" w:hAnsi="Verdana"/>
        </w:rPr>
        <w:t xml:space="preserve">  </w:t>
      </w:r>
      <w:hyperlink r:id="rId18" w:history="1">
        <w:r w:rsidRPr="00096F32">
          <w:rPr>
            <w:rFonts w:ascii="Verdana" w:hAnsi="Verdana" w:cs="Verdana"/>
            <w:color w:val="0000FF"/>
            <w:u w:val="single"/>
          </w:rPr>
          <w:t>Training and Delivery Abbreviations, Definitions, and Terms</w:t>
        </w:r>
      </w:hyperlink>
    </w:p>
    <w:p w14:paraId="3C474D2A" w14:textId="77777777" w:rsidR="00096F32" w:rsidRPr="00096F32" w:rsidRDefault="00000000" w:rsidP="00AC5DEE">
      <w:pPr>
        <w:rPr>
          <w:rFonts w:ascii="Verdana" w:hAnsi="Verdana"/>
        </w:rPr>
      </w:pPr>
    </w:p>
    <w:p w14:paraId="16680BD1" w14:textId="77777777" w:rsidR="00AC6F45" w:rsidRDefault="00000000" w:rsidP="00AC5DEE">
      <w:pPr>
        <w:jc w:val="right"/>
        <w:rPr>
          <w:rStyle w:val="Hyperlink"/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</w:p>
    <w:p w14:paraId="309A1650" w14:textId="77777777" w:rsidR="00B55366" w:rsidRDefault="00000000" w:rsidP="00AC5DEE">
      <w:pPr>
        <w:jc w:val="right"/>
        <w:rPr>
          <w:rFonts w:ascii="Verdana" w:hAnsi="Verdana"/>
        </w:rPr>
      </w:pPr>
    </w:p>
    <w:p w14:paraId="2256B62F" w14:textId="77777777" w:rsidR="0021351D" w:rsidRPr="00662E9C" w:rsidRDefault="00000000" w:rsidP="00AC5DEE"/>
    <w:p w14:paraId="7397E89C" w14:textId="77777777" w:rsidR="00FC1C44" w:rsidRPr="00902E07" w:rsidRDefault="00000000" w:rsidP="00AC5DEE">
      <w:pPr>
        <w:pStyle w:val="Footer"/>
        <w:tabs>
          <w:tab w:val="left" w:pos="6480"/>
        </w:tabs>
        <w:jc w:val="center"/>
        <w:rPr>
          <w:rFonts w:ascii="Verdana" w:hAnsi="Verdana"/>
          <w:color w:val="000000"/>
          <w:sz w:val="16"/>
          <w:szCs w:val="16"/>
        </w:rPr>
      </w:pPr>
      <w:bookmarkStart w:id="19" w:name="_Available_Task_Types"/>
      <w:bookmarkStart w:id="20" w:name="_Various_Work_Instructions_2"/>
      <w:bookmarkStart w:id="21" w:name="_Log_Activity:"/>
      <w:bookmarkEnd w:id="19"/>
      <w:bookmarkEnd w:id="20"/>
      <w:bookmarkEnd w:id="21"/>
      <w:r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902E07">
        <w:rPr>
          <w:rFonts w:ascii="Verdana" w:hAnsi="Verdana"/>
          <w:color w:val="000000"/>
          <w:sz w:val="16"/>
          <w:szCs w:val="16"/>
        </w:rPr>
        <w:br/>
      </w:r>
      <w:r w:rsidRPr="00902E07">
        <w:rPr>
          <w:rFonts w:ascii="Verdana" w:hAnsi="Verdana"/>
          <w:b/>
          <w:color w:val="000000"/>
          <w:sz w:val="16"/>
          <w:szCs w:val="16"/>
        </w:rPr>
        <w:t>ELECTRONIC DATA</w:t>
      </w:r>
      <w:r w:rsidRPr="00902E07">
        <w:rPr>
          <w:rFonts w:ascii="Verdana" w:hAnsi="Verdana"/>
          <w:color w:val="000000"/>
          <w:sz w:val="16"/>
          <w:szCs w:val="16"/>
        </w:rPr>
        <w:t xml:space="preserve"> = OFFICIAL VERSION </w:t>
      </w:r>
      <w:r>
        <w:rPr>
          <w:rFonts w:ascii="Verdana" w:hAnsi="Verdana"/>
          <w:color w:val="000000"/>
          <w:sz w:val="16"/>
          <w:szCs w:val="16"/>
        </w:rPr>
        <w:t>/</w:t>
      </w:r>
      <w:r w:rsidRPr="00902E07">
        <w:rPr>
          <w:rFonts w:ascii="Verdana" w:hAnsi="Verdana"/>
          <w:color w:val="000000"/>
          <w:sz w:val="16"/>
          <w:szCs w:val="16"/>
        </w:rPr>
        <w:t xml:space="preserve"> </w:t>
      </w:r>
      <w:r w:rsidRPr="00902E07">
        <w:rPr>
          <w:rFonts w:ascii="Verdana" w:hAnsi="Verdana"/>
          <w:b/>
          <w:color w:val="000000"/>
          <w:sz w:val="16"/>
          <w:szCs w:val="16"/>
        </w:rPr>
        <w:t>PAPER COPY</w:t>
      </w:r>
      <w:r w:rsidRPr="00902E07"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=</w:t>
      </w:r>
      <w:r w:rsidRPr="00902E07">
        <w:rPr>
          <w:rFonts w:ascii="Verdana" w:hAnsi="Verdana"/>
          <w:color w:val="000000"/>
          <w:sz w:val="16"/>
          <w:szCs w:val="16"/>
        </w:rPr>
        <w:t xml:space="preserve"> INFORMATIONAL ONLY</w:t>
      </w:r>
    </w:p>
    <w:sectPr w:rsidR="00FC1C44" w:rsidRPr="00902E07" w:rsidSect="00491B7F">
      <w:pgSz w:w="15840" w:h="12240" w:orient="landscape"/>
      <w:pgMar w:top="1800" w:right="1440" w:bottom="1800" w:left="1440" w:header="720" w:footer="720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610D4" w14:textId="77777777" w:rsidR="0021378B" w:rsidRDefault="0021378B" w:rsidP="00DE7DEC">
      <w:r>
        <w:separator/>
      </w:r>
    </w:p>
  </w:endnote>
  <w:endnote w:type="continuationSeparator" w:id="0">
    <w:p w14:paraId="5B6C8E0E" w14:textId="77777777" w:rsidR="0021378B" w:rsidRDefault="0021378B" w:rsidP="00DE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F7C7" w14:textId="77777777" w:rsidR="0021378B" w:rsidRDefault="0021378B" w:rsidP="00DE7DEC">
      <w:r>
        <w:separator/>
      </w:r>
    </w:p>
  </w:footnote>
  <w:footnote w:type="continuationSeparator" w:id="0">
    <w:p w14:paraId="43A112A4" w14:textId="77777777" w:rsidR="0021378B" w:rsidRDefault="0021378B" w:rsidP="00DE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C0C"/>
    <w:multiLevelType w:val="hybridMultilevel"/>
    <w:tmpl w:val="78C0C436"/>
    <w:lvl w:ilvl="0" w:tplc="398030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86B5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7287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0A7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C256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280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4C1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7020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1C52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C1161"/>
    <w:multiLevelType w:val="hybridMultilevel"/>
    <w:tmpl w:val="F2C04EB2"/>
    <w:lvl w:ilvl="0" w:tplc="8FD43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C0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3AB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CE8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009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74CC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609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2D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30FC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654"/>
    <w:multiLevelType w:val="hybridMultilevel"/>
    <w:tmpl w:val="DA78C84A"/>
    <w:lvl w:ilvl="0" w:tplc="DE1C7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AB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042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880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86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8AC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2B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6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82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73EB8"/>
    <w:multiLevelType w:val="hybridMultilevel"/>
    <w:tmpl w:val="635051F4"/>
    <w:lvl w:ilvl="0" w:tplc="A95CA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01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9865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E8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7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F69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03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E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6D0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86325">
    <w:abstractNumId w:val="0"/>
  </w:num>
  <w:num w:numId="2" w16cid:durableId="36589924">
    <w:abstractNumId w:val="2"/>
  </w:num>
  <w:num w:numId="3" w16cid:durableId="839661963">
    <w:abstractNumId w:val="1"/>
  </w:num>
  <w:num w:numId="4" w16cid:durableId="723066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BD"/>
    <w:rsid w:val="0021378B"/>
    <w:rsid w:val="005B5EBD"/>
    <w:rsid w:val="00CF3BC0"/>
    <w:rsid w:val="00D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88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705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F15A5"/>
    <w:pPr>
      <w:keepNext/>
      <w:outlineLvl w:val="4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uiPriority w:val="99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C73F6D"/>
    <w:rPr>
      <w:color w:val="000000"/>
    </w:rPr>
  </w:style>
  <w:style w:type="paragraph" w:customStyle="1" w:styleId="TableHeaderText">
    <w:name w:val="Table Header Text"/>
    <w:basedOn w:val="Normal"/>
    <w:rsid w:val="002A6E99"/>
    <w:pPr>
      <w:jc w:val="center"/>
    </w:pPr>
    <w:rPr>
      <w:b/>
      <w:szCs w:val="20"/>
    </w:rPr>
  </w:style>
  <w:style w:type="paragraph" w:styleId="BalloonText">
    <w:name w:val="Balloon Text"/>
    <w:basedOn w:val="Normal"/>
    <w:semiHidden/>
    <w:rsid w:val="00497A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locked/>
    <w:rsid w:val="00677480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45930"/>
    <w:rPr>
      <w:rFonts w:ascii="Verdana" w:hAnsi="Verdana"/>
      <w:color w:val="0000FF"/>
      <w:u w:val="single"/>
    </w:rPr>
  </w:style>
  <w:style w:type="paragraph" w:customStyle="1" w:styleId="xl63">
    <w:name w:val="xl63"/>
    <w:basedOn w:val="Normal"/>
    <w:rsid w:val="00491B7F"/>
    <w:pPr>
      <w:spacing w:before="100" w:beforeAutospacing="1" w:after="100" w:afterAutospacing="1"/>
    </w:pPr>
    <w:rPr>
      <w:sz w:val="18"/>
      <w:szCs w:val="18"/>
    </w:rPr>
  </w:style>
  <w:style w:type="paragraph" w:customStyle="1" w:styleId="xl64">
    <w:name w:val="xl64"/>
    <w:basedOn w:val="Normal"/>
    <w:rsid w:val="00491B7F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5">
    <w:name w:val="xl65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</w:pPr>
    <w:rPr>
      <w:sz w:val="18"/>
      <w:szCs w:val="18"/>
    </w:rPr>
  </w:style>
  <w:style w:type="paragraph" w:customStyle="1" w:styleId="xl66">
    <w:name w:val="xl66"/>
    <w:basedOn w:val="Normal"/>
    <w:rsid w:val="00491B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7">
    <w:name w:val="xl67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8">
    <w:name w:val="xl68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9">
    <w:name w:val="xl69"/>
    <w:basedOn w:val="Normal"/>
    <w:rsid w:val="00491B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top"/>
    </w:pPr>
    <w:rPr>
      <w:color w:val="000000"/>
      <w:sz w:val="18"/>
      <w:szCs w:val="18"/>
    </w:rPr>
  </w:style>
  <w:style w:type="paragraph" w:customStyle="1" w:styleId="xl70">
    <w:name w:val="xl70"/>
    <w:basedOn w:val="Normal"/>
    <w:rsid w:val="00491B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1">
    <w:name w:val="xl71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2">
    <w:name w:val="xl72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4">
    <w:name w:val="xl74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5">
    <w:name w:val="xl75"/>
    <w:basedOn w:val="Normal"/>
    <w:rsid w:val="00491B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6">
    <w:name w:val="xl76"/>
    <w:basedOn w:val="Normal"/>
    <w:rsid w:val="00491B7F"/>
    <w:pPr>
      <w:spacing w:before="100" w:beforeAutospacing="1" w:after="100" w:afterAutospacing="1"/>
      <w:textAlignment w:val="top"/>
    </w:pPr>
    <w:rPr>
      <w:b/>
      <w:bCs/>
      <w:color w:val="000000"/>
      <w:sz w:val="18"/>
      <w:szCs w:val="18"/>
    </w:rPr>
  </w:style>
  <w:style w:type="paragraph" w:customStyle="1" w:styleId="xl77">
    <w:name w:val="xl77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  <w:textAlignment w:val="top"/>
    </w:pPr>
    <w:rPr>
      <w:b/>
      <w:bCs/>
      <w:color w:val="000000"/>
      <w:sz w:val="18"/>
      <w:szCs w:val="18"/>
    </w:rPr>
  </w:style>
  <w:style w:type="paragraph" w:customStyle="1" w:styleId="xl78">
    <w:name w:val="xl78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b/>
      <w:bCs/>
      <w:color w:val="000000"/>
      <w:sz w:val="18"/>
      <w:szCs w:val="18"/>
    </w:rPr>
  </w:style>
  <w:style w:type="paragraph" w:customStyle="1" w:styleId="xl79">
    <w:name w:val="xl79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80">
    <w:name w:val="xl80"/>
    <w:basedOn w:val="Normal"/>
    <w:rsid w:val="00491B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81">
    <w:name w:val="xl81"/>
    <w:basedOn w:val="Normal"/>
    <w:rsid w:val="00491B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</w:pPr>
    <w:rPr>
      <w:sz w:val="18"/>
      <w:szCs w:val="18"/>
    </w:rPr>
  </w:style>
  <w:style w:type="paragraph" w:customStyle="1" w:styleId="xl82">
    <w:name w:val="xl82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83">
    <w:name w:val="xl83"/>
    <w:basedOn w:val="Normal"/>
    <w:rsid w:val="00491B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sz w:val="18"/>
      <w:szCs w:val="18"/>
    </w:rPr>
  </w:style>
  <w:style w:type="character" w:styleId="CommentReference">
    <w:name w:val="annotation reference"/>
    <w:rsid w:val="002D2ED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2E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2ED1"/>
  </w:style>
  <w:style w:type="paragraph" w:styleId="CommentSubject">
    <w:name w:val="annotation subject"/>
    <w:basedOn w:val="CommentText"/>
    <w:next w:val="CommentText"/>
    <w:link w:val="CommentSubjectChar"/>
    <w:rsid w:val="002D2ED1"/>
    <w:rPr>
      <w:b/>
      <w:bCs/>
    </w:rPr>
  </w:style>
  <w:style w:type="character" w:customStyle="1" w:styleId="CommentSubjectChar">
    <w:name w:val="Comment Subject Char"/>
    <w:link w:val="CommentSubject"/>
    <w:rsid w:val="002D2ED1"/>
    <w:rPr>
      <w:b/>
      <w:bCs/>
    </w:rPr>
  </w:style>
  <w:style w:type="paragraph" w:styleId="ListParagraph">
    <w:name w:val="List Paragraph"/>
    <w:basedOn w:val="Normal"/>
    <w:uiPriority w:val="34"/>
    <w:qFormat/>
    <w:rsid w:val="00E6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SRC-PROD-019443" TargetMode="External"/><Relationship Id="rId13" Type="http://schemas.openxmlformats.org/officeDocument/2006/relationships/image" Target="media/image4.png"/><Relationship Id="rId18" Type="http://schemas.openxmlformats.org/officeDocument/2006/relationships/hyperlink" Target="C:UsersC071417DocumentsL&amp;D%20SubcommitteeMarch%202021TSRC-PROD-011253" TargetMode="External"/><Relationship Id="rId3" Type="http://schemas.openxmlformats.org/officeDocument/2006/relationships/settings" Target="settings.xml"/><Relationship Id="rId7" Type="http://schemas.openxmlformats.org/officeDocument/2006/relationships/hyperlink" Target="TSRC-PROD-002066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olicy.corp.cvscaremark.com/cs/groups/public/@pnp/@nu/@all/@all/@6700/documents/sop/b2mt/mdq4/~edisp/doc-048962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SRC-PROD-00082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2024-01-19T12:26:00Z</dcterms:created>
  <dcterms:modified xsi:type="dcterms:W3CDTF">2024-01-19T12:36:00Z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2024-01-19T12:27:09Z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5174619c-a596-4361-9b90-9969ca59de1a</vt:lpwstr>
  </property>
  <property fmtid="{D5CDD505-2E9C-101B-9397-08002B2CF9AE}" pid="8" name="MSIP_Label_1ecdf243-b9b0-4f63-8694-76742e4201b7_ContentBits">
    <vt:lpwstr>0</vt:lpwstr>
  </property>
</Properties>
</file>