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7E1D3" w14:textId="77777777" w:rsidR="00255C6B" w:rsidRPr="0058134F" w:rsidRDefault="00EF5CA8" w:rsidP="00255C6B">
      <w:pPr>
        <w:pStyle w:val="Heading1"/>
        <w:rPr>
          <w:rFonts w:ascii="Verdana" w:hAnsi="Verdana"/>
          <w:color w:val="000000"/>
          <w:sz w:val="36"/>
          <w:szCs w:val="36"/>
        </w:rPr>
      </w:pPr>
      <w:bookmarkStart w:id="0" w:name="_top"/>
      <w:bookmarkStart w:id="1" w:name="OLE_LINK6"/>
      <w:bookmarkEnd w:id="0"/>
      <w:r>
        <w:rPr>
          <w:rFonts w:ascii="Verdana" w:hAnsi="Verdana"/>
          <w:color w:val="000000"/>
          <w:sz w:val="36"/>
          <w:szCs w:val="36"/>
        </w:rPr>
        <w:t>theSource CIF – MED D EGWP</w:t>
      </w:r>
    </w:p>
    <w:bookmarkEnd w:id="1"/>
    <w:p w14:paraId="7E8F6212" w14:textId="77777777" w:rsidR="00CB2563" w:rsidRPr="00BE002B" w:rsidRDefault="0058134F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r>
        <w:fldChar w:fldCharType="begin"/>
      </w:r>
      <w:r>
        <w:instrText xml:space="preserve"> TOC \o "2-2" \n \h \z \u </w:instrText>
      </w:r>
      <w:r>
        <w:fldChar w:fldCharType="separate"/>
      </w:r>
      <w:hyperlink w:anchor="_Toc71088065" w:history="1">
        <w:r w:rsidR="00CB2563" w:rsidRPr="009D3221">
          <w:rPr>
            <w:rStyle w:val="Hyperlink"/>
            <w:noProof/>
          </w:rPr>
          <w:t>CIF</w:t>
        </w:r>
      </w:hyperlink>
    </w:p>
    <w:p w14:paraId="5DB247A5" w14:textId="7D84DCE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66" w:history="1">
        <w:r w:rsidR="00CB2563" w:rsidRPr="009D3221">
          <w:rPr>
            <w:rStyle w:val="Hyperlink"/>
            <w:noProof/>
          </w:rPr>
          <w:t>Client Information</w:t>
        </w:r>
      </w:hyperlink>
    </w:p>
    <w:p w14:paraId="1B736F91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67" w:history="1">
        <w:r w:rsidR="00CB2563" w:rsidRPr="009D3221">
          <w:rPr>
            <w:rStyle w:val="Hyperlink"/>
            <w:noProof/>
          </w:rPr>
          <w:t>Client Specific Process</w:t>
        </w:r>
      </w:hyperlink>
    </w:p>
    <w:p w14:paraId="368BD35C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68" w:history="1">
        <w:r w:rsidR="00CB2563" w:rsidRPr="009D3221">
          <w:rPr>
            <w:rStyle w:val="Hyperlink"/>
            <w:noProof/>
          </w:rPr>
          <w:t>Call Type Handling Grid</w:t>
        </w:r>
      </w:hyperlink>
    </w:p>
    <w:p w14:paraId="2D38476A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69" w:history="1">
        <w:r w:rsidR="00CB2563" w:rsidRPr="009D3221">
          <w:rPr>
            <w:rStyle w:val="Hyperlink"/>
            <w:noProof/>
          </w:rPr>
          <w:t>Need to Know</w:t>
        </w:r>
      </w:hyperlink>
    </w:p>
    <w:p w14:paraId="631882ED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70" w:history="1">
        <w:r w:rsidR="00CB2563" w:rsidRPr="009D3221">
          <w:rPr>
            <w:rStyle w:val="Hyperlink"/>
            <w:noProof/>
          </w:rPr>
          <w:t>Open/Annual Enrollment Period</w:t>
        </w:r>
      </w:hyperlink>
    </w:p>
    <w:p w14:paraId="3E639AA2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71" w:history="1">
        <w:r w:rsidR="00CB2563" w:rsidRPr="009D3221">
          <w:rPr>
            <w:rStyle w:val="Hyperlink"/>
            <w:noProof/>
          </w:rPr>
          <w:t>Enrollment/Disenrollment</w:t>
        </w:r>
      </w:hyperlink>
    </w:p>
    <w:p w14:paraId="0E301F35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72" w:history="1">
        <w:r w:rsidR="00CB2563" w:rsidRPr="009D3221">
          <w:rPr>
            <w:rStyle w:val="Hyperlink"/>
            <w:noProof/>
          </w:rPr>
          <w:t>Eligibility</w:t>
        </w:r>
      </w:hyperlink>
    </w:p>
    <w:p w14:paraId="6729EC60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73" w:history="1">
        <w:r w:rsidR="00CB2563" w:rsidRPr="009D3221">
          <w:rPr>
            <w:rStyle w:val="Hyperlink"/>
            <w:noProof/>
          </w:rPr>
          <w:t>Coordination of Benefits</w:t>
        </w:r>
      </w:hyperlink>
    </w:p>
    <w:p w14:paraId="4E5DFA96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74" w:history="1">
        <w:r w:rsidR="00CB2563" w:rsidRPr="009D3221">
          <w:rPr>
            <w:rStyle w:val="Hyperlink"/>
            <w:noProof/>
          </w:rPr>
          <w:t>Premium Billing</w:t>
        </w:r>
      </w:hyperlink>
    </w:p>
    <w:p w14:paraId="066332EC" w14:textId="523C5EF8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75" w:history="1">
        <w:r w:rsidR="00CB2563" w:rsidRPr="009D3221">
          <w:rPr>
            <w:rStyle w:val="Hyperlink"/>
            <w:noProof/>
          </w:rPr>
          <w:t>Fulfillment</w:t>
        </w:r>
      </w:hyperlink>
    </w:p>
    <w:p w14:paraId="26A546D3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76" w:history="1">
        <w:r w:rsidR="00CB2563" w:rsidRPr="009D3221">
          <w:rPr>
            <w:rStyle w:val="Hyperlink"/>
            <w:noProof/>
          </w:rPr>
          <w:t>Retail Logic</w:t>
        </w:r>
      </w:hyperlink>
    </w:p>
    <w:p w14:paraId="2D9AE43F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77" w:history="1">
        <w:r w:rsidR="00CB2563" w:rsidRPr="009D3221">
          <w:rPr>
            <w:rStyle w:val="Hyperlink"/>
            <w:noProof/>
          </w:rPr>
          <w:t>Plan Design Highlights</w:t>
        </w:r>
      </w:hyperlink>
    </w:p>
    <w:p w14:paraId="2A330554" w14:textId="64FC8C60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78" w:history="1">
        <w:r w:rsidR="00CB2563" w:rsidRPr="009D3221">
          <w:rPr>
            <w:rStyle w:val="Hyperlink"/>
            <w:noProof/>
          </w:rPr>
          <w:t>Specialty Plan Design Highlights</w:t>
        </w:r>
      </w:hyperlink>
    </w:p>
    <w:p w14:paraId="02602316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79" w:history="1">
        <w:r w:rsidR="00CB2563" w:rsidRPr="009D3221">
          <w:rPr>
            <w:rStyle w:val="Hyperlink"/>
            <w:noProof/>
          </w:rPr>
          <w:t>Overrides</w:t>
        </w:r>
      </w:hyperlink>
    </w:p>
    <w:p w14:paraId="3D2EC5FB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80" w:history="1">
        <w:r w:rsidR="00CB2563" w:rsidRPr="009D3221">
          <w:rPr>
            <w:rStyle w:val="Hyperlink"/>
            <w:noProof/>
          </w:rPr>
          <w:t>Coverage Determination</w:t>
        </w:r>
      </w:hyperlink>
    </w:p>
    <w:p w14:paraId="466DF07F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81" w:history="1">
        <w:r w:rsidR="00CB2563" w:rsidRPr="009D3221">
          <w:rPr>
            <w:rStyle w:val="Hyperlink"/>
            <w:noProof/>
          </w:rPr>
          <w:t>Appeals Process</w:t>
        </w:r>
      </w:hyperlink>
    </w:p>
    <w:p w14:paraId="02B01F78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82" w:history="1">
        <w:r w:rsidR="00CB2563" w:rsidRPr="009D3221">
          <w:rPr>
            <w:rStyle w:val="Hyperlink"/>
            <w:noProof/>
          </w:rPr>
          <w:t>Paper Claims</w:t>
        </w:r>
      </w:hyperlink>
    </w:p>
    <w:p w14:paraId="39B3DE37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83" w:history="1">
        <w:r w:rsidR="00CB2563" w:rsidRPr="009D3221">
          <w:rPr>
            <w:rStyle w:val="Hyperlink"/>
            <w:noProof/>
          </w:rPr>
          <w:t>Client Program &amp; Offerings</w:t>
        </w:r>
      </w:hyperlink>
    </w:p>
    <w:p w14:paraId="4460B07C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84" w:history="1">
        <w:r w:rsidR="00CB2563" w:rsidRPr="009D3221">
          <w:rPr>
            <w:rStyle w:val="Hyperlink"/>
            <w:noProof/>
          </w:rPr>
          <w:t>Grievances</w:t>
        </w:r>
      </w:hyperlink>
    </w:p>
    <w:p w14:paraId="4C5F60FC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85" w:history="1">
        <w:r w:rsidR="00CB2563" w:rsidRPr="009D3221">
          <w:rPr>
            <w:rStyle w:val="Hyperlink"/>
            <w:noProof/>
          </w:rPr>
          <w:t>Fraud, Waste and Abuse</w:t>
        </w:r>
      </w:hyperlink>
    </w:p>
    <w:p w14:paraId="02187885" w14:textId="77777777" w:rsidR="00CB2563" w:rsidRPr="00BE002B" w:rsidRDefault="001C32F7">
      <w:pPr>
        <w:pStyle w:val="TOC2"/>
        <w:rPr>
          <w:rFonts w:ascii="Calibri" w:hAnsi="Calibri"/>
          <w:noProof/>
          <w:color w:val="auto"/>
          <w:sz w:val="22"/>
          <w:szCs w:val="22"/>
          <w:u w:val="none"/>
        </w:rPr>
      </w:pPr>
      <w:hyperlink w:anchor="_Toc71088086" w:history="1">
        <w:r w:rsidR="00CB2563" w:rsidRPr="009D3221">
          <w:rPr>
            <w:rStyle w:val="Hyperlink"/>
            <w:noProof/>
          </w:rPr>
          <w:t>Related Content</w:t>
        </w:r>
      </w:hyperlink>
    </w:p>
    <w:p w14:paraId="7FD4390A" w14:textId="77777777" w:rsidR="00CB2563" w:rsidRDefault="0058134F" w:rsidP="00EF5CA8">
      <w:r>
        <w:fldChar w:fldCharType="end"/>
      </w:r>
      <w:bookmarkStart w:id="2" w:name="_Overview"/>
      <w:bookmarkEnd w:id="2"/>
    </w:p>
    <w:p w14:paraId="0B9D33B8" w14:textId="77777777" w:rsidR="00CB2563" w:rsidRDefault="00CB2563" w:rsidP="00EF5CA8"/>
    <w:p w14:paraId="28D5C06F" w14:textId="77777777" w:rsidR="00EF5CA8" w:rsidRPr="0027506F" w:rsidRDefault="00CB2563" w:rsidP="00EF5CA8">
      <w:r w:rsidRPr="00CB2563">
        <w:rPr>
          <w:b/>
          <w:bCs/>
        </w:rPr>
        <w:t>Description:</w:t>
      </w:r>
      <w:r w:rsidRPr="00CB2563">
        <w:t xml:space="preserve">  </w:t>
      </w:r>
      <w:r w:rsidR="00EF5CA8" w:rsidRPr="00CB2563">
        <w:t>T</w:t>
      </w:r>
      <w:r w:rsidR="00EF5CA8" w:rsidRPr="0027506F">
        <w:t>his job aid provides information about how the CIF display</w:t>
      </w:r>
      <w:r w:rsidR="00E74C4A">
        <w:t>s</w:t>
      </w:r>
      <w:r w:rsidR="00EF5CA8" w:rsidRPr="0027506F">
        <w:t xml:space="preserve"> in theSource. </w:t>
      </w:r>
    </w:p>
    <w:p w14:paraId="2B442AB5" w14:textId="77777777" w:rsidR="00EF5CA8" w:rsidRPr="0027506F" w:rsidRDefault="00EF5CA8" w:rsidP="00EF5CA8"/>
    <w:p w14:paraId="7127270F" w14:textId="77777777" w:rsidR="00AD7AB4" w:rsidRPr="0058134F" w:rsidRDefault="00AD7AB4" w:rsidP="00577F9F">
      <w:pPr>
        <w:jc w:val="right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AD7AB4" w:rsidRPr="0058134F" w14:paraId="0BAC392E" w14:textId="77777777" w:rsidTr="00CB2563">
        <w:tc>
          <w:tcPr>
            <w:tcW w:w="5000" w:type="pct"/>
            <w:shd w:val="clear" w:color="auto" w:fill="C0C0C0"/>
          </w:tcPr>
          <w:p w14:paraId="06126B54" w14:textId="77777777" w:rsidR="00AD7AB4" w:rsidRPr="0058134F" w:rsidRDefault="00EF5CA8" w:rsidP="00647CDD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3" w:name="_Toc71088065"/>
            <w:r>
              <w:rPr>
                <w:rFonts w:ascii="Verdana" w:hAnsi="Verdana"/>
                <w:i w:val="0"/>
                <w:iCs w:val="0"/>
              </w:rPr>
              <w:t>CIF</w:t>
            </w:r>
            <w:bookmarkEnd w:id="3"/>
          </w:p>
        </w:tc>
      </w:tr>
    </w:tbl>
    <w:p w14:paraId="691A4E02" w14:textId="001CE339" w:rsidR="00CB2563" w:rsidRPr="003F2753" w:rsidRDefault="002559A9" w:rsidP="00CB2563">
      <w:pPr>
        <w:rPr>
          <w:b/>
        </w:rPr>
      </w:pPr>
      <w:r>
        <w:rPr>
          <w:noProof/>
        </w:rPr>
        <w:drawing>
          <wp:inline distT="0" distB="0" distL="0" distR="0" wp14:anchorId="4CE8FD66" wp14:editId="3539A933">
            <wp:extent cx="238125" cy="20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563">
        <w:t xml:space="preserve"> </w:t>
      </w:r>
      <w:r w:rsidR="00CB2563" w:rsidRPr="00E605A6">
        <w:rPr>
          <w:b/>
        </w:rPr>
        <w:t>Not all sections/categories apply to all clients. theSource only show</w:t>
      </w:r>
      <w:r w:rsidR="00CB2563">
        <w:rPr>
          <w:b/>
        </w:rPr>
        <w:t>s</w:t>
      </w:r>
      <w:r w:rsidR="00CB2563" w:rsidRPr="00E605A6">
        <w:rPr>
          <w:b/>
        </w:rPr>
        <w:t xml:space="preserve"> </w:t>
      </w:r>
      <w:r w:rsidR="00CB2563">
        <w:rPr>
          <w:b/>
        </w:rPr>
        <w:t>sections or categories</w:t>
      </w:r>
      <w:r w:rsidR="00CB2563" w:rsidRPr="00E605A6">
        <w:rPr>
          <w:b/>
        </w:rPr>
        <w:t xml:space="preserve"> relevant to the client.</w:t>
      </w:r>
    </w:p>
    <w:p w14:paraId="312F9AB0" w14:textId="77777777" w:rsidR="00CB2563" w:rsidRPr="0027506F" w:rsidRDefault="00CB2563" w:rsidP="00CB2563"/>
    <w:p w14:paraId="0A4E245D" w14:textId="77777777" w:rsidR="00CB2563" w:rsidRPr="0027506F" w:rsidRDefault="00CB2563" w:rsidP="00CB2563">
      <w:r w:rsidRPr="0027506F">
        <w:rPr>
          <w:b/>
        </w:rPr>
        <w:t>Reminder:</w:t>
      </w:r>
      <w:r w:rsidRPr="0027506F">
        <w:t xml:space="preserve">  Use CTRL+F to find key words if having trouble locating a specific topic. </w:t>
      </w:r>
    </w:p>
    <w:p w14:paraId="0AC4E3F3" w14:textId="77777777" w:rsidR="00CB2563" w:rsidRDefault="00CB2563" w:rsidP="00EF5CA8"/>
    <w:p w14:paraId="3E698A90" w14:textId="2A147AD3" w:rsidR="00EF5CA8" w:rsidRDefault="00EF5CA8" w:rsidP="00EF5CA8">
      <w:r>
        <w:t>The screen display</w:t>
      </w:r>
      <w:r w:rsidR="00E74C4A">
        <w:t>s</w:t>
      </w:r>
      <w:r>
        <w:t xml:space="preserve"> all the CIF sections in the Collapsed view. </w:t>
      </w:r>
      <w:r w:rsidR="00E74C4A">
        <w:t>C</w:t>
      </w:r>
      <w:r>
        <w:t>lick</w:t>
      </w:r>
      <w:r w:rsidR="00E74C4A">
        <w:t>ing</w:t>
      </w:r>
      <w:r>
        <w:t xml:space="preserve"> the down arrows to the right of each section </w:t>
      </w:r>
      <w:r w:rsidR="00E74C4A">
        <w:t>expands</w:t>
      </w:r>
      <w:r>
        <w:t xml:space="preserve"> the details.</w:t>
      </w:r>
    </w:p>
    <w:p w14:paraId="71F5935F" w14:textId="77777777" w:rsidR="00EF5CA8" w:rsidRDefault="00EF5CA8" w:rsidP="00EF5CA8">
      <w:pPr>
        <w:jc w:val="center"/>
        <w:rPr>
          <w:noProof/>
        </w:rPr>
      </w:pPr>
    </w:p>
    <w:p w14:paraId="75239447" w14:textId="30E58205" w:rsidR="00A57D26" w:rsidRDefault="002559A9" w:rsidP="00EF5CA8">
      <w:pPr>
        <w:jc w:val="center"/>
      </w:pPr>
      <w:r w:rsidRPr="00A300FC">
        <w:rPr>
          <w:noProof/>
        </w:rPr>
        <w:drawing>
          <wp:inline distT="0" distB="0" distL="0" distR="0" wp14:anchorId="214E0873" wp14:editId="221C408F">
            <wp:extent cx="3981450" cy="50863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DD07" w14:textId="77777777" w:rsidR="004B3B84" w:rsidRDefault="004B3B84" w:rsidP="00AD7AB4"/>
    <w:p w14:paraId="427C263E" w14:textId="77777777" w:rsidR="004B3B84" w:rsidRDefault="001C32F7" w:rsidP="00CC0C5F">
      <w:pPr>
        <w:jc w:val="right"/>
      </w:pPr>
      <w:hyperlink w:anchor="_top" w:history="1">
        <w:r w:rsidR="00CC0C5F" w:rsidRPr="00CC0C5F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6EE0A428" w14:textId="77777777" w:rsidTr="00332C66">
        <w:tc>
          <w:tcPr>
            <w:tcW w:w="5000" w:type="pct"/>
            <w:shd w:val="clear" w:color="auto" w:fill="C0C0C0"/>
          </w:tcPr>
          <w:p w14:paraId="2FD3E40D" w14:textId="77777777" w:rsidR="004B3B84" w:rsidRPr="00D32D37" w:rsidRDefault="00EF5CA8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4" w:name="_Toc71088066"/>
            <w:r>
              <w:rPr>
                <w:rFonts w:ascii="Verdana" w:hAnsi="Verdana"/>
                <w:i w:val="0"/>
                <w:iCs w:val="0"/>
              </w:rPr>
              <w:t>Client Information</w:t>
            </w:r>
            <w:bookmarkEnd w:id="4"/>
          </w:p>
        </w:tc>
      </w:tr>
    </w:tbl>
    <w:p w14:paraId="3B067FC7" w14:textId="6EB8BD27" w:rsidR="00EF5CA8" w:rsidRDefault="00EF5CA8" w:rsidP="00EF5CA8">
      <w:r>
        <w:t>The Client Information section provides an overview of key information about the client</w:t>
      </w:r>
      <w:r w:rsidR="00E74C4A">
        <w:t>:</w:t>
      </w:r>
    </w:p>
    <w:p w14:paraId="0360C8D8" w14:textId="77777777" w:rsidR="00EF5CA8" w:rsidRDefault="00EF5CA8" w:rsidP="00EF5CA8">
      <w:pPr>
        <w:numPr>
          <w:ilvl w:val="0"/>
          <w:numId w:val="17"/>
        </w:numPr>
      </w:pPr>
      <w:r>
        <w:t>Client Line of Business</w:t>
      </w:r>
    </w:p>
    <w:p w14:paraId="3305A7E3" w14:textId="77777777" w:rsidR="00EF5CA8" w:rsidRDefault="00EF5CA8" w:rsidP="00EF5CA8">
      <w:pPr>
        <w:numPr>
          <w:ilvl w:val="0"/>
          <w:numId w:val="17"/>
        </w:numPr>
      </w:pPr>
      <w:r>
        <w:t>Client Customer Care Number</w:t>
      </w:r>
    </w:p>
    <w:p w14:paraId="7B0689C0" w14:textId="77777777" w:rsidR="00EF5CA8" w:rsidRDefault="00EF5CA8" w:rsidP="00EF5CA8">
      <w:pPr>
        <w:numPr>
          <w:ilvl w:val="0"/>
          <w:numId w:val="17"/>
        </w:numPr>
      </w:pPr>
      <w:r>
        <w:t>Pharmacy Help Desk Number</w:t>
      </w:r>
    </w:p>
    <w:p w14:paraId="44DF863B" w14:textId="77777777" w:rsidR="00EF5CA8" w:rsidRDefault="00EF5CA8" w:rsidP="00EF5CA8"/>
    <w:p w14:paraId="4E2D6C76" w14:textId="12969A3D" w:rsidR="004B3B84" w:rsidRPr="008230FA" w:rsidRDefault="002559A9" w:rsidP="00EF5CA8">
      <w:pPr>
        <w:jc w:val="center"/>
        <w:textAlignment w:val="top"/>
        <w:rPr>
          <w:rFonts w:cs="Arial"/>
          <w:bCs/>
          <w:color w:val="333333"/>
        </w:rPr>
      </w:pPr>
      <w:r w:rsidRPr="00A300FC">
        <w:rPr>
          <w:noProof/>
        </w:rPr>
        <w:drawing>
          <wp:inline distT="0" distB="0" distL="0" distR="0" wp14:anchorId="49A6E7D0" wp14:editId="49DF3239">
            <wp:extent cx="4410075" cy="13716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6BB57" w14:textId="77777777" w:rsidR="004B3B84" w:rsidRPr="00EB1F94" w:rsidRDefault="004B3B84" w:rsidP="004B3B84">
      <w:pPr>
        <w:rPr>
          <w:b/>
        </w:rPr>
      </w:pPr>
    </w:p>
    <w:p w14:paraId="7A6DD597" w14:textId="77777777" w:rsidR="004B3B84" w:rsidRDefault="001C32F7" w:rsidP="00CC0C5F">
      <w:pPr>
        <w:jc w:val="right"/>
      </w:pPr>
      <w:hyperlink w:anchor="_top" w:history="1">
        <w:r w:rsidR="00CC0C5F" w:rsidRPr="00CC0C5F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5F0851CA" w14:textId="77777777" w:rsidTr="00EF5CA8">
        <w:tc>
          <w:tcPr>
            <w:tcW w:w="5000" w:type="pct"/>
            <w:shd w:val="clear" w:color="auto" w:fill="C0C0C0"/>
          </w:tcPr>
          <w:p w14:paraId="62A7EBA7" w14:textId="77777777" w:rsidR="004B3B84" w:rsidRPr="00D32D37" w:rsidRDefault="00EF5CA8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5" w:name="_Toc71088067"/>
            <w:r>
              <w:rPr>
                <w:rFonts w:ascii="Verdana" w:hAnsi="Verdana"/>
                <w:i w:val="0"/>
                <w:iCs w:val="0"/>
              </w:rPr>
              <w:t>Client Specific Process</w:t>
            </w:r>
            <w:bookmarkEnd w:id="5"/>
            <w:r w:rsidR="004B3B84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5D369057" w14:textId="77777777" w:rsidR="00EF5CA8" w:rsidRDefault="00EF5CA8" w:rsidP="00EF5CA8">
      <w:pPr>
        <w:textAlignment w:val="top"/>
        <w:rPr>
          <w:rFonts w:cs="Arial"/>
          <w:bCs/>
        </w:rPr>
      </w:pPr>
      <w:r>
        <w:rPr>
          <w:rFonts w:cs="Arial"/>
          <w:bCs/>
        </w:rPr>
        <w:t>The Client Specific Process section details the key plan options that the client has in place</w:t>
      </w:r>
      <w:r w:rsidR="00E74C4A">
        <w:rPr>
          <w:rFonts w:cs="Arial"/>
          <w:bCs/>
        </w:rPr>
        <w:t>:</w:t>
      </w:r>
    </w:p>
    <w:p w14:paraId="114C5145" w14:textId="77777777" w:rsidR="00EF5CA8" w:rsidRPr="00C72EF3" w:rsidRDefault="00EF5CA8" w:rsidP="00EF5CA8">
      <w:pPr>
        <w:numPr>
          <w:ilvl w:val="0"/>
          <w:numId w:val="18"/>
        </w:numPr>
        <w:rPr>
          <w:b/>
        </w:rPr>
      </w:pPr>
      <w:r>
        <w:t>Bridge Supply</w:t>
      </w:r>
    </w:p>
    <w:p w14:paraId="37D67A9D" w14:textId="77777777" w:rsidR="00EF5CA8" w:rsidRPr="00C72EF3" w:rsidRDefault="00EF5CA8" w:rsidP="00EF5CA8">
      <w:pPr>
        <w:numPr>
          <w:ilvl w:val="0"/>
          <w:numId w:val="18"/>
        </w:numPr>
        <w:rPr>
          <w:b/>
        </w:rPr>
      </w:pPr>
      <w:r>
        <w:t>Bulk Up</w:t>
      </w:r>
    </w:p>
    <w:p w14:paraId="3A2ABBDE" w14:textId="77777777" w:rsidR="00EF5CA8" w:rsidRPr="00C72EF3" w:rsidRDefault="00EF5CA8" w:rsidP="00EF5CA8">
      <w:pPr>
        <w:numPr>
          <w:ilvl w:val="0"/>
          <w:numId w:val="18"/>
        </w:numPr>
        <w:rPr>
          <w:b/>
        </w:rPr>
      </w:pPr>
      <w:r>
        <w:t>DAW5</w:t>
      </w:r>
    </w:p>
    <w:p w14:paraId="1475FD88" w14:textId="77777777" w:rsidR="00EF5CA8" w:rsidRPr="00C72EF3" w:rsidRDefault="00EF5CA8" w:rsidP="00EF5CA8">
      <w:pPr>
        <w:numPr>
          <w:ilvl w:val="0"/>
          <w:numId w:val="18"/>
        </w:numPr>
        <w:rPr>
          <w:b/>
        </w:rPr>
      </w:pPr>
      <w:r>
        <w:t>Fill &amp; Bill</w:t>
      </w:r>
    </w:p>
    <w:p w14:paraId="0D8C01A2" w14:textId="77777777" w:rsidR="00EF5CA8" w:rsidRPr="00C72EF3" w:rsidRDefault="00EF5CA8" w:rsidP="00EF5CA8">
      <w:pPr>
        <w:numPr>
          <w:ilvl w:val="0"/>
          <w:numId w:val="18"/>
        </w:numPr>
        <w:rPr>
          <w:b/>
        </w:rPr>
      </w:pPr>
      <w:r>
        <w:t>Mail Tags</w:t>
      </w:r>
    </w:p>
    <w:p w14:paraId="4F27524E" w14:textId="1D51A83A" w:rsidR="00EF5CA8" w:rsidRDefault="002559A9" w:rsidP="00EF5CA8">
      <w:pPr>
        <w:ind w:left="720"/>
        <w:jc w:val="center"/>
        <w:rPr>
          <w:b/>
        </w:rPr>
      </w:pPr>
      <w:r w:rsidRPr="00A300FC">
        <w:rPr>
          <w:noProof/>
        </w:rPr>
        <w:drawing>
          <wp:inline distT="0" distB="0" distL="0" distR="0" wp14:anchorId="2317EDB5" wp14:editId="36740E34">
            <wp:extent cx="4772025" cy="344805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6B26" w14:textId="77777777" w:rsidR="00EF5CA8" w:rsidRDefault="00EF5CA8" w:rsidP="00EF5CA8">
      <w:pPr>
        <w:jc w:val="center"/>
      </w:pPr>
    </w:p>
    <w:p w14:paraId="2B6E92A8" w14:textId="77777777" w:rsidR="004B3B84" w:rsidRDefault="001C32F7" w:rsidP="00CC0C5F">
      <w:pPr>
        <w:jc w:val="right"/>
      </w:pPr>
      <w:hyperlink w:anchor="_top" w:history="1">
        <w:r w:rsidR="00CC0C5F" w:rsidRPr="00CC0C5F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4540DAE9" w14:textId="77777777" w:rsidTr="00332C66">
        <w:tc>
          <w:tcPr>
            <w:tcW w:w="5000" w:type="pct"/>
            <w:shd w:val="clear" w:color="auto" w:fill="C0C0C0"/>
          </w:tcPr>
          <w:p w14:paraId="4BFD08A1" w14:textId="77777777" w:rsidR="004B3B84" w:rsidRPr="00D32D37" w:rsidRDefault="00B903F1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6" w:name="_Toc71088068"/>
            <w:r>
              <w:rPr>
                <w:rFonts w:ascii="Verdana" w:hAnsi="Verdana"/>
                <w:i w:val="0"/>
                <w:iCs w:val="0"/>
              </w:rPr>
              <w:t>Call Type Handling Grid</w:t>
            </w:r>
            <w:bookmarkEnd w:id="6"/>
          </w:p>
        </w:tc>
      </w:tr>
    </w:tbl>
    <w:p w14:paraId="641AEEFD" w14:textId="403D6C77" w:rsidR="00B903F1" w:rsidRDefault="00B903F1" w:rsidP="00B903F1">
      <w:r>
        <w:t xml:space="preserve">The Call Type Handling Grid section contains detailed instructions on which call </w:t>
      </w:r>
      <w:proofErr w:type="gramStart"/>
      <w:r>
        <w:t>types</w:t>
      </w:r>
      <w:proofErr w:type="gramEnd"/>
      <w:r>
        <w:t xml:space="preserve"> Caremark handles and which call types the client and/or other client’s vendor handles.</w:t>
      </w:r>
    </w:p>
    <w:p w14:paraId="15FC432B" w14:textId="77777777" w:rsidR="00B903F1" w:rsidRPr="001C6803" w:rsidRDefault="00B903F1" w:rsidP="00B903F1"/>
    <w:p w14:paraId="09A997D3" w14:textId="79BB2FFD" w:rsidR="004B3B84" w:rsidRDefault="002559A9" w:rsidP="00B903F1">
      <w:pPr>
        <w:jc w:val="center"/>
        <w:textAlignment w:val="top"/>
        <w:rPr>
          <w:b/>
          <w:noProof/>
        </w:rPr>
      </w:pPr>
      <w:r>
        <w:rPr>
          <w:b/>
          <w:noProof/>
        </w:rPr>
        <w:drawing>
          <wp:inline distT="0" distB="0" distL="0" distR="0" wp14:anchorId="6806F5BE" wp14:editId="2BABD29A">
            <wp:extent cx="4143375" cy="386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2CE7" w14:textId="6C21E9E9" w:rsidR="00B903F1" w:rsidRDefault="002559A9" w:rsidP="00B903F1">
      <w:pPr>
        <w:jc w:val="center"/>
        <w:textAlignment w:val="top"/>
        <w:rPr>
          <w:b/>
          <w:noProof/>
        </w:rPr>
      </w:pPr>
      <w:r>
        <w:rPr>
          <w:b/>
          <w:noProof/>
        </w:rPr>
        <w:drawing>
          <wp:inline distT="0" distB="0" distL="0" distR="0" wp14:anchorId="6E0E74AE" wp14:editId="3A97C9B5">
            <wp:extent cx="5448300" cy="4857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7D0D" w14:textId="02CB71AA" w:rsidR="00B903F1" w:rsidRPr="008230FA" w:rsidRDefault="002559A9" w:rsidP="00B903F1">
      <w:pPr>
        <w:jc w:val="center"/>
        <w:textAlignment w:val="top"/>
        <w:rPr>
          <w:rFonts w:cs="Arial"/>
          <w:bCs/>
          <w:color w:val="333333"/>
        </w:rPr>
      </w:pPr>
      <w:r>
        <w:rPr>
          <w:b/>
          <w:noProof/>
        </w:rPr>
        <w:drawing>
          <wp:inline distT="0" distB="0" distL="0" distR="0" wp14:anchorId="3B9F1E50" wp14:editId="1A0667DE">
            <wp:extent cx="5438775" cy="388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1B1D" w14:textId="77777777" w:rsidR="004B3B84" w:rsidRPr="00EB1F94" w:rsidRDefault="004B3B84" w:rsidP="004B3B84">
      <w:pPr>
        <w:rPr>
          <w:b/>
        </w:rPr>
      </w:pPr>
    </w:p>
    <w:p w14:paraId="30B7F4A4" w14:textId="77777777" w:rsidR="004B3B84" w:rsidRDefault="001C32F7" w:rsidP="00CC0C5F">
      <w:pPr>
        <w:jc w:val="right"/>
      </w:pPr>
      <w:hyperlink w:anchor="_top" w:history="1">
        <w:r w:rsidR="00CC0C5F" w:rsidRPr="00CC0C5F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1EA1A823" w14:textId="77777777" w:rsidTr="00B903F1">
        <w:tc>
          <w:tcPr>
            <w:tcW w:w="5000" w:type="pct"/>
            <w:shd w:val="clear" w:color="auto" w:fill="C0C0C0"/>
          </w:tcPr>
          <w:p w14:paraId="1C30FE8A" w14:textId="77777777" w:rsidR="004B3B84" w:rsidRPr="00D32D37" w:rsidRDefault="00B903F1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7" w:name="_Toc71088069"/>
            <w:r>
              <w:rPr>
                <w:rFonts w:ascii="Verdana" w:hAnsi="Verdana"/>
                <w:i w:val="0"/>
                <w:iCs w:val="0"/>
              </w:rPr>
              <w:t>Need to Know</w:t>
            </w:r>
            <w:bookmarkEnd w:id="7"/>
            <w:r w:rsidR="004B3B84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3ABBFC70" w14:textId="77777777" w:rsidR="00B903F1" w:rsidRDefault="00B903F1" w:rsidP="00B903F1">
      <w:r>
        <w:t xml:space="preserve">The </w:t>
      </w:r>
      <w:proofErr w:type="gramStart"/>
      <w:r>
        <w:t>Need to Know</w:t>
      </w:r>
      <w:proofErr w:type="gramEnd"/>
      <w:r>
        <w:t xml:space="preserve"> section is where you will find items that do not have a section of their own or is an immediate “need to know” item. </w:t>
      </w:r>
    </w:p>
    <w:p w14:paraId="5D0E2732" w14:textId="77777777" w:rsidR="00B02B8E" w:rsidRDefault="00B02B8E" w:rsidP="00B903F1"/>
    <w:p w14:paraId="46F19311" w14:textId="77777777" w:rsidR="004B3B84" w:rsidRDefault="004B3B84" w:rsidP="00AD7AB4"/>
    <w:p w14:paraId="3CA3CCA4" w14:textId="77777777" w:rsidR="004B3B84" w:rsidRDefault="001C32F7" w:rsidP="004B3B84">
      <w:pPr>
        <w:jc w:val="right"/>
      </w:pPr>
      <w:hyperlink w:anchor="_top" w:history="1">
        <w:r w:rsidR="004B3B84" w:rsidRPr="00E56D4B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43686790" w14:textId="77777777" w:rsidTr="00B903F1">
        <w:tc>
          <w:tcPr>
            <w:tcW w:w="5000" w:type="pct"/>
            <w:shd w:val="clear" w:color="auto" w:fill="C0C0C0"/>
          </w:tcPr>
          <w:p w14:paraId="72EE84C5" w14:textId="77777777" w:rsidR="004B3B84" w:rsidRPr="00D32D37" w:rsidRDefault="00B903F1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8" w:name="_Toc71088070"/>
            <w:r>
              <w:rPr>
                <w:rFonts w:ascii="Verdana" w:hAnsi="Verdana"/>
                <w:i w:val="0"/>
                <w:iCs w:val="0"/>
              </w:rPr>
              <w:t>Open/Annual Enrollment Period</w:t>
            </w:r>
            <w:bookmarkEnd w:id="8"/>
          </w:p>
        </w:tc>
      </w:tr>
    </w:tbl>
    <w:p w14:paraId="1759CBAB" w14:textId="77777777" w:rsidR="00B903F1" w:rsidRDefault="00B903F1" w:rsidP="00B903F1">
      <w:pPr>
        <w:textAlignment w:val="top"/>
        <w:rPr>
          <w:rFonts w:cs="Arial"/>
          <w:bCs/>
        </w:rPr>
      </w:pPr>
      <w:r>
        <w:rPr>
          <w:rFonts w:cs="Arial"/>
          <w:bCs/>
        </w:rPr>
        <w:t>The Open/Annual Enrollment Period section contains specific information on how to handle certain call types during the Open/Annual Enrollment period.</w:t>
      </w:r>
    </w:p>
    <w:p w14:paraId="3E48632D" w14:textId="77777777" w:rsidR="00B903F1" w:rsidRDefault="00B903F1" w:rsidP="004B3B84">
      <w:pPr>
        <w:textAlignment w:val="top"/>
        <w:rPr>
          <w:rFonts w:cs="Arial"/>
          <w:bCs/>
          <w:color w:val="333333"/>
        </w:rPr>
      </w:pPr>
    </w:p>
    <w:p w14:paraId="7A118CF0" w14:textId="3CCB0FA4" w:rsidR="004B3B84" w:rsidRPr="008230FA" w:rsidRDefault="002559A9" w:rsidP="00B903F1">
      <w:pPr>
        <w:jc w:val="center"/>
        <w:textAlignment w:val="top"/>
        <w:rPr>
          <w:rFonts w:cs="Arial"/>
          <w:bCs/>
          <w:color w:val="333333"/>
        </w:rPr>
      </w:pPr>
      <w:r w:rsidRPr="00A300FC">
        <w:rPr>
          <w:noProof/>
        </w:rPr>
        <w:drawing>
          <wp:inline distT="0" distB="0" distL="0" distR="0" wp14:anchorId="625ABA81" wp14:editId="2D7D58F9">
            <wp:extent cx="3686175" cy="305752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B9FE" w14:textId="77777777" w:rsidR="004B3B84" w:rsidRPr="00EB1F94" w:rsidRDefault="004B3B84" w:rsidP="004B3B84">
      <w:pPr>
        <w:rPr>
          <w:b/>
        </w:rPr>
      </w:pPr>
    </w:p>
    <w:p w14:paraId="7CE400D7" w14:textId="77777777" w:rsidR="004B3B84" w:rsidRDefault="001C32F7" w:rsidP="00CC0C5F">
      <w:pPr>
        <w:jc w:val="right"/>
      </w:pPr>
      <w:hyperlink w:anchor="_top" w:history="1">
        <w:r w:rsidR="00CC0C5F" w:rsidRPr="00CC0C5F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106D47F8" w14:textId="77777777" w:rsidTr="00B903F1">
        <w:tc>
          <w:tcPr>
            <w:tcW w:w="5000" w:type="pct"/>
            <w:shd w:val="clear" w:color="auto" w:fill="C0C0C0"/>
          </w:tcPr>
          <w:p w14:paraId="52012174" w14:textId="77777777" w:rsidR="004B3B84" w:rsidRPr="00D32D37" w:rsidRDefault="00B903F1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9" w:name="_Toc71088071"/>
            <w:r>
              <w:rPr>
                <w:rFonts w:ascii="Verdana" w:hAnsi="Verdana"/>
                <w:i w:val="0"/>
                <w:iCs w:val="0"/>
              </w:rPr>
              <w:t>Enrollment/Disenrollment</w:t>
            </w:r>
            <w:bookmarkEnd w:id="9"/>
            <w:r w:rsidR="004B3B84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4B6EACFD" w14:textId="77777777" w:rsidR="00B903F1" w:rsidRDefault="00B903F1" w:rsidP="00B903F1">
      <w:r>
        <w:t>The Enrollment/Disenrollment section contains specific client information about how to handle enrollment and disenrollment inquiries.</w:t>
      </w:r>
    </w:p>
    <w:p w14:paraId="4B53190E" w14:textId="77777777" w:rsidR="004B3B84" w:rsidRDefault="004B3B84" w:rsidP="00AD7AB4"/>
    <w:p w14:paraId="4DF5126A" w14:textId="45CCB340" w:rsidR="00B903F1" w:rsidRDefault="002559A9" w:rsidP="00B903F1">
      <w:pPr>
        <w:jc w:val="center"/>
      </w:pPr>
      <w:r>
        <w:rPr>
          <w:noProof/>
        </w:rPr>
        <w:drawing>
          <wp:inline distT="0" distB="0" distL="0" distR="0" wp14:anchorId="4DB1BFBA" wp14:editId="5E177ABE">
            <wp:extent cx="5486400" cy="1314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4EAA" w14:textId="77777777" w:rsidR="004B3B84" w:rsidRDefault="004B3B84" w:rsidP="00AD7AB4"/>
    <w:p w14:paraId="4B66A7A6" w14:textId="77777777" w:rsidR="004B3B84" w:rsidRDefault="001C32F7" w:rsidP="00CC0C5F">
      <w:pPr>
        <w:jc w:val="right"/>
      </w:pPr>
      <w:hyperlink w:anchor="_top" w:history="1">
        <w:r w:rsidR="00CC0C5F" w:rsidRPr="00CC0C5F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27A5E9D9" w14:textId="77777777" w:rsidTr="00332C66">
        <w:tc>
          <w:tcPr>
            <w:tcW w:w="5000" w:type="pct"/>
            <w:shd w:val="clear" w:color="auto" w:fill="C0C0C0"/>
          </w:tcPr>
          <w:p w14:paraId="3C3A679E" w14:textId="77777777" w:rsidR="004B3B84" w:rsidRPr="00D32D37" w:rsidRDefault="00B903F1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10" w:name="_Toc71088072"/>
            <w:r>
              <w:rPr>
                <w:rFonts w:ascii="Verdana" w:hAnsi="Verdana"/>
                <w:i w:val="0"/>
                <w:iCs w:val="0"/>
              </w:rPr>
              <w:t>Eligibility</w:t>
            </w:r>
            <w:bookmarkEnd w:id="10"/>
          </w:p>
        </w:tc>
      </w:tr>
    </w:tbl>
    <w:p w14:paraId="2308EE52" w14:textId="60C5DBF8" w:rsidR="00B903F1" w:rsidRDefault="00B903F1" w:rsidP="00B903F1">
      <w:r>
        <w:t>The Eligibility section contains information about how the client’s eligibility is set up</w:t>
      </w:r>
      <w:r w:rsidR="00052D65">
        <w:t xml:space="preserve"> and includes the Best Available Evidence category</w:t>
      </w:r>
      <w:r>
        <w:t>.</w:t>
      </w:r>
    </w:p>
    <w:p w14:paraId="548E8815" w14:textId="77777777" w:rsidR="004B3B84" w:rsidRDefault="004B3B84" w:rsidP="004B3B84">
      <w:pPr>
        <w:textAlignment w:val="top"/>
        <w:rPr>
          <w:rFonts w:cs="Arial"/>
          <w:bCs/>
          <w:color w:val="333333"/>
        </w:rPr>
      </w:pPr>
    </w:p>
    <w:p w14:paraId="7B07642B" w14:textId="28593315" w:rsidR="00B903F1" w:rsidRPr="008230FA" w:rsidRDefault="002559A9" w:rsidP="00B903F1">
      <w:pPr>
        <w:jc w:val="center"/>
        <w:textAlignment w:val="top"/>
        <w:rPr>
          <w:rFonts w:cs="Arial"/>
          <w:bCs/>
          <w:color w:val="333333"/>
        </w:rPr>
      </w:pPr>
      <w:r>
        <w:rPr>
          <w:noProof/>
        </w:rPr>
        <w:drawing>
          <wp:inline distT="0" distB="0" distL="0" distR="0" wp14:anchorId="37152CBF" wp14:editId="5F966979">
            <wp:extent cx="5495925" cy="1400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ABDF4" w14:textId="77777777" w:rsidR="004B3B84" w:rsidRPr="00EB1F94" w:rsidRDefault="004B3B84" w:rsidP="004B3B84">
      <w:pPr>
        <w:rPr>
          <w:b/>
        </w:rPr>
      </w:pPr>
    </w:p>
    <w:p w14:paraId="7C762F0D" w14:textId="77777777" w:rsidR="004B3B84" w:rsidRDefault="001C32F7" w:rsidP="00D27883">
      <w:pPr>
        <w:jc w:val="right"/>
      </w:pPr>
      <w:hyperlink w:anchor="_top" w:history="1">
        <w:r w:rsidR="00D27883" w:rsidRPr="00D27883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2FE8DF5D" w14:textId="77777777" w:rsidTr="001E2FCE">
        <w:tc>
          <w:tcPr>
            <w:tcW w:w="5000" w:type="pct"/>
            <w:shd w:val="clear" w:color="auto" w:fill="C0C0C0"/>
          </w:tcPr>
          <w:p w14:paraId="5CF7F7C3" w14:textId="77777777" w:rsidR="004B3B84" w:rsidRPr="00D32D37" w:rsidRDefault="00B903F1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11" w:name="_Toc71088073"/>
            <w:r>
              <w:rPr>
                <w:rFonts w:ascii="Verdana" w:hAnsi="Verdana"/>
                <w:i w:val="0"/>
                <w:iCs w:val="0"/>
              </w:rPr>
              <w:t>Coordination of Benefits</w:t>
            </w:r>
            <w:bookmarkEnd w:id="11"/>
            <w:r w:rsidR="004B3B84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13CDBF5D" w14:textId="219491E3" w:rsidR="001E2FCE" w:rsidRPr="00D82367" w:rsidRDefault="001E2FCE" w:rsidP="001E2FCE">
      <w:r w:rsidRPr="00D82367">
        <w:t>The Coordination of Benefits section contains details about how the plan handles COB requests</w:t>
      </w:r>
      <w:r w:rsidR="00052D65">
        <w:t xml:space="preserve"> and includes categories for Secondary Payer and SPAP</w:t>
      </w:r>
      <w:r w:rsidRPr="00D82367">
        <w:t xml:space="preserve">.  </w:t>
      </w:r>
    </w:p>
    <w:p w14:paraId="5F2D1FDA" w14:textId="77777777" w:rsidR="004B3B84" w:rsidRDefault="004B3B84" w:rsidP="00AD7AB4"/>
    <w:p w14:paraId="612BC6D5" w14:textId="54954FF6" w:rsidR="001E2FCE" w:rsidRDefault="002559A9" w:rsidP="001E2FCE">
      <w:pPr>
        <w:jc w:val="center"/>
      </w:pPr>
      <w:r>
        <w:rPr>
          <w:b/>
          <w:noProof/>
        </w:rPr>
        <w:drawing>
          <wp:inline distT="0" distB="0" distL="0" distR="0" wp14:anchorId="42625DA0" wp14:editId="6A3028AC">
            <wp:extent cx="5505450" cy="1962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D502" w14:textId="77777777" w:rsidR="004B3B84" w:rsidRDefault="004B3B84" w:rsidP="00AD7AB4"/>
    <w:p w14:paraId="7B33A2B0" w14:textId="77777777" w:rsidR="004B3B84" w:rsidRDefault="001C32F7" w:rsidP="00D27883">
      <w:pPr>
        <w:jc w:val="right"/>
      </w:pPr>
      <w:hyperlink w:anchor="_top" w:history="1">
        <w:r w:rsidR="00D27883" w:rsidRPr="00D27883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0620C725" w14:textId="77777777" w:rsidTr="00332C66">
        <w:tc>
          <w:tcPr>
            <w:tcW w:w="5000" w:type="pct"/>
            <w:shd w:val="clear" w:color="auto" w:fill="C0C0C0"/>
          </w:tcPr>
          <w:p w14:paraId="06F52889" w14:textId="77777777" w:rsidR="004B3B84" w:rsidRPr="00D32D37" w:rsidRDefault="001E2FCE" w:rsidP="001E2FCE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12" w:name="_Toc71088074"/>
            <w:r>
              <w:rPr>
                <w:rFonts w:ascii="Verdana" w:hAnsi="Verdana"/>
                <w:i w:val="0"/>
                <w:iCs w:val="0"/>
              </w:rPr>
              <w:t>Premium Billing</w:t>
            </w:r>
            <w:bookmarkEnd w:id="12"/>
          </w:p>
        </w:tc>
      </w:tr>
    </w:tbl>
    <w:p w14:paraId="328492D6" w14:textId="5BAD6E4E" w:rsidR="001E2FCE" w:rsidRDefault="001E2FCE" w:rsidP="001E2FCE">
      <w:r>
        <w:t xml:space="preserve">The Premium Billing section contains specific information about who handles Premium Billing for the </w:t>
      </w:r>
      <w:r w:rsidR="00CB2563">
        <w:t>client and</w:t>
      </w:r>
      <w:r w:rsidR="00052D65">
        <w:t xml:space="preserve"> includes categories for IRMAA and LEP</w:t>
      </w:r>
      <w:r>
        <w:t>.</w:t>
      </w:r>
    </w:p>
    <w:p w14:paraId="17ADCD52" w14:textId="77777777" w:rsidR="004B3B84" w:rsidRDefault="004B3B84" w:rsidP="004B3B84">
      <w:pPr>
        <w:textAlignment w:val="top"/>
        <w:rPr>
          <w:rFonts w:cs="Arial"/>
          <w:bCs/>
          <w:color w:val="333333"/>
        </w:rPr>
      </w:pPr>
    </w:p>
    <w:p w14:paraId="01AA9178" w14:textId="586121E2" w:rsidR="001E2FCE" w:rsidRPr="008230FA" w:rsidRDefault="002559A9" w:rsidP="001E2FCE">
      <w:pPr>
        <w:jc w:val="center"/>
        <w:textAlignment w:val="top"/>
        <w:rPr>
          <w:rFonts w:cs="Arial"/>
          <w:bCs/>
          <w:color w:val="333333"/>
        </w:rPr>
      </w:pPr>
      <w:r>
        <w:rPr>
          <w:noProof/>
        </w:rPr>
        <w:drawing>
          <wp:inline distT="0" distB="0" distL="0" distR="0" wp14:anchorId="52AE8C7B" wp14:editId="305F703A">
            <wp:extent cx="5486400" cy="1390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516F" w14:textId="77777777" w:rsidR="004B3B84" w:rsidRPr="00EB1F94" w:rsidRDefault="004B3B84" w:rsidP="004B3B84">
      <w:pPr>
        <w:rPr>
          <w:b/>
        </w:rPr>
      </w:pPr>
    </w:p>
    <w:p w14:paraId="6C8FC293" w14:textId="77777777" w:rsidR="004B3B84" w:rsidRDefault="001C32F7" w:rsidP="00D27883">
      <w:pPr>
        <w:jc w:val="right"/>
      </w:pPr>
      <w:hyperlink w:anchor="_top" w:history="1">
        <w:r w:rsidR="00D27883" w:rsidRPr="00D27883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4617B798" w14:textId="77777777" w:rsidTr="001E2FCE">
        <w:tc>
          <w:tcPr>
            <w:tcW w:w="5000" w:type="pct"/>
            <w:shd w:val="clear" w:color="auto" w:fill="C0C0C0"/>
          </w:tcPr>
          <w:p w14:paraId="62287B86" w14:textId="181C8717" w:rsidR="004B3B84" w:rsidRPr="00D32D37" w:rsidRDefault="001E2FCE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13" w:name="_Toc71088075"/>
            <w:r>
              <w:rPr>
                <w:rFonts w:ascii="Verdana" w:hAnsi="Verdana"/>
                <w:i w:val="0"/>
                <w:iCs w:val="0"/>
              </w:rPr>
              <w:t>Fulfillment</w:t>
            </w:r>
            <w:bookmarkEnd w:id="13"/>
          </w:p>
        </w:tc>
      </w:tr>
    </w:tbl>
    <w:p w14:paraId="16EB1BFC" w14:textId="77777777" w:rsidR="001E2FCE" w:rsidRDefault="001E2FCE" w:rsidP="001E2FCE">
      <w:r>
        <w:t xml:space="preserve">The </w:t>
      </w:r>
      <w:r w:rsidRPr="00C72EF3">
        <w:t xml:space="preserve">Fulfillment section </w:t>
      </w:r>
      <w:r>
        <w:t xml:space="preserve">contains information about who handles ID </w:t>
      </w:r>
      <w:r w:rsidR="00F82AA0">
        <w:t>card</w:t>
      </w:r>
      <w:r>
        <w:t xml:space="preserve"> mails, if the </w:t>
      </w:r>
      <w:r w:rsidR="00F82AA0">
        <w:t>client participates</w:t>
      </w:r>
      <w:r>
        <w:t xml:space="preserve"> in the </w:t>
      </w:r>
      <w:proofErr w:type="spellStart"/>
      <w:r>
        <w:t>ExtraCare</w:t>
      </w:r>
      <w:proofErr w:type="spellEnd"/>
      <w:r>
        <w:t xml:space="preserve"> Health Card program and who sends EOBs.</w:t>
      </w:r>
    </w:p>
    <w:p w14:paraId="549D5D40" w14:textId="77777777" w:rsidR="001E2FCE" w:rsidRDefault="001E2FCE" w:rsidP="001E2FCE"/>
    <w:p w14:paraId="340F3DC3" w14:textId="77777777" w:rsidR="004B3B84" w:rsidRDefault="004B3B84" w:rsidP="00AD7AB4"/>
    <w:p w14:paraId="47C12FB1" w14:textId="5C86AAB6" w:rsidR="001E2FCE" w:rsidRDefault="002559A9" w:rsidP="001E2FCE">
      <w:pPr>
        <w:jc w:val="center"/>
      </w:pPr>
      <w:r w:rsidRPr="00A300FC">
        <w:rPr>
          <w:noProof/>
        </w:rPr>
        <w:drawing>
          <wp:inline distT="0" distB="0" distL="0" distR="0" wp14:anchorId="0D501DDB" wp14:editId="190B2B3E">
            <wp:extent cx="4429125" cy="176212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F6893" w14:textId="77777777" w:rsidR="004B3B84" w:rsidRDefault="004B3B84" w:rsidP="00AD7AB4"/>
    <w:p w14:paraId="566BAFFC" w14:textId="77777777" w:rsidR="004B3B84" w:rsidRDefault="001C32F7" w:rsidP="00D27883">
      <w:pPr>
        <w:jc w:val="right"/>
      </w:pPr>
      <w:hyperlink w:anchor="_top" w:history="1">
        <w:r w:rsidR="00D27883" w:rsidRPr="00D27883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6C526EB6" w14:textId="77777777" w:rsidTr="00332C66">
        <w:tc>
          <w:tcPr>
            <w:tcW w:w="5000" w:type="pct"/>
            <w:shd w:val="clear" w:color="auto" w:fill="C0C0C0"/>
          </w:tcPr>
          <w:p w14:paraId="7C4B358D" w14:textId="77777777" w:rsidR="004B3B84" w:rsidRPr="00D32D37" w:rsidRDefault="001E2FCE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14" w:name="_Toc71088076"/>
            <w:r>
              <w:rPr>
                <w:rFonts w:ascii="Verdana" w:hAnsi="Verdana"/>
                <w:i w:val="0"/>
                <w:iCs w:val="0"/>
              </w:rPr>
              <w:t>Retail Logic</w:t>
            </w:r>
            <w:bookmarkEnd w:id="14"/>
          </w:p>
        </w:tc>
      </w:tr>
    </w:tbl>
    <w:p w14:paraId="316E2C23" w14:textId="19774391" w:rsidR="001E2FCE" w:rsidRDefault="001E2FCE" w:rsidP="001E2FCE">
      <w:pPr>
        <w:rPr>
          <w:rFonts w:cs="Arial"/>
          <w:bCs/>
        </w:rPr>
      </w:pPr>
      <w:r>
        <w:rPr>
          <w:rFonts w:cs="Arial"/>
          <w:bCs/>
        </w:rPr>
        <w:t>The Retail Logic section outlines the components necessary to process a claim</w:t>
      </w:r>
      <w:r w:rsidR="00052D65">
        <w:rPr>
          <w:rFonts w:cs="Arial"/>
          <w:bCs/>
        </w:rPr>
        <w:t>, including:</w:t>
      </w:r>
    </w:p>
    <w:p w14:paraId="6AA00378" w14:textId="77777777" w:rsidR="001E2FCE" w:rsidRDefault="001E2FCE" w:rsidP="001E2FCE">
      <w:pPr>
        <w:rPr>
          <w:rFonts w:cs="Arial"/>
          <w:bCs/>
        </w:rPr>
      </w:pPr>
    </w:p>
    <w:p w14:paraId="17B1FABF" w14:textId="77777777" w:rsidR="001E2FCE" w:rsidRDefault="001E2FCE" w:rsidP="001E2FCE">
      <w:pPr>
        <w:numPr>
          <w:ilvl w:val="0"/>
          <w:numId w:val="20"/>
        </w:numPr>
        <w:rPr>
          <w:rFonts w:cs="Arial"/>
          <w:bCs/>
        </w:rPr>
      </w:pPr>
      <w:r w:rsidRPr="003E244B">
        <w:rPr>
          <w:rFonts w:cs="Arial"/>
          <w:bCs/>
        </w:rPr>
        <w:t>COB</w:t>
      </w:r>
    </w:p>
    <w:p w14:paraId="21ED374C" w14:textId="77777777" w:rsidR="001E2FCE" w:rsidRDefault="001E2FCE" w:rsidP="001E2FCE">
      <w:pPr>
        <w:numPr>
          <w:ilvl w:val="0"/>
          <w:numId w:val="20"/>
        </w:numPr>
        <w:rPr>
          <w:rFonts w:cs="Arial"/>
          <w:bCs/>
        </w:rPr>
      </w:pPr>
      <w:r w:rsidRPr="003E244B">
        <w:rPr>
          <w:rFonts w:cs="Arial"/>
          <w:bCs/>
        </w:rPr>
        <w:t>Reject 41 Secondary Payer</w:t>
      </w:r>
      <w:r>
        <w:rPr>
          <w:rFonts w:cs="Arial"/>
          <w:bCs/>
        </w:rPr>
        <w:t xml:space="preserve"> Change Handled By</w:t>
      </w:r>
    </w:p>
    <w:p w14:paraId="246F2425" w14:textId="77777777" w:rsidR="001E2FCE" w:rsidRDefault="001E2FCE" w:rsidP="001E2FCE">
      <w:pPr>
        <w:numPr>
          <w:ilvl w:val="0"/>
          <w:numId w:val="20"/>
        </w:numPr>
        <w:rPr>
          <w:rFonts w:cs="Arial"/>
          <w:bCs/>
        </w:rPr>
      </w:pPr>
      <w:r w:rsidRPr="003E244B">
        <w:rPr>
          <w:rFonts w:cs="Arial"/>
          <w:bCs/>
        </w:rPr>
        <w:t xml:space="preserve">Pharmacy Notifications Implementation </w:t>
      </w:r>
    </w:p>
    <w:p w14:paraId="56CA687F" w14:textId="77777777" w:rsidR="001E2FCE" w:rsidRPr="003E244B" w:rsidRDefault="001E2FCE" w:rsidP="001E2FCE">
      <w:pPr>
        <w:ind w:left="720"/>
        <w:rPr>
          <w:rFonts w:cs="Arial"/>
          <w:bCs/>
        </w:rPr>
      </w:pPr>
    </w:p>
    <w:p w14:paraId="2E17ADCC" w14:textId="701A1011" w:rsidR="004B3B84" w:rsidRPr="008230FA" w:rsidRDefault="002559A9" w:rsidP="001E2FCE">
      <w:pPr>
        <w:jc w:val="center"/>
        <w:textAlignment w:val="top"/>
        <w:rPr>
          <w:rFonts w:cs="Arial"/>
          <w:bCs/>
          <w:color w:val="333333"/>
        </w:rPr>
      </w:pPr>
      <w:r w:rsidRPr="00A300FC">
        <w:rPr>
          <w:noProof/>
        </w:rPr>
        <w:drawing>
          <wp:inline distT="0" distB="0" distL="0" distR="0" wp14:anchorId="559625DC" wp14:editId="2C4BB98D">
            <wp:extent cx="4857750" cy="188595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346E5" w14:textId="77777777" w:rsidR="004B3B84" w:rsidRPr="00EB1F94" w:rsidRDefault="004B3B84" w:rsidP="004B3B84">
      <w:pPr>
        <w:rPr>
          <w:b/>
        </w:rPr>
      </w:pPr>
    </w:p>
    <w:p w14:paraId="2A73AC97" w14:textId="77777777" w:rsidR="004B3B84" w:rsidRDefault="001C32F7" w:rsidP="00D27883">
      <w:pPr>
        <w:jc w:val="right"/>
      </w:pPr>
      <w:hyperlink w:anchor="_top" w:history="1">
        <w:r w:rsidR="00D27883" w:rsidRPr="00D27883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4554919E" w14:textId="77777777" w:rsidTr="001E2FCE">
        <w:tc>
          <w:tcPr>
            <w:tcW w:w="5000" w:type="pct"/>
            <w:shd w:val="clear" w:color="auto" w:fill="C0C0C0"/>
          </w:tcPr>
          <w:p w14:paraId="32B0D7D3" w14:textId="77777777" w:rsidR="004B3B84" w:rsidRPr="00D32D37" w:rsidRDefault="001E2FCE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15" w:name="_Toc71088077"/>
            <w:r>
              <w:rPr>
                <w:rFonts w:ascii="Verdana" w:hAnsi="Verdana"/>
                <w:i w:val="0"/>
                <w:iCs w:val="0"/>
              </w:rPr>
              <w:t>Plan Design Highlights</w:t>
            </w:r>
            <w:bookmarkEnd w:id="15"/>
            <w:r w:rsidR="004B3B84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58633DAD" w14:textId="77777777" w:rsidR="001E2FCE" w:rsidRPr="004C6B52" w:rsidRDefault="001E2FCE" w:rsidP="001E2FCE">
      <w:pPr>
        <w:textAlignment w:val="top"/>
        <w:rPr>
          <w:rFonts w:cs="Arial"/>
          <w:bCs/>
        </w:rPr>
      </w:pPr>
      <w:r w:rsidRPr="004C6B52">
        <w:rPr>
          <w:rFonts w:cs="Arial"/>
          <w:bCs/>
        </w:rPr>
        <w:t>The Plan Design section outlines key elements of the client’s plan design</w:t>
      </w:r>
      <w:r w:rsidR="00052D65">
        <w:rPr>
          <w:rFonts w:cs="Arial"/>
          <w:bCs/>
        </w:rPr>
        <w:t>:</w:t>
      </w:r>
    </w:p>
    <w:p w14:paraId="72420989" w14:textId="77777777" w:rsidR="001E2FCE" w:rsidRDefault="001E2FCE" w:rsidP="001E2FCE">
      <w:pPr>
        <w:numPr>
          <w:ilvl w:val="0"/>
          <w:numId w:val="21"/>
        </w:numPr>
        <w:textAlignment w:val="top"/>
        <w:rPr>
          <w:rFonts w:cs="Arial"/>
          <w:bCs/>
        </w:rPr>
      </w:pPr>
      <w:r>
        <w:rPr>
          <w:rFonts w:cs="Arial"/>
          <w:bCs/>
        </w:rPr>
        <w:t>B vs D Determination</w:t>
      </w:r>
    </w:p>
    <w:p w14:paraId="6A74B7FD" w14:textId="77777777" w:rsidR="001E2FCE" w:rsidRDefault="001E2FCE" w:rsidP="001E2FCE">
      <w:pPr>
        <w:numPr>
          <w:ilvl w:val="0"/>
          <w:numId w:val="21"/>
        </w:numPr>
        <w:textAlignment w:val="top"/>
        <w:rPr>
          <w:rFonts w:cs="Arial"/>
          <w:bCs/>
        </w:rPr>
      </w:pPr>
      <w:r>
        <w:rPr>
          <w:rFonts w:cs="Arial"/>
          <w:bCs/>
        </w:rPr>
        <w:t>DAW Drug Rules</w:t>
      </w:r>
    </w:p>
    <w:p w14:paraId="1AC3626B" w14:textId="77777777" w:rsidR="001E2FCE" w:rsidRDefault="001E2FCE" w:rsidP="001E2FCE">
      <w:pPr>
        <w:numPr>
          <w:ilvl w:val="0"/>
          <w:numId w:val="21"/>
        </w:numPr>
        <w:textAlignment w:val="top"/>
        <w:rPr>
          <w:rFonts w:cs="Arial"/>
          <w:bCs/>
        </w:rPr>
      </w:pPr>
      <w:r>
        <w:rPr>
          <w:rFonts w:cs="Arial"/>
          <w:bCs/>
        </w:rPr>
        <w:t>DAW Waiver</w:t>
      </w:r>
    </w:p>
    <w:p w14:paraId="54A35FDD" w14:textId="77777777" w:rsidR="001E2FCE" w:rsidRDefault="001E2FCE" w:rsidP="001E2FCE">
      <w:pPr>
        <w:numPr>
          <w:ilvl w:val="0"/>
          <w:numId w:val="21"/>
        </w:numPr>
        <w:textAlignment w:val="top"/>
        <w:rPr>
          <w:rFonts w:cs="Arial"/>
          <w:bCs/>
        </w:rPr>
      </w:pPr>
      <w:r>
        <w:rPr>
          <w:rFonts w:cs="Arial"/>
          <w:bCs/>
        </w:rPr>
        <w:t>Fill Limitations/Refill Restrictions (changed from Refill Restrictions)</w:t>
      </w:r>
    </w:p>
    <w:p w14:paraId="1AA17595" w14:textId="77777777" w:rsidR="001E2FCE" w:rsidRDefault="001E2FCE" w:rsidP="001E2FCE">
      <w:pPr>
        <w:numPr>
          <w:ilvl w:val="0"/>
          <w:numId w:val="21"/>
        </w:numPr>
        <w:textAlignment w:val="top"/>
        <w:rPr>
          <w:rFonts w:cs="Arial"/>
          <w:bCs/>
        </w:rPr>
      </w:pPr>
      <w:r>
        <w:rPr>
          <w:rFonts w:cs="Arial"/>
          <w:bCs/>
        </w:rPr>
        <w:t>Flexible Copay Incentive (moved from Programs &amp; Offerings section)</w:t>
      </w:r>
    </w:p>
    <w:p w14:paraId="3F2895DE" w14:textId="77777777" w:rsidR="001E2FCE" w:rsidRPr="00510F43" w:rsidRDefault="001E2FCE" w:rsidP="001E2FCE">
      <w:pPr>
        <w:numPr>
          <w:ilvl w:val="0"/>
          <w:numId w:val="21"/>
        </w:numPr>
        <w:textAlignment w:val="top"/>
        <w:rPr>
          <w:rFonts w:cs="Arial"/>
          <w:bCs/>
        </w:rPr>
      </w:pPr>
      <w:r w:rsidRPr="00510F43">
        <w:rPr>
          <w:rFonts w:cs="Arial"/>
          <w:bCs/>
        </w:rPr>
        <w:t>Medicare Part B</w:t>
      </w:r>
    </w:p>
    <w:p w14:paraId="130A3D18" w14:textId="77777777" w:rsidR="001E2FCE" w:rsidRPr="00510F43" w:rsidRDefault="001E2FCE" w:rsidP="001E2FCE">
      <w:pPr>
        <w:numPr>
          <w:ilvl w:val="0"/>
          <w:numId w:val="21"/>
        </w:numPr>
        <w:textAlignment w:val="top"/>
        <w:rPr>
          <w:rFonts w:cs="Arial"/>
          <w:bCs/>
        </w:rPr>
      </w:pPr>
      <w:r w:rsidRPr="00510F43">
        <w:rPr>
          <w:rFonts w:cs="Arial"/>
          <w:bCs/>
        </w:rPr>
        <w:t>OTC Benefits</w:t>
      </w:r>
    </w:p>
    <w:p w14:paraId="0AD67439" w14:textId="77777777" w:rsidR="001E2FCE" w:rsidRDefault="001E2FCE" w:rsidP="001E2FCE">
      <w:pPr>
        <w:numPr>
          <w:ilvl w:val="0"/>
          <w:numId w:val="21"/>
        </w:numPr>
        <w:textAlignment w:val="top"/>
        <w:rPr>
          <w:rFonts w:cs="Arial"/>
          <w:bCs/>
        </w:rPr>
      </w:pPr>
      <w:r w:rsidRPr="00510F43">
        <w:rPr>
          <w:rFonts w:cs="Arial"/>
          <w:bCs/>
        </w:rPr>
        <w:t>Step Therapy</w:t>
      </w:r>
      <w:r>
        <w:rPr>
          <w:rFonts w:cs="Arial"/>
          <w:bCs/>
        </w:rPr>
        <w:t xml:space="preserve"> (moved from Programs &amp; Offerings section)</w:t>
      </w:r>
    </w:p>
    <w:p w14:paraId="60357284" w14:textId="77777777" w:rsidR="001E2FCE" w:rsidRDefault="001E2FCE" w:rsidP="001E2FCE">
      <w:pPr>
        <w:numPr>
          <w:ilvl w:val="0"/>
          <w:numId w:val="21"/>
        </w:numPr>
        <w:textAlignment w:val="top"/>
        <w:rPr>
          <w:rFonts w:cs="Arial"/>
          <w:bCs/>
        </w:rPr>
      </w:pPr>
      <w:r>
        <w:rPr>
          <w:rFonts w:cs="Arial"/>
          <w:bCs/>
        </w:rPr>
        <w:t>Vaccine Information</w:t>
      </w:r>
    </w:p>
    <w:p w14:paraId="7D771A8D" w14:textId="77777777" w:rsidR="004B3B84" w:rsidRDefault="004B3B84" w:rsidP="00AD7AB4"/>
    <w:p w14:paraId="5D4282F0" w14:textId="7913EB6A" w:rsidR="001E2FCE" w:rsidRDefault="002559A9" w:rsidP="001E2FCE">
      <w:pPr>
        <w:jc w:val="center"/>
      </w:pPr>
      <w:r w:rsidRPr="00A300FC">
        <w:rPr>
          <w:noProof/>
        </w:rPr>
        <w:drawing>
          <wp:inline distT="0" distB="0" distL="0" distR="0" wp14:anchorId="7C3757D0" wp14:editId="76ECE4D6">
            <wp:extent cx="4600575" cy="473392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2ACB" w14:textId="77777777" w:rsidR="004B3B84" w:rsidRPr="00D27883" w:rsidRDefault="00D27883" w:rsidP="00AD7AB4">
      <w:pPr>
        <w:rPr>
          <w:rStyle w:val="Hyperlink"/>
        </w:rPr>
      </w:pPr>
      <w:r>
        <w:fldChar w:fldCharType="begin"/>
      </w:r>
      <w:r w:rsidR="00CB2563">
        <w:instrText>HYPERLINK  \l "_top"</w:instrText>
      </w:r>
      <w:r>
        <w:fldChar w:fldCharType="separate"/>
      </w:r>
    </w:p>
    <w:p w14:paraId="10C4A662" w14:textId="77777777" w:rsidR="004B3B84" w:rsidRDefault="00D27883" w:rsidP="00D27883">
      <w:pPr>
        <w:jc w:val="right"/>
      </w:pPr>
      <w:r w:rsidRPr="00D27883">
        <w:rPr>
          <w:rStyle w:val="Hyperlink"/>
        </w:rPr>
        <w:t>Top of the Document</w:t>
      </w:r>
      <w: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3A32C0B6" w14:textId="77777777" w:rsidTr="00332C66">
        <w:tc>
          <w:tcPr>
            <w:tcW w:w="5000" w:type="pct"/>
            <w:shd w:val="clear" w:color="auto" w:fill="C0C0C0"/>
          </w:tcPr>
          <w:p w14:paraId="632FC202" w14:textId="0F67CCB9" w:rsidR="004B3B84" w:rsidRPr="00D32D37" w:rsidRDefault="001E2FCE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16" w:name="_Toc71088078"/>
            <w:r>
              <w:rPr>
                <w:rFonts w:ascii="Verdana" w:hAnsi="Verdana"/>
                <w:i w:val="0"/>
                <w:iCs w:val="0"/>
              </w:rPr>
              <w:t>Specialty Plan Design Highlights</w:t>
            </w:r>
            <w:bookmarkEnd w:id="16"/>
          </w:p>
        </w:tc>
      </w:tr>
    </w:tbl>
    <w:p w14:paraId="4817D4DE" w14:textId="4D1083A9" w:rsidR="001E2FCE" w:rsidRDefault="001E2FCE" w:rsidP="001E2FCE">
      <w:pPr>
        <w:rPr>
          <w:rFonts w:cs="Arial"/>
          <w:bCs/>
        </w:rPr>
      </w:pPr>
      <w:r>
        <w:rPr>
          <w:rFonts w:cs="Arial"/>
          <w:bCs/>
        </w:rPr>
        <w:t>The Specialty Plan Design Highlights section provides information on key aspects of the client’s specialty offerings.</w:t>
      </w:r>
    </w:p>
    <w:p w14:paraId="31010D6C" w14:textId="77777777" w:rsidR="004B3B84" w:rsidRDefault="004B3B84" w:rsidP="004B3B84">
      <w:pPr>
        <w:textAlignment w:val="top"/>
        <w:rPr>
          <w:rFonts w:cs="Arial"/>
          <w:bCs/>
          <w:color w:val="333333"/>
        </w:rPr>
      </w:pPr>
    </w:p>
    <w:p w14:paraId="106CA561" w14:textId="1AA4CCCE" w:rsidR="001E2FCE" w:rsidRPr="008230FA" w:rsidRDefault="002559A9" w:rsidP="001E2FCE">
      <w:pPr>
        <w:jc w:val="center"/>
        <w:textAlignment w:val="top"/>
        <w:rPr>
          <w:rFonts w:cs="Arial"/>
          <w:bCs/>
          <w:color w:val="333333"/>
        </w:rPr>
      </w:pPr>
      <w:r w:rsidRPr="00A300FC">
        <w:rPr>
          <w:noProof/>
        </w:rPr>
        <w:drawing>
          <wp:inline distT="0" distB="0" distL="0" distR="0" wp14:anchorId="7230C02B" wp14:editId="355F0DE5">
            <wp:extent cx="4600575" cy="249555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361B" w14:textId="77777777" w:rsidR="004B3B84" w:rsidRPr="00EB1F94" w:rsidRDefault="004B3B84" w:rsidP="004B3B84">
      <w:pPr>
        <w:rPr>
          <w:b/>
        </w:rPr>
      </w:pPr>
    </w:p>
    <w:p w14:paraId="365588AB" w14:textId="77777777" w:rsidR="004B3B84" w:rsidRDefault="001C32F7" w:rsidP="00D27883">
      <w:pPr>
        <w:jc w:val="right"/>
      </w:pPr>
      <w:hyperlink w:anchor="_top" w:history="1">
        <w:r w:rsidR="00D27883" w:rsidRPr="00D27883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74722EE2" w14:textId="77777777" w:rsidTr="001E2FCE">
        <w:tc>
          <w:tcPr>
            <w:tcW w:w="5000" w:type="pct"/>
            <w:shd w:val="clear" w:color="auto" w:fill="C0C0C0"/>
          </w:tcPr>
          <w:p w14:paraId="0A68E051" w14:textId="77777777" w:rsidR="004B3B84" w:rsidRPr="00D32D37" w:rsidRDefault="001E2FCE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17" w:name="_Toc71088079"/>
            <w:r>
              <w:rPr>
                <w:rFonts w:ascii="Verdana" w:hAnsi="Verdana"/>
                <w:i w:val="0"/>
                <w:iCs w:val="0"/>
              </w:rPr>
              <w:t>Overrides</w:t>
            </w:r>
            <w:bookmarkEnd w:id="17"/>
            <w:r w:rsidR="004B3B84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5B7D7B6D" w14:textId="77777777" w:rsidR="001E2FCE" w:rsidRDefault="001E2FCE" w:rsidP="001E2FCE">
      <w:pPr>
        <w:textAlignment w:val="top"/>
        <w:rPr>
          <w:rFonts w:cs="Arial"/>
          <w:bCs/>
        </w:rPr>
      </w:pPr>
      <w:r w:rsidRPr="00B72587">
        <w:rPr>
          <w:rFonts w:cs="Arial"/>
          <w:bCs/>
        </w:rPr>
        <w:t xml:space="preserve">The Overrides section </w:t>
      </w:r>
      <w:r>
        <w:rPr>
          <w:rFonts w:cs="Arial"/>
          <w:bCs/>
        </w:rPr>
        <w:t xml:space="preserve">contains the information on which overrides are allowed by the plan. </w:t>
      </w:r>
    </w:p>
    <w:p w14:paraId="0ACF204A" w14:textId="77777777" w:rsidR="001E2FCE" w:rsidRDefault="001E2FCE" w:rsidP="001E2FCE">
      <w:pPr>
        <w:rPr>
          <w:rFonts w:cs="Arial"/>
          <w:bCs/>
        </w:rPr>
      </w:pPr>
    </w:p>
    <w:p w14:paraId="471677D8" w14:textId="62641B3F" w:rsidR="001E2FCE" w:rsidRDefault="002559A9" w:rsidP="001E2FCE">
      <w:pPr>
        <w:jc w:val="center"/>
      </w:pPr>
      <w:r>
        <w:rPr>
          <w:rFonts w:cs="Arial"/>
          <w:bCs/>
          <w:noProof/>
        </w:rPr>
        <w:drawing>
          <wp:inline distT="0" distB="0" distL="0" distR="0" wp14:anchorId="53492A54" wp14:editId="7144404F">
            <wp:extent cx="5467350" cy="2400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85D1" w14:textId="77777777" w:rsidR="004B3B84" w:rsidRPr="0065767A" w:rsidRDefault="0065767A" w:rsidP="00AD7AB4">
      <w:pPr>
        <w:rPr>
          <w:rStyle w:val="Hyperlink"/>
        </w:rPr>
      </w:pPr>
      <w:r>
        <w:fldChar w:fldCharType="begin"/>
      </w:r>
      <w:r w:rsidR="00CB2563">
        <w:instrText>HYPERLINK  \l "_top"</w:instrText>
      </w:r>
      <w:r>
        <w:fldChar w:fldCharType="separate"/>
      </w:r>
    </w:p>
    <w:p w14:paraId="631A6F6D" w14:textId="77777777" w:rsidR="004B3B84" w:rsidRDefault="0065767A" w:rsidP="0065767A">
      <w:pPr>
        <w:jc w:val="right"/>
      </w:pPr>
      <w:r w:rsidRPr="0065767A">
        <w:rPr>
          <w:rStyle w:val="Hyperlink"/>
        </w:rPr>
        <w:t>Top of the Document</w:t>
      </w:r>
      <w: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71039639" w14:textId="77777777" w:rsidTr="00332C66">
        <w:tc>
          <w:tcPr>
            <w:tcW w:w="5000" w:type="pct"/>
            <w:shd w:val="clear" w:color="auto" w:fill="C0C0C0"/>
          </w:tcPr>
          <w:p w14:paraId="083193E6" w14:textId="77777777" w:rsidR="004B3B84" w:rsidRPr="00D32D37" w:rsidRDefault="00627EB2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18" w:name="_Toc71088080"/>
            <w:r>
              <w:rPr>
                <w:rFonts w:ascii="Verdana" w:hAnsi="Verdana"/>
                <w:i w:val="0"/>
                <w:iCs w:val="0"/>
              </w:rPr>
              <w:t>Coverage Determination</w:t>
            </w:r>
            <w:bookmarkEnd w:id="18"/>
          </w:p>
        </w:tc>
      </w:tr>
    </w:tbl>
    <w:p w14:paraId="31A70756" w14:textId="12FC7BB6" w:rsidR="00627EB2" w:rsidRDefault="00627EB2" w:rsidP="00627EB2">
      <w:pPr>
        <w:textAlignment w:val="top"/>
        <w:rPr>
          <w:rFonts w:cs="Arial"/>
          <w:bCs/>
          <w:color w:val="333333"/>
        </w:rPr>
      </w:pPr>
      <w:r>
        <w:rPr>
          <w:rFonts w:cs="Arial"/>
          <w:bCs/>
          <w:color w:val="333333"/>
        </w:rPr>
        <w:t xml:space="preserve">The Coverage Determination section contains specific information on how to handle Coverage Determination requests and </w:t>
      </w:r>
      <w:r w:rsidR="00B02B8E">
        <w:rPr>
          <w:rFonts w:cs="Arial"/>
          <w:bCs/>
          <w:color w:val="333333"/>
        </w:rPr>
        <w:t>after-hours</w:t>
      </w:r>
      <w:r>
        <w:rPr>
          <w:rFonts w:cs="Arial"/>
          <w:bCs/>
          <w:color w:val="333333"/>
        </w:rPr>
        <w:t xml:space="preserve"> processes</w:t>
      </w:r>
      <w:r w:rsidR="001D5B8A">
        <w:rPr>
          <w:rFonts w:cs="Arial"/>
          <w:bCs/>
          <w:color w:val="333333"/>
        </w:rPr>
        <w:t xml:space="preserve">, as well as a </w:t>
      </w:r>
      <w:proofErr w:type="spellStart"/>
      <w:r w:rsidR="001D5B8A">
        <w:rPr>
          <w:rFonts w:cs="Arial"/>
          <w:bCs/>
          <w:color w:val="333333"/>
        </w:rPr>
        <w:t>MedHOK</w:t>
      </w:r>
      <w:proofErr w:type="spellEnd"/>
      <w:r w:rsidR="001D5B8A">
        <w:rPr>
          <w:rFonts w:cs="Arial"/>
          <w:bCs/>
          <w:color w:val="333333"/>
        </w:rPr>
        <w:t xml:space="preserve"> Effective Date category</w:t>
      </w:r>
      <w:r>
        <w:rPr>
          <w:rFonts w:cs="Arial"/>
          <w:bCs/>
          <w:color w:val="333333"/>
        </w:rPr>
        <w:t xml:space="preserve"> for the client.  </w:t>
      </w:r>
    </w:p>
    <w:p w14:paraId="6FD1472E" w14:textId="77777777" w:rsidR="004B3B84" w:rsidRDefault="004B3B84" w:rsidP="004B3B84">
      <w:pPr>
        <w:textAlignment w:val="top"/>
        <w:rPr>
          <w:rFonts w:cs="Arial"/>
          <w:bCs/>
          <w:color w:val="333333"/>
        </w:rPr>
      </w:pPr>
    </w:p>
    <w:p w14:paraId="4AA4A0DA" w14:textId="5931FF15" w:rsidR="00627EB2" w:rsidRDefault="002559A9" w:rsidP="00627EB2">
      <w:pPr>
        <w:jc w:val="center"/>
        <w:textAlignment w:val="top"/>
        <w:rPr>
          <w:rFonts w:cs="Arial"/>
          <w:bCs/>
          <w:color w:val="333333"/>
        </w:rPr>
      </w:pPr>
      <w:r w:rsidRPr="00A300FC">
        <w:rPr>
          <w:noProof/>
        </w:rPr>
        <w:drawing>
          <wp:inline distT="0" distB="0" distL="0" distR="0" wp14:anchorId="38E9CA55" wp14:editId="0898639C">
            <wp:extent cx="3524250" cy="59055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0952" w14:textId="77777777" w:rsidR="004B3B84" w:rsidRPr="00EB1F94" w:rsidRDefault="004B3B84" w:rsidP="004B3B84">
      <w:pPr>
        <w:rPr>
          <w:b/>
        </w:rPr>
      </w:pPr>
    </w:p>
    <w:p w14:paraId="30535632" w14:textId="77777777" w:rsidR="004B3B84" w:rsidRDefault="001C32F7" w:rsidP="0065767A">
      <w:pPr>
        <w:jc w:val="right"/>
      </w:pPr>
      <w:hyperlink w:anchor="_top" w:history="1">
        <w:r w:rsidR="0065767A" w:rsidRPr="0065767A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1905CF2F" w14:textId="77777777" w:rsidTr="00627EB2">
        <w:tc>
          <w:tcPr>
            <w:tcW w:w="5000" w:type="pct"/>
            <w:shd w:val="clear" w:color="auto" w:fill="C0C0C0"/>
          </w:tcPr>
          <w:p w14:paraId="081E99FA" w14:textId="77777777" w:rsidR="004B3B84" w:rsidRPr="00D32D37" w:rsidRDefault="00627EB2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19" w:name="_Toc71088081"/>
            <w:r>
              <w:rPr>
                <w:rFonts w:ascii="Verdana" w:hAnsi="Verdana"/>
                <w:i w:val="0"/>
                <w:iCs w:val="0"/>
              </w:rPr>
              <w:t>Appeals Process</w:t>
            </w:r>
            <w:bookmarkEnd w:id="19"/>
            <w:r w:rsidR="004B3B84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0EE9FCDE" w14:textId="77777777" w:rsidR="00627EB2" w:rsidRDefault="00627EB2" w:rsidP="00627EB2">
      <w:pPr>
        <w:textAlignment w:val="top"/>
        <w:rPr>
          <w:rFonts w:cs="Arial"/>
          <w:bCs/>
          <w:color w:val="333333"/>
        </w:rPr>
      </w:pPr>
      <w:r>
        <w:rPr>
          <w:rFonts w:cs="Arial"/>
          <w:bCs/>
          <w:color w:val="333333"/>
        </w:rPr>
        <w:t xml:space="preserve">The Appeal Process section provides information about who the appeals processor is and the various levels of appeal available to members. </w:t>
      </w:r>
    </w:p>
    <w:p w14:paraId="4793C312" w14:textId="77777777" w:rsidR="004B3B84" w:rsidRDefault="004B3B84" w:rsidP="00AD7AB4"/>
    <w:p w14:paraId="0AAF69FA" w14:textId="77777777" w:rsidR="004B3B84" w:rsidRDefault="004B3B84" w:rsidP="00AD7AB4"/>
    <w:p w14:paraId="06814689" w14:textId="77777777" w:rsidR="004B3B84" w:rsidRDefault="001C32F7" w:rsidP="0065767A">
      <w:pPr>
        <w:jc w:val="right"/>
      </w:pPr>
      <w:hyperlink w:anchor="_top" w:history="1">
        <w:r w:rsidR="0065767A" w:rsidRPr="0065767A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286C8657" w14:textId="77777777" w:rsidTr="00332C66">
        <w:tc>
          <w:tcPr>
            <w:tcW w:w="5000" w:type="pct"/>
            <w:shd w:val="clear" w:color="auto" w:fill="C0C0C0"/>
          </w:tcPr>
          <w:p w14:paraId="287B976A" w14:textId="77777777" w:rsidR="004B3B84" w:rsidRPr="00D32D37" w:rsidRDefault="00627EB2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20" w:name="_Toc71088082"/>
            <w:r>
              <w:rPr>
                <w:rFonts w:ascii="Verdana" w:hAnsi="Verdana"/>
                <w:i w:val="0"/>
                <w:iCs w:val="0"/>
              </w:rPr>
              <w:t>Paper Claims</w:t>
            </w:r>
            <w:bookmarkEnd w:id="20"/>
          </w:p>
        </w:tc>
      </w:tr>
    </w:tbl>
    <w:p w14:paraId="666A805C" w14:textId="7B22BD6B" w:rsidR="00627EB2" w:rsidRDefault="00627EB2" w:rsidP="00627EB2">
      <w:pPr>
        <w:textAlignment w:val="top"/>
        <w:rPr>
          <w:rFonts w:cs="Arial"/>
          <w:bCs/>
          <w:color w:val="333333"/>
        </w:rPr>
      </w:pPr>
      <w:r>
        <w:rPr>
          <w:rFonts w:cs="Arial"/>
          <w:bCs/>
          <w:color w:val="333333"/>
        </w:rPr>
        <w:t>The Paper Claims section provides a comprehensive list of the various types of paper claims allowed by the plan.</w:t>
      </w:r>
    </w:p>
    <w:p w14:paraId="74399A4F" w14:textId="77777777" w:rsidR="004B3B84" w:rsidRPr="008230FA" w:rsidRDefault="004B3B84" w:rsidP="004B3B84">
      <w:pPr>
        <w:textAlignment w:val="top"/>
        <w:rPr>
          <w:rFonts w:cs="Arial"/>
          <w:bCs/>
          <w:color w:val="333333"/>
        </w:rPr>
      </w:pPr>
    </w:p>
    <w:p w14:paraId="60E1B498" w14:textId="77777777" w:rsidR="004B3B84" w:rsidRPr="00EB1F94" w:rsidRDefault="004B3B84" w:rsidP="004B3B84">
      <w:pPr>
        <w:rPr>
          <w:b/>
        </w:rPr>
      </w:pPr>
    </w:p>
    <w:p w14:paraId="4DDA1AA3" w14:textId="77777777" w:rsidR="004B3B84" w:rsidRDefault="001C32F7" w:rsidP="004B3B84">
      <w:pPr>
        <w:jc w:val="right"/>
      </w:pPr>
      <w:hyperlink w:anchor="_top" w:history="1">
        <w:r w:rsidR="004B3B84" w:rsidRPr="00E56D4B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B3B84" w:rsidRPr="00BF74E9" w14:paraId="0C26B92A" w14:textId="77777777" w:rsidTr="00627EB2">
        <w:tc>
          <w:tcPr>
            <w:tcW w:w="5000" w:type="pct"/>
            <w:shd w:val="clear" w:color="auto" w:fill="C0C0C0"/>
          </w:tcPr>
          <w:p w14:paraId="433CBCE0" w14:textId="77777777" w:rsidR="004B3B84" w:rsidRPr="00D32D37" w:rsidRDefault="00627EB2" w:rsidP="00332C66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21" w:name="_Toc71088083"/>
            <w:r>
              <w:rPr>
                <w:rFonts w:ascii="Verdana" w:hAnsi="Verdana"/>
                <w:i w:val="0"/>
                <w:iCs w:val="0"/>
              </w:rPr>
              <w:t>Client Program &amp; Offerings</w:t>
            </w:r>
            <w:bookmarkEnd w:id="21"/>
            <w:r w:rsidR="004B3B84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449A474A" w14:textId="77777777" w:rsidR="00627EB2" w:rsidRDefault="00627EB2" w:rsidP="00627EB2">
      <w:r>
        <w:t>This section outlines the Client Programs and Offerings available to members.</w:t>
      </w:r>
    </w:p>
    <w:p w14:paraId="6DADC336" w14:textId="77777777" w:rsidR="004B3B84" w:rsidRDefault="004B3B84" w:rsidP="00AD7AB4"/>
    <w:p w14:paraId="3E26ECF2" w14:textId="547B6F53" w:rsidR="00627EB2" w:rsidRDefault="002559A9" w:rsidP="00627EB2">
      <w:pPr>
        <w:jc w:val="center"/>
      </w:pPr>
      <w:r w:rsidRPr="00A300FC">
        <w:rPr>
          <w:noProof/>
        </w:rPr>
        <w:drawing>
          <wp:inline distT="0" distB="0" distL="0" distR="0" wp14:anchorId="7C03F558" wp14:editId="10101828">
            <wp:extent cx="4610100" cy="1038225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F491" w14:textId="77777777" w:rsidR="004B3B84" w:rsidRPr="0065767A" w:rsidRDefault="0065767A" w:rsidP="00AD7AB4">
      <w:pPr>
        <w:rPr>
          <w:rStyle w:val="Hyperlink"/>
        </w:rPr>
      </w:pPr>
      <w:r>
        <w:fldChar w:fldCharType="begin"/>
      </w:r>
      <w:r w:rsidR="00CB2563">
        <w:instrText>HYPERLINK  \l "_top"</w:instrText>
      </w:r>
      <w:r>
        <w:fldChar w:fldCharType="separate"/>
      </w:r>
    </w:p>
    <w:p w14:paraId="5C5D1E10" w14:textId="77777777" w:rsidR="004B3B84" w:rsidRPr="0058134F" w:rsidRDefault="0065767A" w:rsidP="0065767A">
      <w:pPr>
        <w:jc w:val="right"/>
      </w:pPr>
      <w:r w:rsidRPr="0065767A">
        <w:rPr>
          <w:rStyle w:val="Hyperlink"/>
        </w:rPr>
        <w:t>Top of the Document</w:t>
      </w:r>
      <w: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F81783" w:rsidRPr="0058134F" w14:paraId="5D235D1C" w14:textId="77777777" w:rsidTr="00627EB2">
        <w:tc>
          <w:tcPr>
            <w:tcW w:w="5000" w:type="pct"/>
            <w:shd w:val="clear" w:color="auto" w:fill="C0C0C0"/>
          </w:tcPr>
          <w:p w14:paraId="7B573F46" w14:textId="77777777" w:rsidR="00F81783" w:rsidRPr="0058134F" w:rsidRDefault="00627EB2" w:rsidP="004F7F34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22" w:name="_Toc71088084"/>
            <w:r>
              <w:rPr>
                <w:rFonts w:ascii="Verdana" w:hAnsi="Verdana"/>
                <w:i w:val="0"/>
                <w:iCs w:val="0"/>
              </w:rPr>
              <w:t>Grievances</w:t>
            </w:r>
            <w:bookmarkEnd w:id="22"/>
          </w:p>
        </w:tc>
      </w:tr>
    </w:tbl>
    <w:p w14:paraId="30B7DE9A" w14:textId="77777777" w:rsidR="00627EB2" w:rsidRDefault="00627EB2" w:rsidP="00627EB2">
      <w:r>
        <w:t>The Grievance section contains details about who handles submitting a Grievance and any client specific instructions or sensitivities about how to handle them.</w:t>
      </w:r>
    </w:p>
    <w:p w14:paraId="18E39536" w14:textId="77777777" w:rsidR="001F5947" w:rsidRPr="0058134F" w:rsidRDefault="001F5947" w:rsidP="00EB1F94">
      <w:pPr>
        <w:rPr>
          <w:b/>
        </w:rPr>
      </w:pPr>
    </w:p>
    <w:p w14:paraId="6DDFF53B" w14:textId="77777777" w:rsidR="00F81783" w:rsidRPr="0058134F" w:rsidRDefault="001C32F7" w:rsidP="00F81783">
      <w:pPr>
        <w:jc w:val="right"/>
      </w:pPr>
      <w:hyperlink w:anchor="_top" w:history="1">
        <w:r w:rsidR="00F81783" w:rsidRPr="0058134F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86108" w:rsidRPr="0058134F" w14:paraId="17691A62" w14:textId="77777777" w:rsidTr="00627EB2">
        <w:tc>
          <w:tcPr>
            <w:tcW w:w="5000" w:type="pct"/>
            <w:shd w:val="clear" w:color="auto" w:fill="C0C0C0"/>
          </w:tcPr>
          <w:p w14:paraId="43CFD69D" w14:textId="77777777" w:rsidR="00486108" w:rsidRPr="0058134F" w:rsidRDefault="00627EB2" w:rsidP="00F62BC4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23" w:name="_Toc71088085"/>
            <w:r>
              <w:rPr>
                <w:rFonts w:ascii="Verdana" w:hAnsi="Verdana"/>
                <w:i w:val="0"/>
                <w:iCs w:val="0"/>
              </w:rPr>
              <w:t>Fraud, Waste and Abuse</w:t>
            </w:r>
            <w:bookmarkEnd w:id="23"/>
            <w:r w:rsidR="00AC6E70" w:rsidRPr="0058134F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3625D0CF" w14:textId="77777777" w:rsidR="00627EB2" w:rsidRDefault="00627EB2" w:rsidP="00627EB2">
      <w:r>
        <w:t xml:space="preserve">The Fraud, Waste, and Abuse section contains details about who handles FWA claims and instructions on how to process FWA issues. </w:t>
      </w:r>
    </w:p>
    <w:p w14:paraId="181709D0" w14:textId="77777777" w:rsidR="00C837BA" w:rsidRPr="00565ACF" w:rsidRDefault="00C837BA" w:rsidP="00C837BA">
      <w:pPr>
        <w:textAlignment w:val="top"/>
        <w:rPr>
          <w:rFonts w:cs="Arial"/>
          <w:bCs/>
        </w:rPr>
      </w:pPr>
    </w:p>
    <w:p w14:paraId="46E0296F" w14:textId="77777777" w:rsidR="00486108" w:rsidRPr="0058134F" w:rsidRDefault="001C32F7" w:rsidP="00C837BA">
      <w:pPr>
        <w:jc w:val="right"/>
      </w:pPr>
      <w:hyperlink w:anchor="_top" w:history="1">
        <w:r w:rsidR="00C837BA" w:rsidRPr="0058134F">
          <w:rPr>
            <w:rStyle w:val="Hyperlink"/>
          </w:rPr>
          <w:t>Top of the Document</w:t>
        </w:r>
      </w:hyperlink>
      <w:r w:rsidR="00486108" w:rsidRPr="0058134F">
        <w:rPr>
          <w:rFonts w:cs="Arial"/>
          <w:bCs/>
          <w:color w:val="333333"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F81783" w:rsidRPr="0058134F" w14:paraId="0FB002DB" w14:textId="77777777" w:rsidTr="00627EB2">
        <w:tc>
          <w:tcPr>
            <w:tcW w:w="5000" w:type="pct"/>
            <w:shd w:val="clear" w:color="auto" w:fill="C0C0C0"/>
          </w:tcPr>
          <w:p w14:paraId="20A25BFF" w14:textId="77777777" w:rsidR="00F81783" w:rsidRPr="0058134F" w:rsidRDefault="00627EB2" w:rsidP="004F7F34">
            <w:pPr>
              <w:pStyle w:val="Heading2"/>
              <w:tabs>
                <w:tab w:val="left" w:pos="11985"/>
              </w:tabs>
              <w:rPr>
                <w:rFonts w:ascii="Verdana" w:hAnsi="Verdana"/>
                <w:i w:val="0"/>
                <w:iCs w:val="0"/>
              </w:rPr>
            </w:pPr>
            <w:bookmarkStart w:id="24" w:name="_Parent_SOP"/>
            <w:bookmarkStart w:id="25" w:name="_Toc71088086"/>
            <w:bookmarkEnd w:id="24"/>
            <w:r>
              <w:rPr>
                <w:rFonts w:ascii="Verdana" w:hAnsi="Verdana"/>
                <w:i w:val="0"/>
                <w:iCs w:val="0"/>
              </w:rPr>
              <w:t>Related Content</w:t>
            </w:r>
            <w:bookmarkEnd w:id="25"/>
          </w:p>
        </w:tc>
      </w:tr>
    </w:tbl>
    <w:p w14:paraId="6E6A4E64" w14:textId="77777777" w:rsidR="00627EB2" w:rsidRDefault="00627EB2" w:rsidP="00627EB2">
      <w:pPr>
        <w:textAlignment w:val="top"/>
        <w:rPr>
          <w:rFonts w:cs="Arial"/>
          <w:bCs/>
        </w:rPr>
      </w:pPr>
      <w:r>
        <w:rPr>
          <w:rFonts w:cs="Arial"/>
          <w:bCs/>
        </w:rPr>
        <w:t>This section provides links to related content (samples) for the client, such as Job Aids, Drug List, Matrices, etc.</w:t>
      </w:r>
    </w:p>
    <w:p w14:paraId="7F4E536D" w14:textId="77777777" w:rsidR="00627EB2" w:rsidRDefault="00627EB2" w:rsidP="00627EB2">
      <w:pPr>
        <w:textAlignment w:val="top"/>
        <w:rPr>
          <w:rFonts w:cs="Arial"/>
          <w:bCs/>
          <w:color w:val="333333"/>
        </w:rPr>
      </w:pPr>
    </w:p>
    <w:p w14:paraId="7AE37B99" w14:textId="1E8CEBCD" w:rsidR="00627EB2" w:rsidRPr="008230FA" w:rsidRDefault="002559A9" w:rsidP="00627EB2">
      <w:pPr>
        <w:jc w:val="center"/>
        <w:textAlignment w:val="top"/>
        <w:rPr>
          <w:rFonts w:cs="Arial"/>
          <w:bCs/>
          <w:color w:val="333333"/>
        </w:rPr>
      </w:pPr>
      <w:r>
        <w:rPr>
          <w:rFonts w:cs="Arial"/>
          <w:bCs/>
          <w:noProof/>
          <w:color w:val="333333"/>
        </w:rPr>
        <w:drawing>
          <wp:inline distT="0" distB="0" distL="0" distR="0" wp14:anchorId="3EE82256" wp14:editId="4A579F73">
            <wp:extent cx="5486400" cy="628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42486" w14:textId="77777777" w:rsidR="00F81783" w:rsidRPr="0058134F" w:rsidRDefault="00F81783" w:rsidP="00F81783"/>
    <w:p w14:paraId="289A1A1F" w14:textId="77777777" w:rsidR="007A403E" w:rsidRDefault="001C32F7" w:rsidP="0065767A">
      <w:pPr>
        <w:jc w:val="right"/>
      </w:pPr>
      <w:hyperlink w:anchor="_top" w:history="1">
        <w:r w:rsidR="0065767A" w:rsidRPr="0065767A">
          <w:rPr>
            <w:rStyle w:val="Hyperlink"/>
          </w:rPr>
          <w:t>Top of the Document</w:t>
        </w:r>
      </w:hyperlink>
    </w:p>
    <w:p w14:paraId="3AE8F167" w14:textId="77777777" w:rsidR="0065767A" w:rsidRPr="0058134F" w:rsidRDefault="0065767A" w:rsidP="0065767A">
      <w:pPr>
        <w:jc w:val="right"/>
      </w:pPr>
    </w:p>
    <w:p w14:paraId="1581C39A" w14:textId="77777777" w:rsidR="00710E68" w:rsidRPr="0058134F" w:rsidRDefault="00710E68" w:rsidP="00C247CB">
      <w:pPr>
        <w:jc w:val="center"/>
        <w:rPr>
          <w:sz w:val="16"/>
          <w:szCs w:val="16"/>
        </w:rPr>
      </w:pPr>
      <w:r w:rsidRPr="0058134F">
        <w:rPr>
          <w:sz w:val="16"/>
          <w:szCs w:val="16"/>
        </w:rPr>
        <w:t xml:space="preserve">Not To Be Reproduced </w:t>
      </w:r>
      <w:proofErr w:type="gramStart"/>
      <w:r w:rsidRPr="0058134F">
        <w:rPr>
          <w:sz w:val="16"/>
          <w:szCs w:val="16"/>
        </w:rPr>
        <w:t>Or</w:t>
      </w:r>
      <w:proofErr w:type="gramEnd"/>
      <w:r w:rsidRPr="0058134F">
        <w:rPr>
          <w:sz w:val="16"/>
          <w:szCs w:val="16"/>
        </w:rPr>
        <w:t xml:space="preserve"> Disclosed to Others Without Prior Written Approval</w:t>
      </w:r>
    </w:p>
    <w:p w14:paraId="2E39B3DA" w14:textId="77777777" w:rsidR="00710E68" w:rsidRPr="0058134F" w:rsidRDefault="00710E68" w:rsidP="00C247CB">
      <w:pPr>
        <w:jc w:val="center"/>
        <w:rPr>
          <w:b/>
          <w:color w:val="000000"/>
          <w:sz w:val="16"/>
          <w:szCs w:val="16"/>
        </w:rPr>
      </w:pPr>
      <w:r w:rsidRPr="0058134F">
        <w:rPr>
          <w:b/>
          <w:color w:val="000000"/>
          <w:sz w:val="16"/>
          <w:szCs w:val="16"/>
        </w:rPr>
        <w:t>ELECTRONIC DATA = OFFICIAL VERSION – PAPER COPY – INFORMATIONAL ONLY</w:t>
      </w:r>
    </w:p>
    <w:p w14:paraId="76B581EA" w14:textId="77777777" w:rsidR="005A64DA" w:rsidRPr="0058134F" w:rsidRDefault="005A64DA" w:rsidP="00C247CB">
      <w:pPr>
        <w:jc w:val="center"/>
        <w:rPr>
          <w:sz w:val="16"/>
          <w:szCs w:val="16"/>
        </w:rPr>
      </w:pPr>
    </w:p>
    <w:sectPr w:rsidR="005A64DA" w:rsidRPr="0058134F" w:rsidSect="00EB1F94">
      <w:footerReference w:type="default" r:id="rId31"/>
      <w:headerReference w:type="first" r:id="rId32"/>
      <w:footerReference w:type="first" r:id="rId33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1EC0B" w14:textId="77777777" w:rsidR="003771A7" w:rsidRDefault="003771A7">
      <w:r>
        <w:separator/>
      </w:r>
    </w:p>
  </w:endnote>
  <w:endnote w:type="continuationSeparator" w:id="0">
    <w:p w14:paraId="06D6663F" w14:textId="77777777" w:rsidR="003771A7" w:rsidRDefault="00377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2E5D0" w14:textId="77777777" w:rsidR="00C476E1" w:rsidRPr="00C32D18" w:rsidRDefault="00C32D18" w:rsidP="00C32D18">
    <w:pPr>
      <w:pStyle w:val="Footer"/>
      <w:jc w:val="right"/>
      <w:rPr>
        <w:szCs w:val="18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067B9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C1166" w14:textId="77777777" w:rsidR="00C476E1" w:rsidRPr="00CD2229" w:rsidRDefault="00C476E1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A08A5" w14:textId="77777777" w:rsidR="003771A7" w:rsidRDefault="003771A7">
      <w:r>
        <w:separator/>
      </w:r>
    </w:p>
  </w:footnote>
  <w:footnote w:type="continuationSeparator" w:id="0">
    <w:p w14:paraId="0E0EBEF3" w14:textId="77777777" w:rsidR="003771A7" w:rsidRDefault="003771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2564B" w14:textId="77777777" w:rsidR="00C476E1" w:rsidRDefault="00C476E1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B14A2"/>
    <w:multiLevelType w:val="hybridMultilevel"/>
    <w:tmpl w:val="248A4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57571"/>
    <w:multiLevelType w:val="hybridMultilevel"/>
    <w:tmpl w:val="987AFDFA"/>
    <w:lvl w:ilvl="0" w:tplc="D77EA342">
      <w:start w:val="1"/>
      <w:numFmt w:val="bullet"/>
      <w:lvlText w:val=""/>
      <w:lvlJc w:val="left"/>
      <w:pPr>
        <w:tabs>
          <w:tab w:val="num" w:pos="440"/>
        </w:tabs>
        <w:ind w:left="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2" w15:restartNumberingAfterBreak="0">
    <w:nsid w:val="0C7F2874"/>
    <w:multiLevelType w:val="singleLevel"/>
    <w:tmpl w:val="3C84F5D2"/>
    <w:lvl w:ilvl="0">
      <w:start w:val="1"/>
      <w:numFmt w:val="bullet"/>
      <w:pStyle w:val="Do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0996995"/>
    <w:multiLevelType w:val="hybridMultilevel"/>
    <w:tmpl w:val="8BE09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995224"/>
    <w:multiLevelType w:val="hybridMultilevel"/>
    <w:tmpl w:val="2A28A3B4"/>
    <w:lvl w:ilvl="0" w:tplc="D77EA34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55B2F"/>
    <w:multiLevelType w:val="hybridMultilevel"/>
    <w:tmpl w:val="B798E4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DA3AB6"/>
    <w:multiLevelType w:val="hybridMultilevel"/>
    <w:tmpl w:val="2B50E18A"/>
    <w:lvl w:ilvl="0" w:tplc="D77EA34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801EE"/>
    <w:multiLevelType w:val="hybridMultilevel"/>
    <w:tmpl w:val="5084270E"/>
    <w:lvl w:ilvl="0" w:tplc="BFC2E8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position w:val="0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B84971"/>
    <w:multiLevelType w:val="hybridMultilevel"/>
    <w:tmpl w:val="80026C0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ADC79DE"/>
    <w:multiLevelType w:val="hybridMultilevel"/>
    <w:tmpl w:val="0B12FB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E36786F"/>
    <w:multiLevelType w:val="hybridMultilevel"/>
    <w:tmpl w:val="472CDEC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33F2127D"/>
    <w:multiLevelType w:val="hybridMultilevel"/>
    <w:tmpl w:val="CD886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6017CB"/>
    <w:multiLevelType w:val="hybridMultilevel"/>
    <w:tmpl w:val="E012C512"/>
    <w:lvl w:ilvl="0" w:tplc="7FD6A68C">
      <w:start w:val="1"/>
      <w:numFmt w:val="lowerRoman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48FB001D"/>
    <w:multiLevelType w:val="hybridMultilevel"/>
    <w:tmpl w:val="323A2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22294E"/>
    <w:multiLevelType w:val="hybridMultilevel"/>
    <w:tmpl w:val="A7D64B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0F91C1D"/>
    <w:multiLevelType w:val="hybridMultilevel"/>
    <w:tmpl w:val="E1B8E304"/>
    <w:lvl w:ilvl="0" w:tplc="8BD858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6A40C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2C2157"/>
    <w:multiLevelType w:val="hybridMultilevel"/>
    <w:tmpl w:val="A26EC0FE"/>
    <w:lvl w:ilvl="0" w:tplc="3B6E52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8D0F88"/>
    <w:multiLevelType w:val="hybridMultilevel"/>
    <w:tmpl w:val="9C8AF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2F698C"/>
    <w:multiLevelType w:val="hybridMultilevel"/>
    <w:tmpl w:val="DAC6757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658149A"/>
    <w:multiLevelType w:val="hybridMultilevel"/>
    <w:tmpl w:val="2ACA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5F79B2"/>
    <w:multiLevelType w:val="hybridMultilevel"/>
    <w:tmpl w:val="D3666EC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41C14E7"/>
    <w:multiLevelType w:val="hybridMultilevel"/>
    <w:tmpl w:val="3B48BE0E"/>
    <w:lvl w:ilvl="0" w:tplc="BFC2E8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position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7622BBE"/>
    <w:multiLevelType w:val="hybridMultilevel"/>
    <w:tmpl w:val="971CA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5583118">
    <w:abstractNumId w:val="15"/>
  </w:num>
  <w:num w:numId="2" w16cid:durableId="1394965638">
    <w:abstractNumId w:val="5"/>
  </w:num>
  <w:num w:numId="3" w16cid:durableId="1930306067">
    <w:abstractNumId w:val="18"/>
  </w:num>
  <w:num w:numId="4" w16cid:durableId="1687248497">
    <w:abstractNumId w:val="20"/>
  </w:num>
  <w:num w:numId="5" w16cid:durableId="1742828624">
    <w:abstractNumId w:val="2"/>
  </w:num>
  <w:num w:numId="6" w16cid:durableId="1924022804">
    <w:abstractNumId w:val="21"/>
  </w:num>
  <w:num w:numId="7" w16cid:durableId="857767635">
    <w:abstractNumId w:val="12"/>
  </w:num>
  <w:num w:numId="8" w16cid:durableId="90638240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3864715">
    <w:abstractNumId w:val="7"/>
  </w:num>
  <w:num w:numId="10" w16cid:durableId="333341950">
    <w:abstractNumId w:val="1"/>
  </w:num>
  <w:num w:numId="11" w16cid:durableId="537744876">
    <w:abstractNumId w:val="6"/>
  </w:num>
  <w:num w:numId="12" w16cid:durableId="29888195">
    <w:abstractNumId w:val="4"/>
  </w:num>
  <w:num w:numId="13" w16cid:durableId="1885672594">
    <w:abstractNumId w:val="10"/>
  </w:num>
  <w:num w:numId="14" w16cid:durableId="1267352770">
    <w:abstractNumId w:val="8"/>
  </w:num>
  <w:num w:numId="15" w16cid:durableId="129250057">
    <w:abstractNumId w:val="16"/>
  </w:num>
  <w:num w:numId="16" w16cid:durableId="776756972">
    <w:abstractNumId w:val="22"/>
  </w:num>
  <w:num w:numId="17" w16cid:durableId="1142314292">
    <w:abstractNumId w:val="13"/>
  </w:num>
  <w:num w:numId="18" w16cid:durableId="1651515522">
    <w:abstractNumId w:val="19"/>
  </w:num>
  <w:num w:numId="19" w16cid:durableId="1404522069">
    <w:abstractNumId w:val="14"/>
  </w:num>
  <w:num w:numId="20" w16cid:durableId="1305548026">
    <w:abstractNumId w:val="11"/>
  </w:num>
  <w:num w:numId="21" w16cid:durableId="1890144894">
    <w:abstractNumId w:val="3"/>
  </w:num>
  <w:num w:numId="22" w16cid:durableId="1603490807">
    <w:abstractNumId w:val="0"/>
  </w:num>
  <w:num w:numId="23" w16cid:durableId="61805312">
    <w:abstractNumId w:val="17"/>
  </w:num>
  <w:num w:numId="24" w16cid:durableId="5129164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view w:val="web"/>
  <w:zoom w:percent="10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64"/>
    <w:rsid w:val="00015A2E"/>
    <w:rsid w:val="00035BED"/>
    <w:rsid w:val="0004181B"/>
    <w:rsid w:val="00052D65"/>
    <w:rsid w:val="00061AD2"/>
    <w:rsid w:val="000706D4"/>
    <w:rsid w:val="00077558"/>
    <w:rsid w:val="000863D4"/>
    <w:rsid w:val="000865F1"/>
    <w:rsid w:val="0008665F"/>
    <w:rsid w:val="00095AB5"/>
    <w:rsid w:val="000A6B88"/>
    <w:rsid w:val="000B3C4C"/>
    <w:rsid w:val="000B656F"/>
    <w:rsid w:val="000B72DF"/>
    <w:rsid w:val="000C3EDF"/>
    <w:rsid w:val="000D1870"/>
    <w:rsid w:val="000D2E81"/>
    <w:rsid w:val="000D4BA2"/>
    <w:rsid w:val="000D6714"/>
    <w:rsid w:val="000F0D1B"/>
    <w:rsid w:val="000F54AF"/>
    <w:rsid w:val="00104CDE"/>
    <w:rsid w:val="00107B41"/>
    <w:rsid w:val="00115944"/>
    <w:rsid w:val="0012373E"/>
    <w:rsid w:val="001360A5"/>
    <w:rsid w:val="0016273A"/>
    <w:rsid w:val="00181B1A"/>
    <w:rsid w:val="0019130B"/>
    <w:rsid w:val="001A5256"/>
    <w:rsid w:val="001B3879"/>
    <w:rsid w:val="001C32F7"/>
    <w:rsid w:val="001D5B8A"/>
    <w:rsid w:val="001E2FCE"/>
    <w:rsid w:val="001E7746"/>
    <w:rsid w:val="001F0774"/>
    <w:rsid w:val="001F1218"/>
    <w:rsid w:val="001F5947"/>
    <w:rsid w:val="002016B4"/>
    <w:rsid w:val="002055CF"/>
    <w:rsid w:val="00243EBB"/>
    <w:rsid w:val="002559A9"/>
    <w:rsid w:val="00255C6B"/>
    <w:rsid w:val="00265D86"/>
    <w:rsid w:val="002750DC"/>
    <w:rsid w:val="00291CE8"/>
    <w:rsid w:val="00296127"/>
    <w:rsid w:val="00296765"/>
    <w:rsid w:val="002A673F"/>
    <w:rsid w:val="002B593E"/>
    <w:rsid w:val="002C7CA4"/>
    <w:rsid w:val="002D0E97"/>
    <w:rsid w:val="002E6E58"/>
    <w:rsid w:val="002F1F92"/>
    <w:rsid w:val="002F6F9E"/>
    <w:rsid w:val="0032244E"/>
    <w:rsid w:val="0033143E"/>
    <w:rsid w:val="00332C66"/>
    <w:rsid w:val="0034318F"/>
    <w:rsid w:val="0034552B"/>
    <w:rsid w:val="003725A1"/>
    <w:rsid w:val="003771A7"/>
    <w:rsid w:val="003868A2"/>
    <w:rsid w:val="00392A5B"/>
    <w:rsid w:val="003A6D70"/>
    <w:rsid w:val="003B1F86"/>
    <w:rsid w:val="003C28EC"/>
    <w:rsid w:val="003C4627"/>
    <w:rsid w:val="003E6C1A"/>
    <w:rsid w:val="003F778E"/>
    <w:rsid w:val="0040640A"/>
    <w:rsid w:val="00406DB5"/>
    <w:rsid w:val="0042336D"/>
    <w:rsid w:val="00457EAE"/>
    <w:rsid w:val="004768BE"/>
    <w:rsid w:val="00477F73"/>
    <w:rsid w:val="0048355A"/>
    <w:rsid w:val="00484781"/>
    <w:rsid w:val="00486108"/>
    <w:rsid w:val="004A7C26"/>
    <w:rsid w:val="004B3B84"/>
    <w:rsid w:val="004D0AF2"/>
    <w:rsid w:val="004D3C53"/>
    <w:rsid w:val="004F7F34"/>
    <w:rsid w:val="00505588"/>
    <w:rsid w:val="00512486"/>
    <w:rsid w:val="0052465B"/>
    <w:rsid w:val="00524CDD"/>
    <w:rsid w:val="00547C68"/>
    <w:rsid w:val="00551629"/>
    <w:rsid w:val="00565A58"/>
    <w:rsid w:val="00565ACF"/>
    <w:rsid w:val="00574A0C"/>
    <w:rsid w:val="00577909"/>
    <w:rsid w:val="00577F9F"/>
    <w:rsid w:val="0058134F"/>
    <w:rsid w:val="00582E85"/>
    <w:rsid w:val="00587EE4"/>
    <w:rsid w:val="005910B5"/>
    <w:rsid w:val="005A6118"/>
    <w:rsid w:val="005A64DA"/>
    <w:rsid w:val="005B446E"/>
    <w:rsid w:val="005C1D83"/>
    <w:rsid w:val="005E650E"/>
    <w:rsid w:val="0062203F"/>
    <w:rsid w:val="00622D77"/>
    <w:rsid w:val="00627EB2"/>
    <w:rsid w:val="00627F34"/>
    <w:rsid w:val="00636B18"/>
    <w:rsid w:val="00637CA1"/>
    <w:rsid w:val="00640B0C"/>
    <w:rsid w:val="00647CDD"/>
    <w:rsid w:val="0065767A"/>
    <w:rsid w:val="00662334"/>
    <w:rsid w:val="0066617F"/>
    <w:rsid w:val="00674A16"/>
    <w:rsid w:val="00691E10"/>
    <w:rsid w:val="006A0481"/>
    <w:rsid w:val="006B17C2"/>
    <w:rsid w:val="006C653F"/>
    <w:rsid w:val="006C7B15"/>
    <w:rsid w:val="006F7DFC"/>
    <w:rsid w:val="00704AF2"/>
    <w:rsid w:val="0070776C"/>
    <w:rsid w:val="00710E68"/>
    <w:rsid w:val="00714BA0"/>
    <w:rsid w:val="00725B82"/>
    <w:rsid w:val="007269B6"/>
    <w:rsid w:val="00726E7A"/>
    <w:rsid w:val="0073294A"/>
    <w:rsid w:val="00732E52"/>
    <w:rsid w:val="00736607"/>
    <w:rsid w:val="00747397"/>
    <w:rsid w:val="00752801"/>
    <w:rsid w:val="00783030"/>
    <w:rsid w:val="00785118"/>
    <w:rsid w:val="00785C47"/>
    <w:rsid w:val="00786BEB"/>
    <w:rsid w:val="007A403E"/>
    <w:rsid w:val="007A75EA"/>
    <w:rsid w:val="007B48A0"/>
    <w:rsid w:val="007B710F"/>
    <w:rsid w:val="007C2536"/>
    <w:rsid w:val="007C77DD"/>
    <w:rsid w:val="007E3EA6"/>
    <w:rsid w:val="007F04AB"/>
    <w:rsid w:val="00803AE3"/>
    <w:rsid w:val="008042E1"/>
    <w:rsid w:val="00804D63"/>
    <w:rsid w:val="00806B9D"/>
    <w:rsid w:val="00812777"/>
    <w:rsid w:val="008230FA"/>
    <w:rsid w:val="00823D54"/>
    <w:rsid w:val="0084129E"/>
    <w:rsid w:val="00843390"/>
    <w:rsid w:val="00846373"/>
    <w:rsid w:val="00846ECB"/>
    <w:rsid w:val="008568AE"/>
    <w:rsid w:val="00860590"/>
    <w:rsid w:val="00861316"/>
    <w:rsid w:val="008614E8"/>
    <w:rsid w:val="00867EDF"/>
    <w:rsid w:val="008734D7"/>
    <w:rsid w:val="00875F0D"/>
    <w:rsid w:val="00877414"/>
    <w:rsid w:val="008825E7"/>
    <w:rsid w:val="008A03B7"/>
    <w:rsid w:val="008C178B"/>
    <w:rsid w:val="008C2197"/>
    <w:rsid w:val="008C3493"/>
    <w:rsid w:val="008D11A6"/>
    <w:rsid w:val="008D1F7B"/>
    <w:rsid w:val="008D2D64"/>
    <w:rsid w:val="008E21BE"/>
    <w:rsid w:val="00902E07"/>
    <w:rsid w:val="00913B1B"/>
    <w:rsid w:val="00927861"/>
    <w:rsid w:val="0094148C"/>
    <w:rsid w:val="00942635"/>
    <w:rsid w:val="00947783"/>
    <w:rsid w:val="00954FE8"/>
    <w:rsid w:val="00967866"/>
    <w:rsid w:val="009726E0"/>
    <w:rsid w:val="00990822"/>
    <w:rsid w:val="009A058A"/>
    <w:rsid w:val="009C4A31"/>
    <w:rsid w:val="009E00C2"/>
    <w:rsid w:val="009F6FD2"/>
    <w:rsid w:val="009F78D3"/>
    <w:rsid w:val="00A20618"/>
    <w:rsid w:val="00A31F37"/>
    <w:rsid w:val="00A4732A"/>
    <w:rsid w:val="00A57D26"/>
    <w:rsid w:val="00A7166B"/>
    <w:rsid w:val="00A71B4C"/>
    <w:rsid w:val="00A72DEB"/>
    <w:rsid w:val="00A816B8"/>
    <w:rsid w:val="00A83BA0"/>
    <w:rsid w:val="00A84F18"/>
    <w:rsid w:val="00A85045"/>
    <w:rsid w:val="00A9455B"/>
    <w:rsid w:val="00A95738"/>
    <w:rsid w:val="00A97B7D"/>
    <w:rsid w:val="00AA2252"/>
    <w:rsid w:val="00AA4825"/>
    <w:rsid w:val="00AB33E1"/>
    <w:rsid w:val="00AC1C3B"/>
    <w:rsid w:val="00AC4214"/>
    <w:rsid w:val="00AC6E70"/>
    <w:rsid w:val="00AD1646"/>
    <w:rsid w:val="00AD7AB4"/>
    <w:rsid w:val="00AF038B"/>
    <w:rsid w:val="00AF78FA"/>
    <w:rsid w:val="00B02B8E"/>
    <w:rsid w:val="00B078F6"/>
    <w:rsid w:val="00B26045"/>
    <w:rsid w:val="00B44C55"/>
    <w:rsid w:val="00B46A95"/>
    <w:rsid w:val="00B5114C"/>
    <w:rsid w:val="00B5123C"/>
    <w:rsid w:val="00B544C2"/>
    <w:rsid w:val="00B5566F"/>
    <w:rsid w:val="00B630A6"/>
    <w:rsid w:val="00B70CC4"/>
    <w:rsid w:val="00B903F1"/>
    <w:rsid w:val="00BB02DE"/>
    <w:rsid w:val="00BB371A"/>
    <w:rsid w:val="00BD4F05"/>
    <w:rsid w:val="00BD5E06"/>
    <w:rsid w:val="00BD7B25"/>
    <w:rsid w:val="00BE002B"/>
    <w:rsid w:val="00BE1AFF"/>
    <w:rsid w:val="00BF74E9"/>
    <w:rsid w:val="00C222E7"/>
    <w:rsid w:val="00C247CB"/>
    <w:rsid w:val="00C300A8"/>
    <w:rsid w:val="00C32D18"/>
    <w:rsid w:val="00C360BD"/>
    <w:rsid w:val="00C476E1"/>
    <w:rsid w:val="00C52E77"/>
    <w:rsid w:val="00C566B3"/>
    <w:rsid w:val="00C65249"/>
    <w:rsid w:val="00C67B32"/>
    <w:rsid w:val="00C72007"/>
    <w:rsid w:val="00C75C83"/>
    <w:rsid w:val="00C80F5D"/>
    <w:rsid w:val="00C837BA"/>
    <w:rsid w:val="00C95346"/>
    <w:rsid w:val="00CA3B23"/>
    <w:rsid w:val="00CA62F6"/>
    <w:rsid w:val="00CB0C1D"/>
    <w:rsid w:val="00CB2563"/>
    <w:rsid w:val="00CC0C5F"/>
    <w:rsid w:val="00CC5AA2"/>
    <w:rsid w:val="00CC721A"/>
    <w:rsid w:val="00CD0963"/>
    <w:rsid w:val="00CD5C71"/>
    <w:rsid w:val="00CE3D42"/>
    <w:rsid w:val="00CE53E6"/>
    <w:rsid w:val="00CE53F7"/>
    <w:rsid w:val="00CE66B6"/>
    <w:rsid w:val="00CF539A"/>
    <w:rsid w:val="00CF6131"/>
    <w:rsid w:val="00D06EAA"/>
    <w:rsid w:val="00D07859"/>
    <w:rsid w:val="00D27883"/>
    <w:rsid w:val="00D36733"/>
    <w:rsid w:val="00D471B5"/>
    <w:rsid w:val="00D471C4"/>
    <w:rsid w:val="00D571DB"/>
    <w:rsid w:val="00D6774D"/>
    <w:rsid w:val="00D75191"/>
    <w:rsid w:val="00D76195"/>
    <w:rsid w:val="00D80929"/>
    <w:rsid w:val="00D85254"/>
    <w:rsid w:val="00D92FCF"/>
    <w:rsid w:val="00DC1D2F"/>
    <w:rsid w:val="00DC4FFC"/>
    <w:rsid w:val="00DC64A1"/>
    <w:rsid w:val="00DE79F7"/>
    <w:rsid w:val="00DF6BE4"/>
    <w:rsid w:val="00E157BC"/>
    <w:rsid w:val="00E20744"/>
    <w:rsid w:val="00E414EC"/>
    <w:rsid w:val="00E45AF2"/>
    <w:rsid w:val="00E50E4A"/>
    <w:rsid w:val="00E56C3F"/>
    <w:rsid w:val="00E605A6"/>
    <w:rsid w:val="00E650D0"/>
    <w:rsid w:val="00E74C4A"/>
    <w:rsid w:val="00E76334"/>
    <w:rsid w:val="00E91F5F"/>
    <w:rsid w:val="00EB12DD"/>
    <w:rsid w:val="00EB153E"/>
    <w:rsid w:val="00EB1F94"/>
    <w:rsid w:val="00EB57EB"/>
    <w:rsid w:val="00EC0271"/>
    <w:rsid w:val="00EC6F2C"/>
    <w:rsid w:val="00ED50CF"/>
    <w:rsid w:val="00EE5945"/>
    <w:rsid w:val="00EF5CA8"/>
    <w:rsid w:val="00F067B9"/>
    <w:rsid w:val="00F1152F"/>
    <w:rsid w:val="00F207B3"/>
    <w:rsid w:val="00F5486B"/>
    <w:rsid w:val="00F62BC4"/>
    <w:rsid w:val="00F633CE"/>
    <w:rsid w:val="00F658E0"/>
    <w:rsid w:val="00F6686D"/>
    <w:rsid w:val="00F81783"/>
    <w:rsid w:val="00F82AA0"/>
    <w:rsid w:val="00F8475D"/>
    <w:rsid w:val="00F859B7"/>
    <w:rsid w:val="00F877B4"/>
    <w:rsid w:val="00FB0924"/>
    <w:rsid w:val="00FB2D67"/>
    <w:rsid w:val="00FB3DBC"/>
    <w:rsid w:val="00FC1C44"/>
    <w:rsid w:val="00FF6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61C5AC"/>
  <w15:chartTrackingRefBased/>
  <w15:docId w15:val="{37A2F68A-F955-49CE-8789-B7125B012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20744"/>
    <w:rPr>
      <w:rFonts w:ascii="Verdana" w:hAnsi="Verdana"/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spacing w:after="120"/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rsid w:val="00E50E4A"/>
    <w:pPr>
      <w:spacing w:after="120"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rsid w:val="00255C6B"/>
    <w:pPr>
      <w:spacing w:before="100" w:beforeAutospacing="1" w:after="100" w:afterAutospacing="1"/>
    </w:pPr>
  </w:style>
  <w:style w:type="paragraph" w:customStyle="1" w:styleId="Dotbullet">
    <w:name w:val="Dot bullet"/>
    <w:basedOn w:val="Normal"/>
    <w:rsid w:val="00725B82"/>
    <w:pPr>
      <w:widowControl w:val="0"/>
      <w:numPr>
        <w:numId w:val="5"/>
      </w:numPr>
      <w:tabs>
        <w:tab w:val="clear" w:pos="360"/>
        <w:tab w:val="num" w:pos="720"/>
      </w:tabs>
      <w:ind w:left="720"/>
    </w:pPr>
    <w:rPr>
      <w:snapToGrid w:val="0"/>
      <w:szCs w:val="20"/>
    </w:rPr>
  </w:style>
  <w:style w:type="character" w:customStyle="1" w:styleId="Heading2Char">
    <w:name w:val="Heading 2 Char"/>
    <w:link w:val="Heading2"/>
    <w:semiHidden/>
    <w:locked/>
    <w:rsid w:val="00AD7AB4"/>
    <w:rPr>
      <w:rFonts w:ascii="Arial" w:hAnsi="Arial" w:cs="Arial"/>
      <w:b/>
      <w:bCs/>
      <w:i/>
      <w:iCs/>
      <w:sz w:val="28"/>
      <w:szCs w:val="28"/>
      <w:lang w:val="en-US" w:eastAsia="en-US" w:bidi="ar-SA"/>
    </w:rPr>
  </w:style>
  <w:style w:type="character" w:styleId="PageNumber">
    <w:name w:val="page number"/>
    <w:basedOn w:val="DefaultParagraphFont"/>
    <w:rsid w:val="00C32D18"/>
  </w:style>
  <w:style w:type="paragraph" w:styleId="BalloonText">
    <w:name w:val="Balloon Text"/>
    <w:basedOn w:val="Normal"/>
    <w:link w:val="BalloonTextChar"/>
    <w:rsid w:val="00052D65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rsid w:val="00F8475D"/>
    <w:pPr>
      <w:tabs>
        <w:tab w:val="right" w:leader="dot" w:pos="12950"/>
      </w:tabs>
    </w:pPr>
    <w:rPr>
      <w:color w:val="0000FF"/>
      <w:u w:val="single"/>
    </w:rPr>
  </w:style>
  <w:style w:type="character" w:customStyle="1" w:styleId="BalloonTextChar">
    <w:name w:val="Balloon Text Char"/>
    <w:link w:val="BalloonText"/>
    <w:rsid w:val="00052D65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02B8E"/>
    <w:rPr>
      <w:rFonts w:ascii="Verdana" w:hAnsi="Verdan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6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6F2B3C1958C64099989C83849CBEF8" ma:contentTypeVersion="0" ma:contentTypeDescription="Create a new document." ma:contentTypeScope="" ma:versionID="bbc326bddea1d5ecc73d8fbe3407fb26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B6FEE64-742D-4EFE-A061-FB1A2D5B93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772198-2C28-40FB-B0E9-1620BF0AB0A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DE827BE-3898-444E-B765-C151C5DAD6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9B7F0F21-0A80-4FAC-93B9-7D5BF926B81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0</TotalTime>
  <Pages>1</Pages>
  <Words>761</Words>
  <Characters>4310</Characters>
  <Application>Microsoft Office Word</Application>
  <DocSecurity>6</DocSecurity>
  <Lines>201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Document</vt:lpstr>
    </vt:vector>
  </TitlesOfParts>
  <Company>Caremark RX</Company>
  <LinksUpToDate>false</LinksUpToDate>
  <CharactersWithSpaces>5004</CharactersWithSpaces>
  <SharedDoc>false</SharedDoc>
  <HLinks>
    <vt:vector size="264" baseType="variant">
      <vt:variant>
        <vt:i4>262192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1572919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_Toc71088086</vt:lpwstr>
      </vt:variant>
      <vt:variant>
        <vt:i4>1769527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_Toc71088085</vt:lpwstr>
      </vt:variant>
      <vt:variant>
        <vt:i4>1703991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_Toc71088084</vt:lpwstr>
      </vt:variant>
      <vt:variant>
        <vt:i4>1900599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_Toc71088083</vt:lpwstr>
      </vt:variant>
      <vt:variant>
        <vt:i4>1835063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_Toc71088082</vt:lpwstr>
      </vt:variant>
      <vt:variant>
        <vt:i4>2031671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_Toc71088081</vt:lpwstr>
      </vt:variant>
      <vt:variant>
        <vt:i4>1966135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_Toc71088080</vt:lpwstr>
      </vt:variant>
      <vt:variant>
        <vt:i4>1507384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_Toc71088079</vt:lpwstr>
      </vt:variant>
      <vt:variant>
        <vt:i4>1441848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_Toc71088078</vt:lpwstr>
      </vt:variant>
      <vt:variant>
        <vt:i4>1638456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_Toc71088077</vt:lpwstr>
      </vt:variant>
      <vt:variant>
        <vt:i4>1572920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_Toc71088076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_Toc71088075</vt:lpwstr>
      </vt:variant>
      <vt:variant>
        <vt:i4>1703992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_Toc71088074</vt:lpwstr>
      </vt:variant>
      <vt:variant>
        <vt:i4>1900600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_Toc71088073</vt:lpwstr>
      </vt:variant>
      <vt:variant>
        <vt:i4>1835064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_Toc71088072</vt:lpwstr>
      </vt:variant>
      <vt:variant>
        <vt:i4>2031672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_Toc71088071</vt:lpwstr>
      </vt:variant>
      <vt:variant>
        <vt:i4>1966136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_Toc71088070</vt:lpwstr>
      </vt:variant>
      <vt:variant>
        <vt:i4>1507385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_Toc71088069</vt:lpwstr>
      </vt:variant>
      <vt:variant>
        <vt:i4>1441849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_Toc71088068</vt:lpwstr>
      </vt:variant>
      <vt:variant>
        <vt:i4>1638457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_Toc71088067</vt:lpwstr>
      </vt:variant>
      <vt:variant>
        <vt:i4>1572921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_Toc71088066</vt:lpwstr>
      </vt:variant>
      <vt:variant>
        <vt:i4>1769529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_Toc71088065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David Davis</dc:creator>
  <cp:keywords/>
  <cp:lastModifiedBy>Christian, Nathan A.</cp:lastModifiedBy>
  <cp:revision>2</cp:revision>
  <cp:lastPrinted>2007-01-03T16:56:00Z</cp:lastPrinted>
  <dcterms:created xsi:type="dcterms:W3CDTF">2023-04-19T12:34:00Z</dcterms:created>
  <dcterms:modified xsi:type="dcterms:W3CDTF">2023-04-19T12:34:00Z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0x010100BA6F2B3C1958C64099989C83849CBEF8</vt:lpwstr>
  </property>
  <property fmtid="{D5CDD505-2E9C-101B-9397-08002B2CF9AE}" pid="3" name="MSIP_Label_67599526-06ca-49cc-9fa9-5307800a949a_Enabled">
    <vt:lpwstr>true</vt:lpwstr>
  </property>
  <property fmtid="{D5CDD505-2E9C-101B-9397-08002B2CF9AE}" pid="4" name="MSIP_Label_67599526-06ca-49cc-9fa9-5307800a949a_SetDate">
    <vt:lpwstr>2023-04-18T19:08:03Z</vt:lpwstr>
  </property>
  <property fmtid="{D5CDD505-2E9C-101B-9397-08002B2CF9AE}" pid="5" name="MSIP_Label_67599526-06ca-49cc-9fa9-5307800a949a_Method">
    <vt:lpwstr>Standard</vt:lpwstr>
  </property>
  <property fmtid="{D5CDD505-2E9C-101B-9397-08002B2CF9AE}" pid="6" name="MSIP_Label_67599526-06ca-49cc-9fa9-5307800a949a_Name">
    <vt:lpwstr>67599526-06ca-49cc-9fa9-5307800a949a</vt:lpwstr>
  </property>
  <property fmtid="{D5CDD505-2E9C-101B-9397-08002B2CF9AE}" pid="7" name="MSIP_Label_67599526-06ca-49cc-9fa9-5307800a949a_SiteId">
    <vt:lpwstr>fabb61b8-3afe-4e75-b934-a47f782b8cd7</vt:lpwstr>
  </property>
  <property fmtid="{D5CDD505-2E9C-101B-9397-08002B2CF9AE}" pid="8" name="MSIP_Label_67599526-06ca-49cc-9fa9-5307800a949a_ActionId">
    <vt:lpwstr>62b824ad-d97c-41f6-8d37-fa9dfdcf9417</vt:lpwstr>
  </property>
  <property fmtid="{D5CDD505-2E9C-101B-9397-08002B2CF9AE}" pid="9" name="MSIP_Label_67599526-06ca-49cc-9fa9-5307800a949a_ContentBits">
    <vt:lpwstr>0</vt:lpwstr>
  </property>
</Properties>
</file>