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A365D"/>
          <w:sz w:val="44"/>
        </w:rPr>
        <w:t>Question 2: Twelve Thousand Tenders, Wearing Disguises</w:t>
      </w:r>
    </w:p>
    <w:p>
      <w:pPr>
        <w:spacing w:after="160"/>
      </w:pPr>
      <w:r>
        <w:rPr>
          <w:color w:val="2B6CB0"/>
          <w:sz w:val="26"/>
        </w:rPr>
        <w:t>SetuBid Scalable Deduplication Pipeline &amp; Empirical Defense Report</w:t>
      </w:r>
    </w:p>
    <w:p>
      <w:pPr>
        <w:spacing w:after="280"/>
      </w:pPr>
      <w:r>
        <w:rPr>
          <w:i/>
          <w:color w:val="718096"/>
          <w:sz w:val="17"/>
        </w:rPr>
        <w:t>Execution Environment: Docker (PostgreSQL 16 + Python 3.11)  |  Corpus: 12,000 notices across 260 portals  |  Date: September 18, 2026</w:t>
      </w:r>
    </w:p>
    <w:tbl>
      <w:tblPr>
        <w:tblW w:type="auto" w:w="0"/>
        <w:jc w:val="center"/>
        <w:tblLook w:firstColumn="1" w:firstRow="1" w:lastColumn="0" w:lastRow="0" w:noHBand="0" w:noVBand="1" w:val="04A0"/>
      </w:tblPr>
      <w:tblGrid>
        <w:gridCol w:w="9936"/>
      </w:tblGrid>
      <w:tr>
        <w:tc>
          <w:tcPr>
            <w:tcW w:type="dxa" w:w="9936"/>
            <w:shd w:fill="EBF8FF"/>
            <w:tcMar>
              <w:top w:w="140" w:type="dxa"/>
              <w:bottom w:w="140" w:type="dxa"/>
              <w:left w:w="200" w:type="dxa"/>
              <w:right w:w="200" w:type="dxa"/>
            </w:tcMar>
          </w:tcPr>
          <w:p>
            <w:r>
              <w:rPr>
                <w:b/>
                <w:color w:val="2B6CB0"/>
                <w:sz w:val="20"/>
              </w:rPr>
              <w:t>EXECUTIVE SUMMARY: KEY BENCHMARK RESULTS</w:t>
              <w:br/>
            </w:r>
            <w:r>
              <w:rPr>
                <w:color w:val="2D3748"/>
                <w:sz w:val="18"/>
              </w:rPr>
              <w:t>• End-to-End Runtime: 140.1 seconds (~2.3 min), well inside the 20-minute (1,200s) nightly budget.</w:t>
              <w:br/>
              <w:t>• Asymmetric Cost Compliance: Zero False Merges (FP = 0, Precision = 1.000), protecting against catastrophic bidder lawsuits (9:1 cost penalty).</w:t>
              <w:br/>
              <w:t>• Database Access Path: Composite B-tree index on (band_id, bucket_key) achieves 0.057 ms execution time vs 11.015 ms sequential scan (193× speedup verified via EXPLAIN ANALYSE).</w:t>
              <w:br/>
              <w:t>• Bookmark Stability: Deterministic canonical ID assignment preserves user bookmarks indefinitely across re-runs.</w:t>
              <w:br/>
              <w:t>• Hotspot Mitigation: Increasing shingle size from k=3 to k=7 eliminates domain vocabulary collapse, reducing candidate comparisons from 70.6M to 461K.</w:t>
            </w:r>
          </w:p>
        </w:tc>
      </w:tr>
    </w:tbl>
    <w:p>
      <w:pPr>
        <w:spacing w:after="200"/>
      </w:pPr>
    </w:p>
    <w:p>
      <w:pPr>
        <w:pStyle w:val="Heading1"/>
        <w:spacing w:before="240" w:after="80"/>
      </w:pPr>
      <w:r>
        <w:t>1. Single-Command Cold Start Deployment</w:t>
      </w:r>
    </w:p>
    <w:p>
      <w:r>
        <w:t>In compliance with instruction (1), the complete system runs locally from cold start with a single Docker Compose command without external or managed cloud dependencies:</w:t>
        <w:br/>
      </w:r>
    </w:p>
    <w:p>
      <w:pPr>
        <w:spacing w:after="160"/>
        <w:ind w:left="432"/>
      </w:pPr>
      <w:r>
        <w:rPr>
          <w:rFonts w:ascii="Consolas" w:hAnsi="Consolas"/>
          <w:b/>
          <w:color w:val="2C7A7B"/>
        </w:rPr>
        <w:t>docker compose up</w:t>
      </w:r>
    </w:p>
    <w:p>
      <w:pPr>
        <w:pStyle w:val="Heading1"/>
        <w:spacing w:before="240" w:after="80"/>
      </w:pPr>
      <w:r>
        <w:t>2. Corpus Baseline Facts (Measured Directly)</w:t>
      </w:r>
    </w:p>
    <w:tbl>
      <w:tblPr>
        <w:tblW w:type="auto" w:w="0"/>
        <w:jc w:val="center"/>
        <w:tblLayout w:type="fixed"/>
        <w:tblLook w:firstColumn="1" w:firstRow="1" w:lastColumn="0" w:lastRow="0" w:noHBand="0" w:noVBand="1" w:val="04A0"/>
      </w:tblPr>
      <w:tblGrid>
        <w:gridCol w:w="3312"/>
        <w:gridCol w:w="3312"/>
        <w:gridCol w:w="3312"/>
      </w:tblGrid>
      <w:tr>
        <w:tc>
          <w:tcPr>
            <w:tcW w:type="dxa" w:w="3168"/>
            <w:shd w:fill="1A365D"/>
            <w:tcMar>
              <w:top w:w="120" w:type="dxa"/>
              <w:bottom w:w="120" w:type="dxa"/>
              <w:left w:w="160" w:type="dxa"/>
              <w:right w:w="160" w:type="dxa"/>
            </w:tcMar>
          </w:tcPr>
          <w:p>
            <w:pPr>
              <w:jc w:val="left"/>
            </w:pPr>
            <w:r>
              <w:rPr>
                <w:rFonts w:ascii="Calibri" w:hAnsi="Calibri"/>
                <w:b/>
                <w:color w:val="FFFFFF"/>
                <w:sz w:val="19"/>
              </w:rPr>
              <w:t>Metric / Parameter</w:t>
            </w:r>
          </w:p>
        </w:tc>
        <w:tc>
          <w:tcPr>
            <w:tcW w:type="dxa" w:w="2592"/>
            <w:shd w:fill="1A365D"/>
            <w:tcMar>
              <w:top w:w="120" w:type="dxa"/>
              <w:bottom w:w="120" w:type="dxa"/>
              <w:left w:w="160" w:type="dxa"/>
              <w:right w:w="160" w:type="dxa"/>
            </w:tcMar>
          </w:tcPr>
          <w:p>
            <w:pPr>
              <w:jc w:val="left"/>
            </w:pPr>
            <w:r>
              <w:rPr>
                <w:rFonts w:ascii="Calibri" w:hAnsi="Calibri"/>
                <w:b/>
                <w:color w:val="FFFFFF"/>
                <w:sz w:val="19"/>
              </w:rPr>
              <w:t>Measured Value</w:t>
            </w:r>
          </w:p>
        </w:tc>
        <w:tc>
          <w:tcPr>
            <w:tcW w:type="dxa" w:w="4032"/>
            <w:shd w:fill="1A365D"/>
            <w:tcMar>
              <w:top w:w="120" w:type="dxa"/>
              <w:bottom w:w="120" w:type="dxa"/>
              <w:left w:w="160" w:type="dxa"/>
              <w:right w:w="160" w:type="dxa"/>
            </w:tcMar>
          </w:tcPr>
          <w:p>
            <w:pPr>
              <w:jc w:val="left"/>
            </w:pPr>
            <w:r>
              <w:rPr>
                <w:rFonts w:ascii="Calibri" w:hAnsi="Calibri"/>
                <w:b/>
                <w:color w:val="FFFFFF"/>
                <w:sz w:val="19"/>
              </w:rPr>
              <w:t>Engineering Implication</w:t>
            </w:r>
          </w:p>
        </w:tc>
      </w:tr>
      <w:tr>
        <w:tc>
          <w:tcPr>
            <w:tcW w:type="dxa" w:w="3168"/>
            <w:shd w:fill="FFFFFF"/>
            <w:tcMar>
              <w:top w:w="80" w:type="dxa"/>
              <w:bottom w:w="80" w:type="dxa"/>
              <w:left w:w="160" w:type="dxa"/>
              <w:right w:w="160" w:type="dxa"/>
            </w:tcMar>
          </w:tcPr>
          <w:p>
            <w:pPr>
              <w:jc w:val="left"/>
            </w:pPr>
            <w:r>
              <w:rPr>
                <w:rFonts w:ascii="Calibri" w:hAnsi="Calibri"/>
                <w:color w:val="2D3748"/>
                <w:sz w:val="18"/>
              </w:rPr>
              <w:t>Total Notices Ingested</w:t>
            </w:r>
          </w:p>
        </w:tc>
        <w:tc>
          <w:tcPr>
            <w:tcW w:type="dxa" w:w="2592"/>
            <w:shd w:fill="FFFFFF"/>
            <w:tcMar>
              <w:top w:w="80" w:type="dxa"/>
              <w:bottom w:w="80" w:type="dxa"/>
              <w:left w:w="160" w:type="dxa"/>
              <w:right w:w="160" w:type="dxa"/>
            </w:tcMar>
          </w:tcPr>
          <w:p>
            <w:pPr>
              <w:jc w:val="left"/>
            </w:pPr>
            <w:r>
              <w:rPr>
                <w:rFonts w:ascii="Calibri" w:hAnsi="Calibri"/>
                <w:color w:val="2D3748"/>
                <w:sz w:val="18"/>
              </w:rPr>
              <w:t>12,000</w:t>
            </w:r>
          </w:p>
        </w:tc>
        <w:tc>
          <w:tcPr>
            <w:tcW w:type="dxa" w:w="4032"/>
            <w:shd w:fill="FFFFFF"/>
            <w:tcMar>
              <w:top w:w="80" w:type="dxa"/>
              <w:bottom w:w="80" w:type="dxa"/>
              <w:left w:w="160" w:type="dxa"/>
              <w:right w:w="160" w:type="dxa"/>
            </w:tcMar>
          </w:tcPr>
          <w:p>
            <w:pPr>
              <w:jc w:val="left"/>
            </w:pPr>
            <w:r>
              <w:rPr>
                <w:rFonts w:ascii="Calibri" w:hAnsi="Calibri"/>
                <w:color w:val="2D3748"/>
                <w:sz w:val="18"/>
              </w:rPr>
              <w:t>Corpus baseline across 260 distinct portal scrapers</w:t>
            </w:r>
          </w:p>
        </w:tc>
      </w:tr>
      <w:tr>
        <w:tc>
          <w:tcPr>
            <w:tcW w:type="dxa" w:w="3168"/>
            <w:shd w:fill="F7FAFC"/>
            <w:tcMar>
              <w:top w:w="80" w:type="dxa"/>
              <w:bottom w:w="80" w:type="dxa"/>
              <w:left w:w="160" w:type="dxa"/>
              <w:right w:w="160" w:type="dxa"/>
            </w:tcMar>
          </w:tcPr>
          <w:p>
            <w:pPr>
              <w:jc w:val="left"/>
            </w:pPr>
            <w:r>
              <w:rPr>
                <w:rFonts w:ascii="Calibri" w:hAnsi="Calibri"/>
                <w:color w:val="2D3748"/>
                <w:sz w:val="18"/>
              </w:rPr>
              <w:t>True Opportunities (Clusters)</w:t>
            </w:r>
          </w:p>
        </w:tc>
        <w:tc>
          <w:tcPr>
            <w:tcW w:type="dxa" w:w="2592"/>
            <w:shd w:fill="F7FAFC"/>
            <w:tcMar>
              <w:top w:w="80" w:type="dxa"/>
              <w:bottom w:w="80" w:type="dxa"/>
              <w:left w:w="160" w:type="dxa"/>
              <w:right w:w="160" w:type="dxa"/>
            </w:tcMar>
          </w:tcPr>
          <w:p>
            <w:pPr>
              <w:jc w:val="left"/>
            </w:pPr>
            <w:r>
              <w:rPr>
                <w:rFonts w:ascii="Calibri" w:hAnsi="Calibri"/>
                <w:color w:val="2D3748"/>
                <w:sz w:val="18"/>
              </w:rPr>
              <w:t>5,776</w:t>
            </w:r>
          </w:p>
        </w:tc>
        <w:tc>
          <w:tcPr>
            <w:tcW w:type="dxa" w:w="4032"/>
            <w:shd w:fill="F7FAFC"/>
            <w:tcMar>
              <w:top w:w="80" w:type="dxa"/>
              <w:bottom w:w="80" w:type="dxa"/>
              <w:left w:w="160" w:type="dxa"/>
              <w:right w:w="160" w:type="dxa"/>
            </w:tcMar>
          </w:tcPr>
          <w:p>
            <w:pPr>
              <w:jc w:val="left"/>
            </w:pPr>
            <w:r>
              <w:rPr>
                <w:rFonts w:ascii="Calibri" w:hAnsi="Calibri"/>
                <w:color w:val="2D3748"/>
                <w:sz w:val="18"/>
              </w:rPr>
              <w:t>Ground truth clusters with &gt;= 1 notice</w:t>
            </w:r>
          </w:p>
        </w:tc>
      </w:tr>
      <w:tr>
        <w:tc>
          <w:tcPr>
            <w:tcW w:type="dxa" w:w="3168"/>
            <w:shd w:fill="FFFFFF"/>
            <w:tcMar>
              <w:top w:w="80" w:type="dxa"/>
              <w:bottom w:w="80" w:type="dxa"/>
              <w:left w:w="160" w:type="dxa"/>
              <w:right w:w="160" w:type="dxa"/>
            </w:tcMar>
          </w:tcPr>
          <w:p>
            <w:pPr>
              <w:jc w:val="left"/>
            </w:pPr>
            <w:r>
              <w:rPr>
                <w:rFonts w:ascii="Calibri" w:hAnsi="Calibri"/>
                <w:color w:val="2D3748"/>
                <w:sz w:val="18"/>
              </w:rPr>
              <w:t>True Duplicate Pairs</w:t>
            </w:r>
          </w:p>
        </w:tc>
        <w:tc>
          <w:tcPr>
            <w:tcW w:type="dxa" w:w="2592"/>
            <w:shd w:fill="FFFFFF"/>
            <w:tcMar>
              <w:top w:w="80" w:type="dxa"/>
              <w:bottom w:w="80" w:type="dxa"/>
              <w:left w:w="160" w:type="dxa"/>
              <w:right w:w="160" w:type="dxa"/>
            </w:tcMar>
          </w:tcPr>
          <w:p>
            <w:pPr>
              <w:jc w:val="left"/>
            </w:pPr>
            <w:r>
              <w:rPr>
                <w:rFonts w:ascii="Calibri" w:hAnsi="Calibri"/>
                <w:color w:val="2D3748"/>
                <w:sz w:val="18"/>
              </w:rPr>
              <w:t>15,049</w:t>
            </w:r>
          </w:p>
        </w:tc>
        <w:tc>
          <w:tcPr>
            <w:tcW w:type="dxa" w:w="4032"/>
            <w:shd w:fill="FFFFFF"/>
            <w:tcMar>
              <w:top w:w="80" w:type="dxa"/>
              <w:bottom w:w="80" w:type="dxa"/>
              <w:left w:w="160" w:type="dxa"/>
              <w:right w:w="160" w:type="dxa"/>
            </w:tcMar>
          </w:tcPr>
          <w:p>
            <w:pPr>
              <w:jc w:val="left"/>
            </w:pPr>
            <w:r>
              <w:rPr>
                <w:rFonts w:ascii="Calibri" w:hAnsi="Calibri"/>
                <w:color w:val="2D3748"/>
                <w:sz w:val="18"/>
              </w:rPr>
              <w:t>Genuine pairs belonging to the same tender</w:t>
            </w:r>
          </w:p>
        </w:tc>
      </w:tr>
      <w:tr>
        <w:tc>
          <w:tcPr>
            <w:tcW w:type="dxa" w:w="3168"/>
            <w:shd w:fill="F7FAFC"/>
            <w:tcMar>
              <w:top w:w="80" w:type="dxa"/>
              <w:bottom w:w="80" w:type="dxa"/>
              <w:left w:w="160" w:type="dxa"/>
              <w:right w:w="160" w:type="dxa"/>
            </w:tcMar>
          </w:tcPr>
          <w:p>
            <w:pPr>
              <w:jc w:val="left"/>
            </w:pPr>
            <w:r>
              <w:rPr>
                <w:rFonts w:ascii="Calibri" w:hAnsi="Calibri"/>
                <w:color w:val="2D3748"/>
                <w:sz w:val="18"/>
              </w:rPr>
              <w:t>Total Possible Pairs (n*(n-1)/2)</w:t>
            </w:r>
          </w:p>
        </w:tc>
        <w:tc>
          <w:tcPr>
            <w:tcW w:type="dxa" w:w="2592"/>
            <w:shd w:fill="F7FAFC"/>
            <w:tcMar>
              <w:top w:w="80" w:type="dxa"/>
              <w:bottom w:w="80" w:type="dxa"/>
              <w:left w:w="160" w:type="dxa"/>
              <w:right w:w="160" w:type="dxa"/>
            </w:tcMar>
          </w:tcPr>
          <w:p>
            <w:pPr>
              <w:jc w:val="left"/>
            </w:pPr>
            <w:r>
              <w:rPr>
                <w:rFonts w:ascii="Calibri" w:hAnsi="Calibri"/>
                <w:color w:val="2D3748"/>
                <w:sz w:val="18"/>
              </w:rPr>
              <w:t>71,994,000</w:t>
            </w:r>
          </w:p>
        </w:tc>
        <w:tc>
          <w:tcPr>
            <w:tcW w:type="dxa" w:w="4032"/>
            <w:shd w:fill="F7FAFC"/>
            <w:tcMar>
              <w:top w:w="80" w:type="dxa"/>
              <w:bottom w:w="80" w:type="dxa"/>
              <w:left w:w="160" w:type="dxa"/>
              <w:right w:w="160" w:type="dxa"/>
            </w:tcMar>
          </w:tcPr>
          <w:p>
            <w:pPr>
              <w:jc w:val="left"/>
            </w:pPr>
            <w:r>
              <w:rPr>
                <w:rFonts w:ascii="Calibri" w:hAnsi="Calibri"/>
                <w:color w:val="2D3748"/>
                <w:sz w:val="18"/>
              </w:rPr>
              <w:t>All-pairs comparison is intractable (ran 31 hrs previously)</w:t>
            </w:r>
          </w:p>
        </w:tc>
      </w:tr>
      <w:tr>
        <w:tc>
          <w:tcPr>
            <w:tcW w:type="dxa" w:w="3168"/>
            <w:shd w:fill="FFFFFF"/>
            <w:tcMar>
              <w:top w:w="80" w:type="dxa"/>
              <w:bottom w:w="80" w:type="dxa"/>
              <w:left w:w="160" w:type="dxa"/>
              <w:right w:w="160" w:type="dxa"/>
            </w:tcMar>
          </w:tcPr>
          <w:p>
            <w:pPr>
              <w:jc w:val="left"/>
            </w:pPr>
            <w:r>
              <w:rPr>
                <w:rFonts w:ascii="Calibri" w:hAnsi="Calibri"/>
                <w:color w:val="2D3748"/>
                <w:sz w:val="18"/>
              </w:rPr>
              <w:t>Corpus Duplicate Base Rate</w:t>
            </w:r>
          </w:p>
        </w:tc>
        <w:tc>
          <w:tcPr>
            <w:tcW w:type="dxa" w:w="2592"/>
            <w:shd w:fill="FFFFFF"/>
            <w:tcMar>
              <w:top w:w="80" w:type="dxa"/>
              <w:bottom w:w="80" w:type="dxa"/>
              <w:left w:w="160" w:type="dxa"/>
              <w:right w:w="160" w:type="dxa"/>
            </w:tcMar>
          </w:tcPr>
          <w:p>
            <w:pPr>
              <w:jc w:val="left"/>
            </w:pPr>
            <w:r>
              <w:rPr>
                <w:rFonts w:ascii="Calibri" w:hAnsi="Calibri"/>
                <w:color w:val="2D3748"/>
                <w:sz w:val="18"/>
              </w:rPr>
              <w:t>0.0209%</w:t>
            </w:r>
          </w:p>
        </w:tc>
        <w:tc>
          <w:tcPr>
            <w:tcW w:type="dxa" w:w="4032"/>
            <w:shd w:fill="FFFFFF"/>
            <w:tcMar>
              <w:top w:w="80" w:type="dxa"/>
              <w:bottom w:w="80" w:type="dxa"/>
              <w:left w:w="160" w:type="dxa"/>
              <w:right w:w="160" w:type="dxa"/>
            </w:tcMar>
          </w:tcPr>
          <w:p>
            <w:pPr>
              <w:jc w:val="left"/>
            </w:pPr>
            <w:r>
              <w:rPr>
                <w:rFonts w:ascii="Calibri" w:hAnsi="Calibri"/>
                <w:color w:val="2D3748"/>
                <w:sz w:val="18"/>
              </w:rPr>
              <w:t>Extreme class imbalance; 99.98% of pairs are non-duplicates</w:t>
            </w:r>
          </w:p>
        </w:tc>
      </w:tr>
      <w:tr>
        <w:tc>
          <w:tcPr>
            <w:tcW w:type="dxa" w:w="3168"/>
            <w:shd w:fill="F7FAFC"/>
            <w:tcMar>
              <w:top w:w="80" w:type="dxa"/>
              <w:bottom w:w="80" w:type="dxa"/>
              <w:left w:w="160" w:type="dxa"/>
              <w:right w:w="160" w:type="dxa"/>
            </w:tcMar>
          </w:tcPr>
          <w:p>
            <w:pPr>
              <w:jc w:val="left"/>
            </w:pPr>
            <w:r>
              <w:rPr>
                <w:rFonts w:ascii="Calibri" w:hAnsi="Calibri"/>
                <w:color w:val="2D3748"/>
                <w:sz w:val="18"/>
              </w:rPr>
              <w:t>Labelled Pairs Evaluated</w:t>
            </w:r>
          </w:p>
        </w:tc>
        <w:tc>
          <w:tcPr>
            <w:tcW w:type="dxa" w:w="2592"/>
            <w:shd w:fill="F7FAFC"/>
            <w:tcMar>
              <w:top w:w="80" w:type="dxa"/>
              <w:bottom w:w="80" w:type="dxa"/>
              <w:left w:w="160" w:type="dxa"/>
              <w:right w:w="160" w:type="dxa"/>
            </w:tcMar>
          </w:tcPr>
          <w:p>
            <w:pPr>
              <w:jc w:val="left"/>
            </w:pPr>
            <w:r>
              <w:rPr>
                <w:rFonts w:ascii="Calibri" w:hAnsi="Calibri"/>
                <w:color w:val="2D3748"/>
                <w:sz w:val="18"/>
              </w:rPr>
              <w:t>900 pairs</w:t>
            </w:r>
          </w:p>
        </w:tc>
        <w:tc>
          <w:tcPr>
            <w:tcW w:type="dxa" w:w="4032"/>
            <w:shd w:fill="F7FAFC"/>
            <w:tcMar>
              <w:top w:w="80" w:type="dxa"/>
              <w:bottom w:w="80" w:type="dxa"/>
              <w:left w:w="160" w:type="dxa"/>
              <w:right w:w="160" w:type="dxa"/>
            </w:tcMar>
          </w:tcPr>
          <w:p>
            <w:pPr>
              <w:jc w:val="left"/>
            </w:pPr>
            <w:r>
              <w:rPr>
                <w:rFonts w:ascii="Calibri" w:hAnsi="Calibri"/>
                <w:color w:val="2D3748"/>
                <w:sz w:val="18"/>
              </w:rPr>
              <w:t>279 same (31.0%), 621 different (69.0%)</w:t>
            </w:r>
          </w:p>
        </w:tc>
      </w:tr>
      <w:tr>
        <w:tc>
          <w:tcPr>
            <w:tcW w:type="dxa" w:w="3168"/>
            <w:shd w:fill="FFFFFF"/>
            <w:tcMar>
              <w:top w:w="80" w:type="dxa"/>
              <w:bottom w:w="80" w:type="dxa"/>
              <w:left w:w="160" w:type="dxa"/>
              <w:right w:w="160" w:type="dxa"/>
            </w:tcMar>
          </w:tcPr>
          <w:p>
            <w:pPr>
              <w:jc w:val="left"/>
            </w:pPr>
            <w:r>
              <w:rPr>
                <w:rFonts w:ascii="Calibri" w:hAnsi="Calibri"/>
                <w:color w:val="2D3748"/>
                <w:sz w:val="18"/>
              </w:rPr>
              <w:t>Nodal Portals (P001-P006)</w:t>
            </w:r>
          </w:p>
        </w:tc>
        <w:tc>
          <w:tcPr>
            <w:tcW w:type="dxa" w:w="2592"/>
            <w:shd w:fill="FFFFFF"/>
            <w:tcMar>
              <w:top w:w="80" w:type="dxa"/>
              <w:bottom w:w="80" w:type="dxa"/>
              <w:left w:w="160" w:type="dxa"/>
              <w:right w:w="160" w:type="dxa"/>
            </w:tcMar>
          </w:tcPr>
          <w:p>
            <w:pPr>
              <w:jc w:val="left"/>
            </w:pPr>
            <w:r>
              <w:rPr>
                <w:rFonts w:ascii="Calibri" w:hAnsi="Calibri"/>
                <w:color w:val="2D3748"/>
                <w:sz w:val="18"/>
              </w:rPr>
              <w:t>4,665 notices (38.9%)</w:t>
            </w:r>
          </w:p>
        </w:tc>
        <w:tc>
          <w:tcPr>
            <w:tcW w:type="dxa" w:w="4032"/>
            <w:shd w:fill="FFFFFF"/>
            <w:tcMar>
              <w:top w:w="80" w:type="dxa"/>
              <w:bottom w:w="80" w:type="dxa"/>
              <w:left w:w="160" w:type="dxa"/>
              <w:right w:w="160" w:type="dxa"/>
            </w:tcMar>
          </w:tcPr>
          <w:p>
            <w:pPr>
              <w:jc w:val="left"/>
            </w:pPr>
            <w:r>
              <w:rPr>
                <w:rFonts w:ascii="Calibri" w:hAnsi="Calibri"/>
                <w:color w:val="2D3748"/>
                <w:sz w:val="18"/>
              </w:rPr>
              <w:t>Heavy aggregation nodes generating structural boilerplate noise</w:t>
            </w:r>
          </w:p>
        </w:tc>
      </w:tr>
    </w:tbl>
    <w:p>
      <w:pPr>
        <w:spacing w:after="160"/>
      </w:pPr>
    </w:p>
    <w:p>
      <w:pPr>
        <w:pStyle w:val="Heading1"/>
        <w:spacing w:before="240" w:after="80"/>
      </w:pPr>
      <w:r>
        <w:t>3. Section A: Mechanical Definition of 'Similarity'</w:t>
      </w:r>
    </w:p>
    <w:p>
      <w:r>
        <w:t>To make comparison cheap and well-defined, raw text is transformed through two rigorous design choices backed by corpus measurements:</w:t>
        <w:br/>
        <w:br/>
        <w:t>Decision 1 (Signal vs Noise Removal): Portal profiling reveals that nodal portals (P001–P006) prepend a ~1,400-character boilerplate preamble to every notice. Additionally, reference numbers (e.g., NPAS-2024-xxx), monetary amounts, and date strings represent portal-specific surface artifacts that vary across aggregators for the same underlying opportunity. These are stripped via regular expressions and folded to lowercase, while titles are prepended to preserve high-signal scope tokens.</w:t>
        <w:br/>
        <w:br/>
        <w:t>Decision 2 (Shingle Granularity): We evaluated character-level n-grams versus word-level shingles. In construction procurement, trigrams (k=3) collapse because all notices share domain vocabulary ('earnest money deposit', 'name of work'). Calibrating to word 7-grams (k=7) produces decisive class separation:</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2592"/>
            <w:shd w:fill="1A365D"/>
            <w:tcMar>
              <w:top w:w="120" w:type="dxa"/>
              <w:bottom w:w="120" w:type="dxa"/>
              <w:left w:w="160" w:type="dxa"/>
              <w:right w:w="160" w:type="dxa"/>
            </w:tcMar>
          </w:tcPr>
          <w:p>
            <w:pPr>
              <w:jc w:val="left"/>
            </w:pPr>
            <w:r>
              <w:rPr>
                <w:rFonts w:ascii="Calibri" w:hAnsi="Calibri"/>
                <w:b/>
                <w:color w:val="FFFFFF"/>
                <w:sz w:val="19"/>
              </w:rPr>
              <w:t>Decomposition Method</w:t>
            </w:r>
          </w:p>
        </w:tc>
        <w:tc>
          <w:tcPr>
            <w:tcW w:type="dxa" w:w="1872"/>
            <w:shd w:fill="1A365D"/>
            <w:tcMar>
              <w:top w:w="120" w:type="dxa"/>
              <w:bottom w:w="120" w:type="dxa"/>
              <w:left w:w="160" w:type="dxa"/>
              <w:right w:w="160" w:type="dxa"/>
            </w:tcMar>
          </w:tcPr>
          <w:p>
            <w:pPr>
              <w:jc w:val="left"/>
            </w:pPr>
            <w:r>
              <w:rPr>
                <w:rFonts w:ascii="Calibri" w:hAnsi="Calibri"/>
                <w:b/>
                <w:color w:val="FFFFFF"/>
                <w:sz w:val="19"/>
              </w:rPr>
              <w:t>Same-Pair Jaccard</w:t>
            </w:r>
          </w:p>
        </w:tc>
        <w:tc>
          <w:tcPr>
            <w:tcW w:type="dxa" w:w="1872"/>
            <w:shd w:fill="1A365D"/>
            <w:tcMar>
              <w:top w:w="120" w:type="dxa"/>
              <w:bottom w:w="120" w:type="dxa"/>
              <w:left w:w="160" w:type="dxa"/>
              <w:right w:w="160" w:type="dxa"/>
            </w:tcMar>
          </w:tcPr>
          <w:p>
            <w:pPr>
              <w:jc w:val="left"/>
            </w:pPr>
            <w:r>
              <w:rPr>
                <w:rFonts w:ascii="Calibri" w:hAnsi="Calibri"/>
                <w:b/>
                <w:color w:val="FFFFFF"/>
                <w:sz w:val="19"/>
              </w:rPr>
              <w:t>Diff-Pair Jaccard</w:t>
            </w:r>
          </w:p>
        </w:tc>
        <w:tc>
          <w:tcPr>
            <w:tcW w:type="dxa" w:w="1872"/>
            <w:shd w:fill="1A365D"/>
            <w:tcMar>
              <w:top w:w="120" w:type="dxa"/>
              <w:bottom w:w="120" w:type="dxa"/>
              <w:left w:w="160" w:type="dxa"/>
              <w:right w:w="160" w:type="dxa"/>
            </w:tcMar>
          </w:tcPr>
          <w:p>
            <w:pPr>
              <w:jc w:val="left"/>
            </w:pPr>
            <w:r>
              <w:rPr>
                <w:rFonts w:ascii="Calibri" w:hAnsi="Calibri"/>
                <w:b/>
                <w:color w:val="FFFFFF"/>
                <w:sz w:val="19"/>
              </w:rPr>
              <w:t>Separation Gap</w:t>
            </w:r>
          </w:p>
        </w:tc>
        <w:tc>
          <w:tcPr>
            <w:tcW w:type="dxa" w:w="1872"/>
            <w:shd w:fill="1A365D"/>
            <w:tcMar>
              <w:top w:w="120" w:type="dxa"/>
              <w:bottom w:w="120" w:type="dxa"/>
              <w:left w:w="160" w:type="dxa"/>
              <w:right w:w="160" w:type="dxa"/>
            </w:tcMar>
          </w:tcPr>
          <w:p>
            <w:pPr>
              <w:jc w:val="left"/>
            </w:pPr>
            <w:r>
              <w:rPr>
                <w:rFonts w:ascii="Calibri" w:hAnsi="Calibri"/>
                <w:b/>
                <w:color w:val="FFFFFF"/>
                <w:sz w:val="19"/>
              </w:rPr>
              <w:t>Decision</w:t>
            </w:r>
          </w:p>
        </w:tc>
      </w:tr>
      <w:tr>
        <w:tc>
          <w:tcPr>
            <w:tcW w:type="dxa" w:w="2592"/>
            <w:shd w:fill="FFFFFF"/>
            <w:tcMar>
              <w:top w:w="80" w:type="dxa"/>
              <w:bottom w:w="80" w:type="dxa"/>
              <w:left w:w="160" w:type="dxa"/>
              <w:right w:w="160" w:type="dxa"/>
            </w:tcMar>
          </w:tcPr>
          <w:p>
            <w:pPr>
              <w:jc w:val="left"/>
            </w:pPr>
            <w:r>
              <w:rPr>
                <w:rFonts w:ascii="Calibri" w:hAnsi="Calibri"/>
                <w:color w:val="2D3748"/>
                <w:sz w:val="18"/>
              </w:rPr>
              <w:t>char 5-gram (raw text)</w:t>
            </w:r>
          </w:p>
        </w:tc>
        <w:tc>
          <w:tcPr>
            <w:tcW w:type="dxa" w:w="1872"/>
            <w:shd w:fill="FFFFFF"/>
            <w:tcMar>
              <w:top w:w="80" w:type="dxa"/>
              <w:bottom w:w="80" w:type="dxa"/>
              <w:left w:w="160" w:type="dxa"/>
              <w:right w:w="160" w:type="dxa"/>
            </w:tcMar>
          </w:tcPr>
          <w:p>
            <w:pPr>
              <w:jc w:val="left"/>
            </w:pPr>
            <w:r>
              <w:rPr>
                <w:rFonts w:ascii="Calibri" w:hAnsi="Calibri"/>
                <w:color w:val="2D3748"/>
                <w:sz w:val="18"/>
              </w:rPr>
              <w:t>0.4668</w:t>
            </w:r>
          </w:p>
        </w:tc>
        <w:tc>
          <w:tcPr>
            <w:tcW w:type="dxa" w:w="1872"/>
            <w:shd w:fill="FFFFFF"/>
            <w:tcMar>
              <w:top w:w="80" w:type="dxa"/>
              <w:bottom w:w="80" w:type="dxa"/>
              <w:left w:w="160" w:type="dxa"/>
              <w:right w:w="160" w:type="dxa"/>
            </w:tcMar>
          </w:tcPr>
          <w:p>
            <w:pPr>
              <w:jc w:val="left"/>
            </w:pPr>
            <w:r>
              <w:rPr>
                <w:rFonts w:ascii="Calibri" w:hAnsi="Calibri"/>
                <w:color w:val="2D3748"/>
                <w:sz w:val="18"/>
              </w:rPr>
              <w:t>0.6715</w:t>
            </w:r>
          </w:p>
        </w:tc>
        <w:tc>
          <w:tcPr>
            <w:tcW w:type="dxa" w:w="1872"/>
            <w:shd w:fill="FFFFFF"/>
            <w:tcMar>
              <w:top w:w="80" w:type="dxa"/>
              <w:bottom w:w="80" w:type="dxa"/>
              <w:left w:w="160" w:type="dxa"/>
              <w:right w:w="160" w:type="dxa"/>
            </w:tcMar>
          </w:tcPr>
          <w:p>
            <w:pPr>
              <w:jc w:val="left"/>
            </w:pPr>
            <w:r>
              <w:rPr>
                <w:rFonts w:ascii="Calibri" w:hAnsi="Calibri"/>
                <w:color w:val="2D3748"/>
                <w:sz w:val="18"/>
              </w:rPr>
              <w:t>-0.2047</w:t>
            </w:r>
          </w:p>
        </w:tc>
        <w:tc>
          <w:tcPr>
            <w:tcW w:type="dxa" w:w="1872"/>
            <w:shd w:fill="FFFFFF"/>
            <w:tcMar>
              <w:top w:w="80" w:type="dxa"/>
              <w:bottom w:w="80" w:type="dxa"/>
              <w:left w:w="160" w:type="dxa"/>
              <w:right w:w="160" w:type="dxa"/>
            </w:tcMar>
          </w:tcPr>
          <w:p>
            <w:pPr>
              <w:jc w:val="left"/>
            </w:pPr>
            <w:r>
              <w:rPr>
                <w:rFonts w:ascii="Calibri" w:hAnsi="Calibri"/>
                <w:color w:val="2D3748"/>
                <w:sz w:val="18"/>
              </w:rPr>
              <w:t>Rejected (Diff scores higher)</w:t>
            </w:r>
          </w:p>
        </w:tc>
      </w:tr>
      <w:tr>
        <w:tc>
          <w:tcPr>
            <w:tcW w:type="dxa" w:w="2592"/>
            <w:shd w:fill="F7FAFC"/>
            <w:tcMar>
              <w:top w:w="80" w:type="dxa"/>
              <w:bottom w:w="80" w:type="dxa"/>
              <w:left w:w="160" w:type="dxa"/>
              <w:right w:w="160" w:type="dxa"/>
            </w:tcMar>
          </w:tcPr>
          <w:p>
            <w:pPr>
              <w:jc w:val="left"/>
            </w:pPr>
            <w:r>
              <w:rPr>
                <w:rFonts w:ascii="Calibri" w:hAnsi="Calibri"/>
                <w:color w:val="2D3748"/>
                <w:sz w:val="18"/>
              </w:rPr>
              <w:t>word 3-gram (cleaned text)</w:t>
            </w:r>
          </w:p>
        </w:tc>
        <w:tc>
          <w:tcPr>
            <w:tcW w:type="dxa" w:w="1872"/>
            <w:shd w:fill="F7FAFC"/>
            <w:tcMar>
              <w:top w:w="80" w:type="dxa"/>
              <w:bottom w:w="80" w:type="dxa"/>
              <w:left w:w="160" w:type="dxa"/>
              <w:right w:w="160" w:type="dxa"/>
            </w:tcMar>
          </w:tcPr>
          <w:p>
            <w:pPr>
              <w:jc w:val="left"/>
            </w:pPr>
            <w:r>
              <w:rPr>
                <w:rFonts w:ascii="Calibri" w:hAnsi="Calibri"/>
                <w:color w:val="2D3748"/>
                <w:sz w:val="18"/>
              </w:rPr>
              <w:t>0.3950</w:t>
            </w:r>
          </w:p>
        </w:tc>
        <w:tc>
          <w:tcPr>
            <w:tcW w:type="dxa" w:w="1872"/>
            <w:shd w:fill="F7FAFC"/>
            <w:tcMar>
              <w:top w:w="80" w:type="dxa"/>
              <w:bottom w:w="80" w:type="dxa"/>
              <w:left w:w="160" w:type="dxa"/>
              <w:right w:w="160" w:type="dxa"/>
            </w:tcMar>
          </w:tcPr>
          <w:p>
            <w:pPr>
              <w:jc w:val="left"/>
            </w:pPr>
            <w:r>
              <w:rPr>
                <w:rFonts w:ascii="Calibri" w:hAnsi="Calibri"/>
                <w:color w:val="2D3748"/>
                <w:sz w:val="18"/>
              </w:rPr>
              <w:t>0.4937</w:t>
            </w:r>
          </w:p>
        </w:tc>
        <w:tc>
          <w:tcPr>
            <w:tcW w:type="dxa" w:w="1872"/>
            <w:shd w:fill="F7FAFC"/>
            <w:tcMar>
              <w:top w:w="80" w:type="dxa"/>
              <w:bottom w:w="80" w:type="dxa"/>
              <w:left w:w="160" w:type="dxa"/>
              <w:right w:w="160" w:type="dxa"/>
            </w:tcMar>
          </w:tcPr>
          <w:p>
            <w:pPr>
              <w:jc w:val="left"/>
            </w:pPr>
            <w:r>
              <w:rPr>
                <w:rFonts w:ascii="Calibri" w:hAnsi="Calibri"/>
                <w:color w:val="2D3748"/>
                <w:sz w:val="18"/>
              </w:rPr>
              <w:t>-0.0987</w:t>
            </w:r>
          </w:p>
        </w:tc>
        <w:tc>
          <w:tcPr>
            <w:tcW w:type="dxa" w:w="1872"/>
            <w:shd w:fill="F7FAFC"/>
            <w:tcMar>
              <w:top w:w="80" w:type="dxa"/>
              <w:bottom w:w="80" w:type="dxa"/>
              <w:left w:w="160" w:type="dxa"/>
              <w:right w:w="160" w:type="dxa"/>
            </w:tcMar>
          </w:tcPr>
          <w:p>
            <w:pPr>
              <w:jc w:val="left"/>
            </w:pPr>
            <w:r>
              <w:rPr>
                <w:rFonts w:ascii="Calibri" w:hAnsi="Calibri"/>
                <w:color w:val="2D3748"/>
                <w:sz w:val="18"/>
              </w:rPr>
              <w:t>Rejected (Wrong direction)</w:t>
            </w:r>
          </w:p>
        </w:tc>
      </w:tr>
      <w:tr>
        <w:tc>
          <w:tcPr>
            <w:tcW w:type="dxa" w:w="2592"/>
            <w:shd w:fill="FFFFFF"/>
            <w:tcMar>
              <w:top w:w="80" w:type="dxa"/>
              <w:bottom w:w="80" w:type="dxa"/>
              <w:left w:w="160" w:type="dxa"/>
              <w:right w:w="160" w:type="dxa"/>
            </w:tcMar>
          </w:tcPr>
          <w:p>
            <w:pPr>
              <w:jc w:val="left"/>
            </w:pPr>
            <w:r>
              <w:rPr>
                <w:rFonts w:ascii="Calibri" w:hAnsi="Calibri"/>
                <w:color w:val="2D3748"/>
                <w:sz w:val="18"/>
              </w:rPr>
              <w:t>word 7-gram (cleaned text)</w:t>
            </w:r>
          </w:p>
        </w:tc>
        <w:tc>
          <w:tcPr>
            <w:tcW w:type="dxa" w:w="1872"/>
            <w:shd w:fill="FFFFFF"/>
            <w:tcMar>
              <w:top w:w="80" w:type="dxa"/>
              <w:bottom w:w="80" w:type="dxa"/>
              <w:left w:w="160" w:type="dxa"/>
              <w:right w:w="160" w:type="dxa"/>
            </w:tcMar>
          </w:tcPr>
          <w:p>
            <w:pPr>
              <w:jc w:val="left"/>
            </w:pPr>
            <w:r>
              <w:rPr>
                <w:rFonts w:ascii="Calibri" w:hAnsi="Calibri"/>
                <w:color w:val="2D3748"/>
                <w:sz w:val="18"/>
              </w:rPr>
              <w:t>0.7530 (mean)</w:t>
            </w:r>
          </w:p>
        </w:tc>
        <w:tc>
          <w:tcPr>
            <w:tcW w:type="dxa" w:w="1872"/>
            <w:shd w:fill="FFFFFF"/>
            <w:tcMar>
              <w:top w:w="80" w:type="dxa"/>
              <w:bottom w:w="80" w:type="dxa"/>
              <w:left w:w="160" w:type="dxa"/>
              <w:right w:w="160" w:type="dxa"/>
            </w:tcMar>
          </w:tcPr>
          <w:p>
            <w:pPr>
              <w:jc w:val="left"/>
            </w:pPr>
            <w:r>
              <w:rPr>
                <w:rFonts w:ascii="Calibri" w:hAnsi="Calibri"/>
                <w:color w:val="2D3748"/>
                <w:sz w:val="18"/>
              </w:rPr>
              <w:t>0.2250 (mean)</w:t>
            </w:r>
          </w:p>
        </w:tc>
        <w:tc>
          <w:tcPr>
            <w:tcW w:type="dxa" w:w="1872"/>
            <w:shd w:fill="FFFFFF"/>
            <w:tcMar>
              <w:top w:w="80" w:type="dxa"/>
              <w:bottom w:w="80" w:type="dxa"/>
              <w:left w:w="160" w:type="dxa"/>
              <w:right w:w="160" w:type="dxa"/>
            </w:tcMar>
          </w:tcPr>
          <w:p>
            <w:pPr>
              <w:jc w:val="left"/>
            </w:pPr>
            <w:r>
              <w:rPr>
                <w:rFonts w:ascii="Calibri" w:hAnsi="Calibri"/>
                <w:color w:val="2D3748"/>
                <w:sz w:val="18"/>
              </w:rPr>
              <w:t>+0.5280</w:t>
            </w:r>
          </w:p>
        </w:tc>
        <w:tc>
          <w:tcPr>
            <w:tcW w:type="dxa" w:w="1872"/>
            <w:shd w:fill="FFFFFF"/>
            <w:tcMar>
              <w:top w:w="80" w:type="dxa"/>
              <w:bottom w:w="80" w:type="dxa"/>
              <w:left w:w="160" w:type="dxa"/>
              <w:right w:w="160" w:type="dxa"/>
            </w:tcMar>
          </w:tcPr>
          <w:p>
            <w:pPr>
              <w:jc w:val="left"/>
            </w:pPr>
            <w:r>
              <w:rPr>
                <w:rFonts w:ascii="Calibri" w:hAnsi="Calibri"/>
                <w:color w:val="2D3748"/>
                <w:sz w:val="18"/>
              </w:rPr>
              <w:t>ADOPTED (+0.53 positive margin)</w:t>
            </w:r>
          </w:p>
        </w:tc>
      </w:tr>
    </w:tbl>
    <w:p>
      <w:pPr>
        <w:spacing w:after="160"/>
      </w:pPr>
    </w:p>
    <w:p>
      <w:pPr>
        <w:pStyle w:val="Heading1"/>
        <w:spacing w:before="240" w:after="80"/>
      </w:pPr>
      <w:r>
        <w:t>4. Section B: Trading Exactness for Space Deliberately</w:t>
      </w:r>
    </w:p>
    <w:p>
      <w:r>
        <w:t>Rather than adopting a tutorial default, sketch size n is derived analytically from the application accuracy requirement. At the operating merge threshold J = 0.65, we mandate standard error σ &lt; 0.05:</w:t>
        <w:br/>
        <w:br/>
        <w:t xml:space="preserve">   σ = sqrt(J * (1 - J) / n)  &lt;  0.05  ==&gt;  n &gt; (0.65 * 0.35) / 0.0025 = 91.0 permutations.</w:t>
        <w:br/>
        <w:br/>
        <w:t>We chose n = 128 (the next power of 2 &gt;= 91), allowing exact bitwise band partitioning (b=32, r=4).</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880"/>
            <w:shd w:fill="1A365D"/>
            <w:tcMar>
              <w:top w:w="120" w:type="dxa"/>
              <w:bottom w:w="120" w:type="dxa"/>
              <w:left w:w="160" w:type="dxa"/>
              <w:right w:w="160" w:type="dxa"/>
            </w:tcMar>
          </w:tcPr>
          <w:p>
            <w:pPr>
              <w:jc w:val="left"/>
            </w:pPr>
            <w:r>
              <w:rPr>
                <w:rFonts w:ascii="Calibri" w:hAnsi="Calibri"/>
                <w:b/>
                <w:color w:val="FFFFFF"/>
                <w:sz w:val="19"/>
              </w:rPr>
              <w:t>Metric</w:t>
            </w:r>
          </w:p>
        </w:tc>
        <w:tc>
          <w:tcPr>
            <w:tcW w:type="dxa" w:w="2592"/>
            <w:shd w:fill="1A365D"/>
            <w:tcMar>
              <w:top w:w="120" w:type="dxa"/>
              <w:bottom w:w="120" w:type="dxa"/>
              <w:left w:w="160" w:type="dxa"/>
              <w:right w:w="160" w:type="dxa"/>
            </w:tcMar>
          </w:tcPr>
          <w:p>
            <w:pPr>
              <w:jc w:val="left"/>
            </w:pPr>
            <w:r>
              <w:rPr>
                <w:rFonts w:ascii="Calibri" w:hAnsi="Calibri"/>
                <w:b/>
                <w:color w:val="FFFFFF"/>
                <w:sz w:val="19"/>
              </w:rPr>
              <w:t>Target / Theoretical</w:t>
            </w:r>
          </w:p>
        </w:tc>
        <w:tc>
          <w:tcPr>
            <w:tcW w:type="dxa" w:w="2592"/>
            <w:shd w:fill="1A365D"/>
            <w:tcMar>
              <w:top w:w="120" w:type="dxa"/>
              <w:bottom w:w="120" w:type="dxa"/>
              <w:left w:w="160" w:type="dxa"/>
              <w:right w:w="160" w:type="dxa"/>
            </w:tcMar>
          </w:tcPr>
          <w:p>
            <w:pPr>
              <w:jc w:val="left"/>
            </w:pPr>
            <w:r>
              <w:rPr>
                <w:rFonts w:ascii="Calibri" w:hAnsi="Calibri"/>
                <w:b/>
                <w:color w:val="FFFFFF"/>
                <w:sz w:val="19"/>
              </w:rPr>
              <w:t>Empirically Measured</w:t>
            </w:r>
          </w:p>
        </w:tc>
        <w:tc>
          <w:tcPr>
            <w:tcW w:type="dxa" w:w="2016"/>
            <w:shd w:fill="1A365D"/>
            <w:tcMar>
              <w:top w:w="120" w:type="dxa"/>
              <w:bottom w:w="120" w:type="dxa"/>
              <w:left w:w="160" w:type="dxa"/>
              <w:right w:w="160" w:type="dxa"/>
            </w:tcMar>
          </w:tcPr>
          <w:p>
            <w:pPr>
              <w:jc w:val="left"/>
            </w:pPr>
            <w:r>
              <w:rPr>
                <w:rFonts w:ascii="Calibri" w:hAnsi="Calibri"/>
                <w:b/>
                <w:color w:val="FFFFFF"/>
                <w:sz w:val="19"/>
              </w:rPr>
              <w:t>Status</w:t>
            </w:r>
          </w:p>
        </w:tc>
      </w:tr>
      <w:tr>
        <w:tc>
          <w:tcPr>
            <w:tcW w:type="dxa" w:w="2880"/>
            <w:shd w:fill="FFFFFF"/>
            <w:tcMar>
              <w:top w:w="80" w:type="dxa"/>
              <w:bottom w:w="80" w:type="dxa"/>
              <w:left w:w="160" w:type="dxa"/>
              <w:right w:w="160" w:type="dxa"/>
            </w:tcMar>
          </w:tcPr>
          <w:p>
            <w:pPr>
              <w:jc w:val="left"/>
            </w:pPr>
            <w:r>
              <w:rPr>
                <w:rFonts w:ascii="Calibri" w:hAnsi="Calibri"/>
                <w:color w:val="2D3748"/>
                <w:sz w:val="18"/>
              </w:rPr>
              <w:t>Sketch Storage per Notice</w:t>
            </w:r>
          </w:p>
        </w:tc>
        <w:tc>
          <w:tcPr>
            <w:tcW w:type="dxa" w:w="2592"/>
            <w:shd w:fill="FFFFFF"/>
            <w:tcMar>
              <w:top w:w="80" w:type="dxa"/>
              <w:bottom w:w="80" w:type="dxa"/>
              <w:left w:w="160" w:type="dxa"/>
              <w:right w:w="160" w:type="dxa"/>
            </w:tcMar>
          </w:tcPr>
          <w:p>
            <w:pPr>
              <w:jc w:val="left"/>
            </w:pPr>
            <w:r>
              <w:rPr>
                <w:rFonts w:ascii="Calibri" w:hAnsi="Calibri"/>
                <w:color w:val="2D3748"/>
                <w:sz w:val="18"/>
              </w:rPr>
              <w:t>128 uint32 values (512 B)</w:t>
            </w:r>
          </w:p>
        </w:tc>
        <w:tc>
          <w:tcPr>
            <w:tcW w:type="dxa" w:w="2592"/>
            <w:shd w:fill="FFFFFF"/>
            <w:tcMar>
              <w:top w:w="80" w:type="dxa"/>
              <w:bottom w:w="80" w:type="dxa"/>
              <w:left w:w="160" w:type="dxa"/>
              <w:right w:w="160" w:type="dxa"/>
            </w:tcMar>
          </w:tcPr>
          <w:p>
            <w:pPr>
              <w:jc w:val="left"/>
            </w:pPr>
            <w:r>
              <w:rPr>
                <w:rFonts w:ascii="Calibri" w:hAnsi="Calibri"/>
                <w:color w:val="2D3748"/>
                <w:sz w:val="18"/>
              </w:rPr>
              <w:t>512 B (vs ~4.5 KB raw text)</w:t>
            </w:r>
          </w:p>
        </w:tc>
        <w:tc>
          <w:tcPr>
            <w:tcW w:type="dxa" w:w="2016"/>
            <w:shd w:fill="FFFFFF"/>
            <w:tcMar>
              <w:top w:w="80" w:type="dxa"/>
              <w:bottom w:w="80" w:type="dxa"/>
              <w:left w:w="160" w:type="dxa"/>
              <w:right w:w="160" w:type="dxa"/>
            </w:tcMar>
          </w:tcPr>
          <w:p>
            <w:pPr>
              <w:jc w:val="left"/>
            </w:pPr>
            <w:r>
              <w:rPr>
                <w:rFonts w:ascii="Calibri" w:hAnsi="Calibri"/>
                <w:color w:val="2D3748"/>
                <w:sz w:val="18"/>
              </w:rPr>
              <w:t>89% RAM Reduction</w:t>
            </w:r>
          </w:p>
        </w:tc>
      </w:tr>
      <w:tr>
        <w:tc>
          <w:tcPr>
            <w:tcW w:type="dxa" w:w="2880"/>
            <w:shd w:fill="F7FAFC"/>
            <w:tcMar>
              <w:top w:w="80" w:type="dxa"/>
              <w:bottom w:w="80" w:type="dxa"/>
              <w:left w:w="160" w:type="dxa"/>
              <w:right w:w="160" w:type="dxa"/>
            </w:tcMar>
          </w:tcPr>
          <w:p>
            <w:pPr>
              <w:jc w:val="left"/>
            </w:pPr>
            <w:r>
              <w:rPr>
                <w:rFonts w:ascii="Calibri" w:hAnsi="Calibri"/>
                <w:color w:val="2D3748"/>
                <w:sz w:val="18"/>
              </w:rPr>
              <w:t>Total Corpus Sketch Size</w:t>
            </w:r>
          </w:p>
        </w:tc>
        <w:tc>
          <w:tcPr>
            <w:tcW w:type="dxa" w:w="2592"/>
            <w:shd w:fill="F7FAFC"/>
            <w:tcMar>
              <w:top w:w="80" w:type="dxa"/>
              <w:bottom w:w="80" w:type="dxa"/>
              <w:left w:w="160" w:type="dxa"/>
              <w:right w:w="160" w:type="dxa"/>
            </w:tcMar>
          </w:tcPr>
          <w:p>
            <w:pPr>
              <w:jc w:val="left"/>
            </w:pPr>
            <w:r>
              <w:rPr>
                <w:rFonts w:ascii="Calibri" w:hAnsi="Calibri"/>
                <w:color w:val="2D3748"/>
                <w:sz w:val="18"/>
              </w:rPr>
              <w:t>&lt; 10 MB</w:t>
            </w:r>
          </w:p>
        </w:tc>
        <w:tc>
          <w:tcPr>
            <w:tcW w:type="dxa" w:w="2592"/>
            <w:shd w:fill="F7FAFC"/>
            <w:tcMar>
              <w:top w:w="80" w:type="dxa"/>
              <w:bottom w:w="80" w:type="dxa"/>
              <w:left w:w="160" w:type="dxa"/>
              <w:right w:w="160" w:type="dxa"/>
            </w:tcMar>
          </w:tcPr>
          <w:p>
            <w:pPr>
              <w:jc w:val="left"/>
            </w:pPr>
            <w:r>
              <w:rPr>
                <w:rFonts w:ascii="Calibri" w:hAnsi="Calibri"/>
                <w:color w:val="2D3748"/>
                <w:sz w:val="18"/>
              </w:rPr>
              <w:t>6.1 MB across 12,000 notices</w:t>
            </w:r>
          </w:p>
        </w:tc>
        <w:tc>
          <w:tcPr>
            <w:tcW w:type="dxa" w:w="2016"/>
            <w:shd w:fill="F7FAFC"/>
            <w:tcMar>
              <w:top w:w="80" w:type="dxa"/>
              <w:bottom w:w="80" w:type="dxa"/>
              <w:left w:w="160" w:type="dxa"/>
              <w:right w:w="160" w:type="dxa"/>
            </w:tcMar>
          </w:tcPr>
          <w:p>
            <w:pPr>
              <w:jc w:val="left"/>
            </w:pPr>
            <w:r>
              <w:rPr>
                <w:rFonts w:ascii="Calibri" w:hAnsi="Calibri"/>
                <w:color w:val="2D3748"/>
                <w:sz w:val="18"/>
              </w:rPr>
              <w:t>Fits in L3 cache</w:t>
            </w:r>
          </w:p>
        </w:tc>
      </w:tr>
      <w:tr>
        <w:tc>
          <w:tcPr>
            <w:tcW w:type="dxa" w:w="2880"/>
            <w:shd w:fill="FFFFFF"/>
            <w:tcMar>
              <w:top w:w="80" w:type="dxa"/>
              <w:bottom w:w="80" w:type="dxa"/>
              <w:left w:w="160" w:type="dxa"/>
              <w:right w:w="160" w:type="dxa"/>
            </w:tcMar>
          </w:tcPr>
          <w:p>
            <w:pPr>
              <w:jc w:val="left"/>
            </w:pPr>
            <w:r>
              <w:rPr>
                <w:rFonts w:ascii="Calibri" w:hAnsi="Calibri"/>
                <w:color w:val="2D3748"/>
                <w:sz w:val="18"/>
              </w:rPr>
              <w:t>Mean Absolute Error (MAE)</w:t>
            </w:r>
          </w:p>
        </w:tc>
        <w:tc>
          <w:tcPr>
            <w:tcW w:type="dxa" w:w="2592"/>
            <w:shd w:fill="FFFFFF"/>
            <w:tcMar>
              <w:top w:w="80" w:type="dxa"/>
              <w:bottom w:w="80" w:type="dxa"/>
              <w:left w:w="160" w:type="dxa"/>
              <w:right w:w="160" w:type="dxa"/>
            </w:tcMar>
          </w:tcPr>
          <w:p>
            <w:pPr>
              <w:jc w:val="left"/>
            </w:pPr>
            <w:r>
              <w:rPr>
                <w:rFonts w:ascii="Calibri" w:hAnsi="Calibri"/>
                <w:color w:val="2D3748"/>
                <w:sz w:val="18"/>
              </w:rPr>
              <w:t>&lt; 0.050</w:t>
            </w:r>
          </w:p>
        </w:tc>
        <w:tc>
          <w:tcPr>
            <w:tcW w:type="dxa" w:w="2592"/>
            <w:shd w:fill="FFFFFF"/>
            <w:tcMar>
              <w:top w:w="80" w:type="dxa"/>
              <w:bottom w:w="80" w:type="dxa"/>
              <w:left w:w="160" w:type="dxa"/>
              <w:right w:w="160" w:type="dxa"/>
            </w:tcMar>
          </w:tcPr>
          <w:p>
            <w:pPr>
              <w:jc w:val="left"/>
            </w:pPr>
            <w:r>
              <w:rPr>
                <w:rFonts w:ascii="Calibri" w:hAnsi="Calibri"/>
                <w:color w:val="2D3748"/>
                <w:sz w:val="18"/>
              </w:rPr>
              <w:t>0.0296</w:t>
            </w:r>
          </w:p>
        </w:tc>
        <w:tc>
          <w:tcPr>
            <w:tcW w:type="dxa" w:w="2016"/>
            <w:shd w:fill="FFFFFF"/>
            <w:tcMar>
              <w:top w:w="80" w:type="dxa"/>
              <w:bottom w:w="80" w:type="dxa"/>
              <w:left w:w="160" w:type="dxa"/>
              <w:right w:w="160" w:type="dxa"/>
            </w:tcMar>
          </w:tcPr>
          <w:p>
            <w:pPr>
              <w:jc w:val="left"/>
            </w:pPr>
            <w:r>
              <w:rPr>
                <w:rFonts w:ascii="Calibri" w:hAnsi="Calibri"/>
                <w:color w:val="2D3748"/>
                <w:sz w:val="18"/>
              </w:rPr>
              <w:t>PASSED (Well within target)</w:t>
            </w:r>
          </w:p>
        </w:tc>
      </w:tr>
      <w:tr>
        <w:tc>
          <w:tcPr>
            <w:tcW w:type="dxa" w:w="2880"/>
            <w:shd w:fill="F7FAFC"/>
            <w:tcMar>
              <w:top w:w="80" w:type="dxa"/>
              <w:bottom w:w="80" w:type="dxa"/>
              <w:left w:w="160" w:type="dxa"/>
              <w:right w:w="160" w:type="dxa"/>
            </w:tcMar>
          </w:tcPr>
          <w:p>
            <w:pPr>
              <w:jc w:val="left"/>
            </w:pPr>
            <w:r>
              <w:rPr>
                <w:rFonts w:ascii="Calibri" w:hAnsi="Calibri"/>
                <w:color w:val="2D3748"/>
                <w:sz w:val="18"/>
              </w:rPr>
              <w:t>Standard Deviation (σ)</w:t>
            </w:r>
          </w:p>
        </w:tc>
        <w:tc>
          <w:tcPr>
            <w:tcW w:type="dxa" w:w="2592"/>
            <w:shd w:fill="F7FAFC"/>
            <w:tcMar>
              <w:top w:w="80" w:type="dxa"/>
              <w:bottom w:w="80" w:type="dxa"/>
              <w:left w:w="160" w:type="dxa"/>
              <w:right w:w="160" w:type="dxa"/>
            </w:tcMar>
          </w:tcPr>
          <w:p>
            <w:pPr>
              <w:jc w:val="left"/>
            </w:pPr>
            <w:r>
              <w:rPr>
                <w:rFonts w:ascii="Calibri" w:hAnsi="Calibri"/>
                <w:color w:val="2D3748"/>
                <w:sz w:val="18"/>
              </w:rPr>
              <w:t>&lt; 0.050</w:t>
            </w:r>
          </w:p>
        </w:tc>
        <w:tc>
          <w:tcPr>
            <w:tcW w:type="dxa" w:w="2592"/>
            <w:shd w:fill="F7FAFC"/>
            <w:tcMar>
              <w:top w:w="80" w:type="dxa"/>
              <w:bottom w:w="80" w:type="dxa"/>
              <w:left w:w="160" w:type="dxa"/>
              <w:right w:w="160" w:type="dxa"/>
            </w:tcMar>
          </w:tcPr>
          <w:p>
            <w:pPr>
              <w:jc w:val="left"/>
            </w:pPr>
            <w:r>
              <w:rPr>
                <w:rFonts w:ascii="Calibri" w:hAnsi="Calibri"/>
                <w:color w:val="2D3748"/>
                <w:sz w:val="18"/>
              </w:rPr>
              <w:t>0.0231</w:t>
            </w:r>
          </w:p>
        </w:tc>
        <w:tc>
          <w:tcPr>
            <w:tcW w:type="dxa" w:w="2016"/>
            <w:shd w:fill="F7FAFC"/>
            <w:tcMar>
              <w:top w:w="80" w:type="dxa"/>
              <w:bottom w:w="80" w:type="dxa"/>
              <w:left w:w="160" w:type="dxa"/>
              <w:right w:w="160" w:type="dxa"/>
            </w:tcMar>
          </w:tcPr>
          <w:p>
            <w:pPr>
              <w:jc w:val="left"/>
            </w:pPr>
            <w:r>
              <w:rPr>
                <w:rFonts w:ascii="Calibri" w:hAnsi="Calibri"/>
                <w:color w:val="2D3748"/>
                <w:sz w:val="18"/>
              </w:rPr>
              <w:t>PASSED</w:t>
            </w:r>
          </w:p>
        </w:tc>
      </w:tr>
      <w:tr>
        <w:tc>
          <w:tcPr>
            <w:tcW w:type="dxa" w:w="2880"/>
            <w:shd w:fill="FFFFFF"/>
            <w:tcMar>
              <w:top w:w="80" w:type="dxa"/>
              <w:bottom w:w="80" w:type="dxa"/>
              <w:left w:w="160" w:type="dxa"/>
              <w:right w:w="160" w:type="dxa"/>
            </w:tcMar>
          </w:tcPr>
          <w:p>
            <w:pPr>
              <w:jc w:val="left"/>
            </w:pPr>
            <w:r>
              <w:rPr>
                <w:rFonts w:ascii="Calibri" w:hAnsi="Calibri"/>
                <w:color w:val="2D3748"/>
                <w:sz w:val="18"/>
              </w:rPr>
              <w:t>Tail Error (|error| &gt; 0.05)</w:t>
            </w:r>
          </w:p>
        </w:tc>
        <w:tc>
          <w:tcPr>
            <w:tcW w:type="dxa" w:w="2592"/>
            <w:shd w:fill="FFFFFF"/>
            <w:tcMar>
              <w:top w:w="80" w:type="dxa"/>
              <w:bottom w:w="80" w:type="dxa"/>
              <w:left w:w="160" w:type="dxa"/>
              <w:right w:w="160" w:type="dxa"/>
            </w:tcMar>
          </w:tcPr>
          <w:p>
            <w:pPr>
              <w:jc w:val="left"/>
            </w:pPr>
            <w:r>
              <w:rPr>
                <w:rFonts w:ascii="Calibri" w:hAnsi="Calibri"/>
                <w:color w:val="2D3748"/>
                <w:sz w:val="18"/>
              </w:rPr>
              <w:t>Sparse notice tails</w:t>
            </w:r>
          </w:p>
        </w:tc>
        <w:tc>
          <w:tcPr>
            <w:tcW w:type="dxa" w:w="2592"/>
            <w:shd w:fill="FFFFFF"/>
            <w:tcMar>
              <w:top w:w="80" w:type="dxa"/>
              <w:bottom w:w="80" w:type="dxa"/>
              <w:left w:w="160" w:type="dxa"/>
              <w:right w:w="160" w:type="dxa"/>
            </w:tcMar>
          </w:tcPr>
          <w:p>
            <w:pPr>
              <w:jc w:val="left"/>
            </w:pPr>
            <w:r>
              <w:rPr>
                <w:rFonts w:ascii="Calibri" w:hAnsi="Calibri"/>
                <w:color w:val="2D3748"/>
                <w:sz w:val="18"/>
              </w:rPr>
              <w:t>18.6% (concentrated in terse &lt;200 char notices)</w:t>
            </w:r>
          </w:p>
        </w:tc>
        <w:tc>
          <w:tcPr>
            <w:tcW w:type="dxa" w:w="2016"/>
            <w:shd w:fill="FFFFFF"/>
            <w:tcMar>
              <w:top w:w="80" w:type="dxa"/>
              <w:bottom w:w="80" w:type="dxa"/>
              <w:left w:w="160" w:type="dxa"/>
              <w:right w:w="160" w:type="dxa"/>
            </w:tcMar>
          </w:tcPr>
          <w:p>
            <w:pPr>
              <w:jc w:val="left"/>
            </w:pPr>
            <w:r>
              <w:rPr>
                <w:rFonts w:ascii="Calibri" w:hAnsi="Calibri"/>
                <w:color w:val="2D3748"/>
                <w:sz w:val="18"/>
              </w:rPr>
              <w:t>Absorbed by merge margin</w:t>
            </w:r>
          </w:p>
        </w:tc>
      </w:tr>
    </w:tbl>
    <w:p>
      <w:pPr>
        <w:spacing w:after="160"/>
      </w:pPr>
    </w:p>
    <w:p>
      <w:pPr>
        <w:spacing w:before="80"/>
      </w:pPr>
    </w:p>
    <w:p>
      <w:r>
        <w:drawing>
          <wp:inline xmlns:a="http://schemas.openxmlformats.org/drawingml/2006/main" xmlns:pic="http://schemas.openxmlformats.org/drawingml/2006/picture">
            <wp:extent cx="5029200" cy="3657600"/>
            <wp:docPr id="1" name="Picture 1"/>
            <wp:cNvGraphicFramePr>
              <a:graphicFrameLocks noChangeAspect="1"/>
            </wp:cNvGraphicFramePr>
            <a:graphic>
              <a:graphicData uri="http://schemas.openxmlformats.org/drawingml/2006/picture">
                <pic:pic>
                  <pic:nvPicPr>
                    <pic:cNvPr id="0" name="B_minhash_error.png"/>
                    <pic:cNvPicPr/>
                  </pic:nvPicPr>
                  <pic:blipFill>
                    <a:blip r:embed="rId9"/>
                    <a:stretch>
                      <a:fillRect/>
                    </a:stretch>
                  </pic:blipFill>
                  <pic:spPr>
                    <a:xfrm>
                      <a:off x="0" y="0"/>
                      <a:ext cx="5029200" cy="3657600"/>
                    </a:xfrm>
                    <a:prstGeom prst="rect"/>
                  </pic:spPr>
                </pic:pic>
              </a:graphicData>
            </a:graphic>
          </wp:inline>
        </w:drawing>
      </w:r>
    </w:p>
    <w:p>
      <w:pPr>
        <w:spacing w:after="200"/>
        <w:jc w:val="center"/>
      </w:pPr>
      <w:r>
        <w:rPr>
          <w:i/>
          <w:sz w:val="17"/>
        </w:rPr>
        <w:t>Figure 1: MinHash Jaccard estimation error distribution across 900 labelled pairs (MAE = 0.0296).</w:t>
      </w:r>
    </w:p>
    <w:p>
      <w:pPr>
        <w:pStyle w:val="Heading1"/>
        <w:spacing w:before="240" w:after="80"/>
      </w:pPr>
      <w:r>
        <w:t>5. Section C: Sublinear Retrieval and Asymmetric Pricing</w:t>
      </w:r>
    </w:p>
    <w:p>
      <w:r>
        <w:t>Candidate generation uses Locality Sensitive Hashing (LSH) with b = 32 bands and r = 4 rows per band (b * r = 128). The probability of a pair colliding in at least one band is governed by the S-curve: P(collision | s) = 1 - (1 - s^r)^b.</w:t>
        <w:br/>
        <w:br/>
        <w:t>Asymmetric Cost Justification: The head of production mandated an explicit cost penalty: a False Merge (FP) carries a 9× penalty because merging two distinct contracts causes a bidder to miss a legal deadline and sue. A False Miss (FN) carries only a 1× penalty. To honor this, we decouple retrieval into two stages: a sensitive LSH candidate threshold (s = 0.35, P &gt; 98.8%) to guarantee high candidate recall, followed by a strict pairwise merge threshold (J &gt;= 0.65) to eliminate false merges.</w:t>
      </w:r>
    </w:p>
    <w:p>
      <w:r>
        <w:drawing>
          <wp:inline xmlns:a="http://schemas.openxmlformats.org/drawingml/2006/main" xmlns:pic="http://schemas.openxmlformats.org/drawingml/2006/picture">
            <wp:extent cx="5029200" cy="3220872"/>
            <wp:docPr id="2" name="Picture 2"/>
            <wp:cNvGraphicFramePr>
              <a:graphicFrameLocks noChangeAspect="1"/>
            </wp:cNvGraphicFramePr>
            <a:graphic>
              <a:graphicData uri="http://schemas.openxmlformats.org/drawingml/2006/picture">
                <pic:pic>
                  <pic:nvPicPr>
                    <pic:cNvPr id="0" name="C_lsh_recall_curve.png"/>
                    <pic:cNvPicPr/>
                  </pic:nvPicPr>
                  <pic:blipFill>
                    <a:blip r:embed="rId10"/>
                    <a:stretch>
                      <a:fillRect/>
                    </a:stretch>
                  </pic:blipFill>
                  <pic:spPr>
                    <a:xfrm>
                      <a:off x="0" y="0"/>
                      <a:ext cx="5029200" cy="3220872"/>
                    </a:xfrm>
                    <a:prstGeom prst="rect"/>
                  </pic:spPr>
                </pic:pic>
              </a:graphicData>
            </a:graphic>
          </wp:inline>
        </w:drawing>
      </w:r>
    </w:p>
    <w:p>
      <w:pPr>
        <w:spacing w:after="200"/>
        <w:jc w:val="center"/>
      </w:pPr>
      <w:r>
        <w:rPr>
          <w:i/>
          <w:sz w:val="17"/>
        </w:rPr>
        <w:t>Figure 2: LSH theoretical collision S-curve vs empirical recall on labelled pairs (operating threshold = 0.35).</w:t>
      </w:r>
    </w:p>
    <w:p>
      <w:pPr>
        <w:pStyle w:val="Heading1"/>
        <w:spacing w:before="240" w:after="80"/>
      </w:pPr>
      <w:r>
        <w:t>6. Section D: Relational Database Access Path &amp; EXPLAIN ANALYSE</w:t>
      </w:r>
    </w:p>
    <w:p>
      <w:r>
        <w:t>To guarantee that state survives process restarts, the retrieval index is housed in PostgreSQL across four normalized tables: notices, lsh_bands (384,000 rows), candidate_pairs, and opportunities.</w:t>
        <w:br/>
        <w:br/>
        <w:t>Access Method Choice: At lookup time, the pipeline queries: SELECT notice_id FROM lsh_bands WHERE band_id = $1 AND bucket_key = $2. Because this is a point equality lookup on a high-cardinality composite key, a composite B-tree index on (band_id, bucket_key) is optimal. GIN was rejected due to inverted-index maintenance overhead on batch write, and Hash indexes were rejected due to poor composite key support. EXPLAIN ANALYSE confirms the physical execution speedup:</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2592"/>
            <w:shd w:fill="1A365D"/>
            <w:tcMar>
              <w:top w:w="120" w:type="dxa"/>
              <w:bottom w:w="120" w:type="dxa"/>
              <w:left w:w="160" w:type="dxa"/>
              <w:right w:w="160" w:type="dxa"/>
            </w:tcMar>
          </w:tcPr>
          <w:p>
            <w:pPr>
              <w:jc w:val="left"/>
            </w:pPr>
            <w:r>
              <w:rPr>
                <w:rFonts w:ascii="Calibri" w:hAnsi="Calibri"/>
                <w:b/>
                <w:color w:val="FFFFFF"/>
                <w:sz w:val="19"/>
              </w:rPr>
              <w:t>Access Method</w:t>
            </w:r>
          </w:p>
        </w:tc>
        <w:tc>
          <w:tcPr>
            <w:tcW w:type="dxa" w:w="3168"/>
            <w:shd w:fill="1A365D"/>
            <w:tcMar>
              <w:top w:w="120" w:type="dxa"/>
              <w:bottom w:w="120" w:type="dxa"/>
              <w:left w:w="160" w:type="dxa"/>
              <w:right w:w="160" w:type="dxa"/>
            </w:tcMar>
          </w:tcPr>
          <w:p>
            <w:pPr>
              <w:jc w:val="left"/>
            </w:pPr>
            <w:r>
              <w:rPr>
                <w:rFonts w:ascii="Calibri" w:hAnsi="Calibri"/>
                <w:b/>
                <w:color w:val="FFFFFF"/>
                <w:sz w:val="19"/>
              </w:rPr>
              <w:t>PostgreSQL Planner Path</w:t>
            </w:r>
          </w:p>
        </w:tc>
        <w:tc>
          <w:tcPr>
            <w:tcW w:type="dxa" w:w="2016"/>
            <w:shd w:fill="1A365D"/>
            <w:tcMar>
              <w:top w:w="120" w:type="dxa"/>
              <w:bottom w:w="120" w:type="dxa"/>
              <w:left w:w="160" w:type="dxa"/>
              <w:right w:w="160" w:type="dxa"/>
            </w:tcMar>
          </w:tcPr>
          <w:p>
            <w:pPr>
              <w:jc w:val="left"/>
            </w:pPr>
            <w:r>
              <w:rPr>
                <w:rFonts w:ascii="Calibri" w:hAnsi="Calibri"/>
                <w:b/>
                <w:color w:val="FFFFFF"/>
                <w:sz w:val="19"/>
              </w:rPr>
              <w:t>Rows Examined</w:t>
            </w:r>
          </w:p>
        </w:tc>
        <w:tc>
          <w:tcPr>
            <w:tcW w:type="dxa" w:w="1440"/>
            <w:shd w:fill="1A365D"/>
            <w:tcMar>
              <w:top w:w="120" w:type="dxa"/>
              <w:bottom w:w="120" w:type="dxa"/>
              <w:left w:w="160" w:type="dxa"/>
              <w:right w:w="160" w:type="dxa"/>
            </w:tcMar>
          </w:tcPr>
          <w:p>
            <w:pPr>
              <w:jc w:val="left"/>
            </w:pPr>
            <w:r>
              <w:rPr>
                <w:rFonts w:ascii="Calibri" w:hAnsi="Calibri"/>
                <w:b/>
                <w:color w:val="FFFFFF"/>
                <w:sz w:val="19"/>
              </w:rPr>
              <w:t>Execution Time</w:t>
            </w:r>
          </w:p>
        </w:tc>
        <w:tc>
          <w:tcPr>
            <w:tcW w:type="dxa" w:w="2304"/>
            <w:shd w:fill="1A365D"/>
            <w:tcMar>
              <w:top w:w="120" w:type="dxa"/>
              <w:bottom w:w="120" w:type="dxa"/>
              <w:left w:w="160" w:type="dxa"/>
              <w:right w:w="160" w:type="dxa"/>
            </w:tcMar>
          </w:tcPr>
          <w:p>
            <w:pPr>
              <w:jc w:val="left"/>
            </w:pPr>
            <w:r>
              <w:rPr>
                <w:rFonts w:ascii="Calibri" w:hAnsi="Calibri"/>
                <w:b/>
                <w:color w:val="FFFFFF"/>
                <w:sz w:val="19"/>
              </w:rPr>
              <w:t>Verdict</w:t>
            </w:r>
          </w:p>
        </w:tc>
      </w:tr>
      <w:tr>
        <w:tc>
          <w:tcPr>
            <w:tcW w:type="dxa" w:w="2592"/>
            <w:shd w:fill="FFFFFF"/>
            <w:tcMar>
              <w:top w:w="80" w:type="dxa"/>
              <w:bottom w:w="80" w:type="dxa"/>
              <w:left w:w="160" w:type="dxa"/>
              <w:right w:w="160" w:type="dxa"/>
            </w:tcMar>
          </w:tcPr>
          <w:p>
            <w:pPr>
              <w:jc w:val="left"/>
            </w:pPr>
            <w:r>
              <w:rPr>
                <w:rFonts w:ascii="Calibri" w:hAnsi="Calibri"/>
                <w:color w:val="2D3748"/>
                <w:sz w:val="18"/>
              </w:rPr>
              <w:t>Sequential Scan (Forced)</w:t>
            </w:r>
          </w:p>
        </w:tc>
        <w:tc>
          <w:tcPr>
            <w:tcW w:type="dxa" w:w="3168"/>
            <w:shd w:fill="FFFFFF"/>
            <w:tcMar>
              <w:top w:w="80" w:type="dxa"/>
              <w:bottom w:w="80" w:type="dxa"/>
              <w:left w:w="160" w:type="dxa"/>
              <w:right w:w="160" w:type="dxa"/>
            </w:tcMar>
          </w:tcPr>
          <w:p>
            <w:pPr>
              <w:jc w:val="left"/>
            </w:pPr>
            <w:r>
              <w:rPr>
                <w:rFonts w:ascii="Calibri" w:hAnsi="Calibri"/>
                <w:color w:val="2D3748"/>
                <w:sz w:val="18"/>
              </w:rPr>
              <w:t>Parallel Seq Scan on lsh_bands</w:t>
            </w:r>
          </w:p>
        </w:tc>
        <w:tc>
          <w:tcPr>
            <w:tcW w:type="dxa" w:w="2016"/>
            <w:shd w:fill="FFFFFF"/>
            <w:tcMar>
              <w:top w:w="80" w:type="dxa"/>
              <w:bottom w:w="80" w:type="dxa"/>
              <w:left w:w="160" w:type="dxa"/>
              <w:right w:w="160" w:type="dxa"/>
            </w:tcMar>
          </w:tcPr>
          <w:p>
            <w:pPr>
              <w:jc w:val="left"/>
            </w:pPr>
            <w:r>
              <w:rPr>
                <w:rFonts w:ascii="Calibri" w:hAnsi="Calibri"/>
                <w:color w:val="2D3748"/>
                <w:sz w:val="18"/>
              </w:rPr>
              <w:t>192,000 rows scanned</w:t>
            </w:r>
          </w:p>
        </w:tc>
        <w:tc>
          <w:tcPr>
            <w:tcW w:type="dxa" w:w="1440"/>
            <w:shd w:fill="FFFFFF"/>
            <w:tcMar>
              <w:top w:w="80" w:type="dxa"/>
              <w:bottom w:w="80" w:type="dxa"/>
              <w:left w:w="160" w:type="dxa"/>
              <w:right w:w="160" w:type="dxa"/>
            </w:tcMar>
          </w:tcPr>
          <w:p>
            <w:pPr>
              <w:jc w:val="left"/>
            </w:pPr>
            <w:r>
              <w:rPr>
                <w:rFonts w:ascii="Calibri" w:hAnsi="Calibri"/>
                <w:color w:val="2D3748"/>
                <w:sz w:val="18"/>
              </w:rPr>
              <w:t>11.015 ms</w:t>
            </w:r>
          </w:p>
        </w:tc>
        <w:tc>
          <w:tcPr>
            <w:tcW w:type="dxa" w:w="2304"/>
            <w:shd w:fill="FFFFFF"/>
            <w:tcMar>
              <w:top w:w="80" w:type="dxa"/>
              <w:bottom w:w="80" w:type="dxa"/>
              <w:left w:w="160" w:type="dxa"/>
              <w:right w:w="160" w:type="dxa"/>
            </w:tcMar>
          </w:tcPr>
          <w:p>
            <w:pPr>
              <w:jc w:val="left"/>
            </w:pPr>
            <w:r>
              <w:rPr>
                <w:rFonts w:ascii="Calibri" w:hAnsi="Calibri"/>
                <w:color w:val="2D3748"/>
                <w:sz w:val="18"/>
              </w:rPr>
              <w:t>REJECTED (4,200s for corpus)</w:t>
            </w:r>
          </w:p>
        </w:tc>
      </w:tr>
      <w:tr>
        <w:tc>
          <w:tcPr>
            <w:tcW w:type="dxa" w:w="2592"/>
            <w:shd w:fill="F7FAFC"/>
            <w:tcMar>
              <w:top w:w="80" w:type="dxa"/>
              <w:bottom w:w="80" w:type="dxa"/>
              <w:left w:w="160" w:type="dxa"/>
              <w:right w:w="160" w:type="dxa"/>
            </w:tcMar>
          </w:tcPr>
          <w:p>
            <w:pPr>
              <w:jc w:val="left"/>
            </w:pPr>
            <w:r>
              <w:rPr>
                <w:rFonts w:ascii="Calibri" w:hAnsi="Calibri"/>
                <w:color w:val="2D3748"/>
                <w:sz w:val="18"/>
              </w:rPr>
              <w:t>Composite B-Tree (Chosen)</w:t>
            </w:r>
          </w:p>
        </w:tc>
        <w:tc>
          <w:tcPr>
            <w:tcW w:type="dxa" w:w="3168"/>
            <w:shd w:fill="F7FAFC"/>
            <w:tcMar>
              <w:top w:w="80" w:type="dxa"/>
              <w:bottom w:w="80" w:type="dxa"/>
              <w:left w:w="160" w:type="dxa"/>
              <w:right w:w="160" w:type="dxa"/>
            </w:tcMar>
          </w:tcPr>
          <w:p>
            <w:pPr>
              <w:jc w:val="left"/>
            </w:pPr>
            <w:r>
              <w:rPr>
                <w:rFonts w:ascii="Calibri" w:hAnsi="Calibri"/>
                <w:color w:val="2D3748"/>
                <w:sz w:val="18"/>
              </w:rPr>
              <w:t>Bitmap Index Scan on idx_lsh_band_bucket</w:t>
            </w:r>
          </w:p>
        </w:tc>
        <w:tc>
          <w:tcPr>
            <w:tcW w:type="dxa" w:w="2016"/>
            <w:shd w:fill="F7FAFC"/>
            <w:tcMar>
              <w:top w:w="80" w:type="dxa"/>
              <w:bottom w:w="80" w:type="dxa"/>
              <w:left w:w="160" w:type="dxa"/>
              <w:right w:w="160" w:type="dxa"/>
            </w:tcMar>
          </w:tcPr>
          <w:p>
            <w:pPr>
              <w:jc w:val="left"/>
            </w:pPr>
            <w:r>
              <w:rPr>
                <w:rFonts w:ascii="Calibri" w:hAnsi="Calibri"/>
                <w:color w:val="2D3748"/>
                <w:sz w:val="18"/>
              </w:rPr>
              <w:t>1 row examined</w:t>
            </w:r>
          </w:p>
        </w:tc>
        <w:tc>
          <w:tcPr>
            <w:tcW w:type="dxa" w:w="1440"/>
            <w:shd w:fill="F7FAFC"/>
            <w:tcMar>
              <w:top w:w="80" w:type="dxa"/>
              <w:bottom w:w="80" w:type="dxa"/>
              <w:left w:w="160" w:type="dxa"/>
              <w:right w:w="160" w:type="dxa"/>
            </w:tcMar>
          </w:tcPr>
          <w:p>
            <w:pPr>
              <w:jc w:val="left"/>
            </w:pPr>
            <w:r>
              <w:rPr>
                <w:rFonts w:ascii="Calibri" w:hAnsi="Calibri"/>
                <w:color w:val="2D3748"/>
                <w:sz w:val="18"/>
              </w:rPr>
              <w:t>0.057 ms</w:t>
            </w:r>
          </w:p>
        </w:tc>
        <w:tc>
          <w:tcPr>
            <w:tcW w:type="dxa" w:w="2304"/>
            <w:shd w:fill="F7FAFC"/>
            <w:tcMar>
              <w:top w:w="80" w:type="dxa"/>
              <w:bottom w:w="80" w:type="dxa"/>
              <w:left w:w="160" w:type="dxa"/>
              <w:right w:w="160" w:type="dxa"/>
            </w:tcMar>
          </w:tcPr>
          <w:p>
            <w:pPr>
              <w:jc w:val="left"/>
            </w:pPr>
            <w:r>
              <w:rPr>
                <w:rFonts w:ascii="Calibri" w:hAnsi="Calibri"/>
                <w:color w:val="2D3748"/>
                <w:sz w:val="18"/>
              </w:rPr>
              <w:t>CHOSEN (193× Faster, 22s corpus)</w:t>
            </w:r>
          </w:p>
        </w:tc>
      </w:tr>
    </w:tbl>
    <w:p>
      <w:pPr>
        <w:spacing w:after="160"/>
      </w:pPr>
    </w:p>
    <w:p>
      <w:r>
        <w:t>Bookmark Stability Invariant: Bidder bookmarks point to canonical opportunity IDs. To prevent breakage across thirty re-runs, Union-Find cluster aggregation assigns canonical_id = min(notice_id) lexicographically. When newly scraped copies arrive nightly, they merge into existing clusters and inherit the preexisting canonical_id without invalidating existing subscriber URLs.</w:t>
      </w:r>
    </w:p>
    <w:p>
      <w:pPr>
        <w:pStyle w:val="Heading1"/>
        <w:spacing w:before="240" w:after="80"/>
      </w:pPr>
      <w:r>
        <w:t>7. Section E: Empirical Hotspot Discovery and Mitigation</w:t>
      </w:r>
    </w:p>
    <w:p>
      <w:r>
        <w:t>Empirical Finding: Running unmitigated retrieval with coarse shingles (k=3) resulted in catastrophic bucket collapse: notices had a mean candidate list of 11,772 out of 12,000, exploding total comparisons to 70.6 million pairs.</w:t>
        <w:br/>
        <w:br/>
        <w:t>Mechanical Diagnosis: While nodal portals (P001–P006) contributed boilerplate, the primary culprit was shared domain vocabulary: all Indian public tenders share standard terms ('bituminous macadam', 'earnest money deposit'). At k=3, unrelated tenders collide in multiple bands.</w:t>
        <w:br/>
        <w:br/>
        <w:t>Mitigation and Quality Cost: Calibrating shingle granularity to k=7 word-shingles restored discriminating power (reducing candidate pairs from 70.6M to 9.6M). Secondary capping of residual lists at 50 candidates reduced final comparisons to 461K. The measured recall cost was an acceptable 4.3 pp loss on labelled pairs:</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3168"/>
            <w:shd w:fill="1A365D"/>
            <w:tcMar>
              <w:top w:w="120" w:type="dxa"/>
              <w:bottom w:w="120" w:type="dxa"/>
              <w:left w:w="160" w:type="dxa"/>
              <w:right w:w="160" w:type="dxa"/>
            </w:tcMar>
          </w:tcPr>
          <w:p>
            <w:pPr>
              <w:jc w:val="left"/>
            </w:pPr>
            <w:r>
              <w:rPr>
                <w:rFonts w:ascii="Calibri" w:hAnsi="Calibri"/>
                <w:b/>
                <w:color w:val="FFFFFF"/>
                <w:sz w:val="19"/>
              </w:rPr>
              <w:t>Metric</w:t>
            </w:r>
          </w:p>
        </w:tc>
        <w:tc>
          <w:tcPr>
            <w:tcW w:type="dxa" w:w="2304"/>
            <w:shd w:fill="1A365D"/>
            <w:tcMar>
              <w:top w:w="120" w:type="dxa"/>
              <w:bottom w:w="120" w:type="dxa"/>
              <w:left w:w="160" w:type="dxa"/>
              <w:right w:w="160" w:type="dxa"/>
            </w:tcMar>
          </w:tcPr>
          <w:p>
            <w:pPr>
              <w:jc w:val="left"/>
            </w:pPr>
            <w:r>
              <w:rPr>
                <w:rFonts w:ascii="Calibri" w:hAnsi="Calibri"/>
                <w:b/>
                <w:color w:val="FFFFFF"/>
                <w:sz w:val="19"/>
              </w:rPr>
              <w:t>Uncalibrated (k=3)</w:t>
            </w:r>
          </w:p>
        </w:tc>
        <w:tc>
          <w:tcPr>
            <w:tcW w:type="dxa" w:w="2304"/>
            <w:shd w:fill="1A365D"/>
            <w:tcMar>
              <w:top w:w="120" w:type="dxa"/>
              <w:bottom w:w="120" w:type="dxa"/>
              <w:left w:w="160" w:type="dxa"/>
              <w:right w:w="160" w:type="dxa"/>
            </w:tcMar>
          </w:tcPr>
          <w:p>
            <w:pPr>
              <w:jc w:val="left"/>
            </w:pPr>
            <w:r>
              <w:rPr>
                <w:rFonts w:ascii="Calibri" w:hAnsi="Calibri"/>
                <w:b/>
                <w:color w:val="FFFFFF"/>
                <w:sz w:val="19"/>
              </w:rPr>
              <w:t>k=7 Unmitigated</w:t>
            </w:r>
          </w:p>
        </w:tc>
        <w:tc>
          <w:tcPr>
            <w:tcW w:type="dxa" w:w="2592"/>
            <w:shd w:fill="1A365D"/>
            <w:tcMar>
              <w:top w:w="120" w:type="dxa"/>
              <w:bottom w:w="120" w:type="dxa"/>
              <w:left w:w="160" w:type="dxa"/>
              <w:right w:w="160" w:type="dxa"/>
            </w:tcMar>
          </w:tcPr>
          <w:p>
            <w:pPr>
              <w:jc w:val="left"/>
            </w:pPr>
            <w:r>
              <w:rPr>
                <w:rFonts w:ascii="Calibri" w:hAnsi="Calibri"/>
                <w:b/>
                <w:color w:val="FFFFFF"/>
                <w:sz w:val="19"/>
              </w:rPr>
              <w:t>k=7 Mitigated (Cap=50)</w:t>
            </w:r>
          </w:p>
        </w:tc>
      </w:tr>
      <w:tr>
        <w:tc>
          <w:tcPr>
            <w:tcW w:type="dxa" w:w="3168"/>
            <w:shd w:fill="FFFFFF"/>
            <w:tcMar>
              <w:top w:w="80" w:type="dxa"/>
              <w:bottom w:w="80" w:type="dxa"/>
              <w:left w:w="160" w:type="dxa"/>
              <w:right w:w="160" w:type="dxa"/>
            </w:tcMar>
          </w:tcPr>
          <w:p>
            <w:pPr>
              <w:jc w:val="left"/>
            </w:pPr>
            <w:r>
              <w:rPr>
                <w:rFonts w:ascii="Calibri" w:hAnsi="Calibri"/>
                <w:color w:val="2D3748"/>
                <w:sz w:val="18"/>
              </w:rPr>
              <w:t>Mean Candidate List Size</w:t>
            </w:r>
          </w:p>
        </w:tc>
        <w:tc>
          <w:tcPr>
            <w:tcW w:type="dxa" w:w="2304"/>
            <w:shd w:fill="FFFFFF"/>
            <w:tcMar>
              <w:top w:w="80" w:type="dxa"/>
              <w:bottom w:w="80" w:type="dxa"/>
              <w:left w:w="160" w:type="dxa"/>
              <w:right w:w="160" w:type="dxa"/>
            </w:tcMar>
          </w:tcPr>
          <w:p>
            <w:pPr>
              <w:jc w:val="left"/>
            </w:pPr>
            <w:r>
              <w:rPr>
                <w:rFonts w:ascii="Calibri" w:hAnsi="Calibri"/>
                <w:color w:val="2D3748"/>
                <w:sz w:val="18"/>
              </w:rPr>
              <w:t>11,772.1</w:t>
            </w:r>
          </w:p>
        </w:tc>
        <w:tc>
          <w:tcPr>
            <w:tcW w:type="dxa" w:w="2304"/>
            <w:shd w:fill="FFFFFF"/>
            <w:tcMar>
              <w:top w:w="80" w:type="dxa"/>
              <w:bottom w:w="80" w:type="dxa"/>
              <w:left w:w="160" w:type="dxa"/>
              <w:right w:w="160" w:type="dxa"/>
            </w:tcMar>
          </w:tcPr>
          <w:p>
            <w:pPr>
              <w:jc w:val="left"/>
            </w:pPr>
            <w:r>
              <w:rPr>
                <w:rFonts w:ascii="Calibri" w:hAnsi="Calibri"/>
                <w:color w:val="2D3748"/>
                <w:sz w:val="18"/>
              </w:rPr>
              <w:t>1,598.5</w:t>
            </w:r>
          </w:p>
        </w:tc>
        <w:tc>
          <w:tcPr>
            <w:tcW w:type="dxa" w:w="2592"/>
            <w:shd w:fill="FFFFFF"/>
            <w:tcMar>
              <w:top w:w="80" w:type="dxa"/>
              <w:bottom w:w="80" w:type="dxa"/>
              <w:left w:w="160" w:type="dxa"/>
              <w:right w:w="160" w:type="dxa"/>
            </w:tcMar>
          </w:tcPr>
          <w:p>
            <w:pPr>
              <w:jc w:val="left"/>
            </w:pPr>
            <w:r>
              <w:rPr>
                <w:rFonts w:ascii="Calibri" w:hAnsi="Calibri"/>
                <w:color w:val="2D3748"/>
                <w:sz w:val="18"/>
              </w:rPr>
              <w:t>50.0</w:t>
            </w:r>
          </w:p>
        </w:tc>
      </w:tr>
      <w:tr>
        <w:tc>
          <w:tcPr>
            <w:tcW w:type="dxa" w:w="3168"/>
            <w:shd w:fill="F7FAFC"/>
            <w:tcMar>
              <w:top w:w="80" w:type="dxa"/>
              <w:bottom w:w="80" w:type="dxa"/>
              <w:left w:w="160" w:type="dxa"/>
              <w:right w:w="160" w:type="dxa"/>
            </w:tcMar>
          </w:tcPr>
          <w:p>
            <w:pPr>
              <w:jc w:val="left"/>
            </w:pPr>
            <w:r>
              <w:rPr>
                <w:rFonts w:ascii="Calibri" w:hAnsi="Calibri"/>
                <w:color w:val="2D3748"/>
                <w:sz w:val="18"/>
              </w:rPr>
              <w:t>Max Candidate List Size</w:t>
            </w:r>
          </w:p>
        </w:tc>
        <w:tc>
          <w:tcPr>
            <w:tcW w:type="dxa" w:w="2304"/>
            <w:shd w:fill="F7FAFC"/>
            <w:tcMar>
              <w:top w:w="80" w:type="dxa"/>
              <w:bottom w:w="80" w:type="dxa"/>
              <w:left w:w="160" w:type="dxa"/>
              <w:right w:w="160" w:type="dxa"/>
            </w:tcMar>
          </w:tcPr>
          <w:p>
            <w:pPr>
              <w:jc w:val="left"/>
            </w:pPr>
            <w:r>
              <w:rPr>
                <w:rFonts w:ascii="Calibri" w:hAnsi="Calibri"/>
                <w:color w:val="2D3748"/>
                <w:sz w:val="18"/>
              </w:rPr>
              <w:t>11,997</w:t>
            </w:r>
          </w:p>
        </w:tc>
        <w:tc>
          <w:tcPr>
            <w:tcW w:type="dxa" w:w="2304"/>
            <w:shd w:fill="F7FAFC"/>
            <w:tcMar>
              <w:top w:w="80" w:type="dxa"/>
              <w:bottom w:w="80" w:type="dxa"/>
              <w:left w:w="160" w:type="dxa"/>
              <w:right w:w="160" w:type="dxa"/>
            </w:tcMar>
          </w:tcPr>
          <w:p>
            <w:pPr>
              <w:jc w:val="left"/>
            </w:pPr>
            <w:r>
              <w:rPr>
                <w:rFonts w:ascii="Calibri" w:hAnsi="Calibri"/>
                <w:color w:val="2D3748"/>
                <w:sz w:val="18"/>
              </w:rPr>
              <w:t>4,982</w:t>
            </w:r>
          </w:p>
        </w:tc>
        <w:tc>
          <w:tcPr>
            <w:tcW w:type="dxa" w:w="2592"/>
            <w:shd w:fill="F7FAFC"/>
            <w:tcMar>
              <w:top w:w="80" w:type="dxa"/>
              <w:bottom w:w="80" w:type="dxa"/>
              <w:left w:w="160" w:type="dxa"/>
              <w:right w:w="160" w:type="dxa"/>
            </w:tcMar>
          </w:tcPr>
          <w:p>
            <w:pPr>
              <w:jc w:val="left"/>
            </w:pPr>
            <w:r>
              <w:rPr>
                <w:rFonts w:ascii="Calibri" w:hAnsi="Calibri"/>
                <w:color w:val="2D3748"/>
                <w:sz w:val="18"/>
              </w:rPr>
              <w:t>50</w:t>
            </w:r>
          </w:p>
        </w:tc>
      </w:tr>
      <w:tr>
        <w:tc>
          <w:tcPr>
            <w:tcW w:type="dxa" w:w="3168"/>
            <w:shd w:fill="FFFFFF"/>
            <w:tcMar>
              <w:top w:w="80" w:type="dxa"/>
              <w:bottom w:w="80" w:type="dxa"/>
              <w:left w:w="160" w:type="dxa"/>
              <w:right w:w="160" w:type="dxa"/>
            </w:tcMar>
          </w:tcPr>
          <w:p>
            <w:pPr>
              <w:jc w:val="left"/>
            </w:pPr>
            <w:r>
              <w:rPr>
                <w:rFonts w:ascii="Calibri" w:hAnsi="Calibri"/>
                <w:color w:val="2D3748"/>
                <w:sz w:val="18"/>
              </w:rPr>
              <w:t>Total Candidate Pairs</w:t>
            </w:r>
          </w:p>
        </w:tc>
        <w:tc>
          <w:tcPr>
            <w:tcW w:type="dxa" w:w="2304"/>
            <w:shd w:fill="FFFFFF"/>
            <w:tcMar>
              <w:top w:w="80" w:type="dxa"/>
              <w:bottom w:w="80" w:type="dxa"/>
              <w:left w:w="160" w:type="dxa"/>
              <w:right w:w="160" w:type="dxa"/>
            </w:tcMar>
          </w:tcPr>
          <w:p>
            <w:pPr>
              <w:jc w:val="left"/>
            </w:pPr>
            <w:r>
              <w:rPr>
                <w:rFonts w:ascii="Calibri" w:hAnsi="Calibri"/>
                <w:color w:val="2D3748"/>
                <w:sz w:val="18"/>
              </w:rPr>
              <w:t>70,638,482</w:t>
            </w:r>
          </w:p>
        </w:tc>
        <w:tc>
          <w:tcPr>
            <w:tcW w:type="dxa" w:w="2304"/>
            <w:shd w:fill="FFFFFF"/>
            <w:tcMar>
              <w:top w:w="80" w:type="dxa"/>
              <w:bottom w:w="80" w:type="dxa"/>
              <w:left w:w="160" w:type="dxa"/>
              <w:right w:w="160" w:type="dxa"/>
            </w:tcMar>
          </w:tcPr>
          <w:p>
            <w:pPr>
              <w:jc w:val="left"/>
            </w:pPr>
            <w:r>
              <w:rPr>
                <w:rFonts w:ascii="Calibri" w:hAnsi="Calibri"/>
                <w:color w:val="2D3748"/>
                <w:sz w:val="18"/>
              </w:rPr>
              <w:t>9,597,019</w:t>
            </w:r>
          </w:p>
        </w:tc>
        <w:tc>
          <w:tcPr>
            <w:tcW w:type="dxa" w:w="2592"/>
            <w:shd w:fill="FFFFFF"/>
            <w:tcMar>
              <w:top w:w="80" w:type="dxa"/>
              <w:bottom w:w="80" w:type="dxa"/>
              <w:left w:w="160" w:type="dxa"/>
              <w:right w:w="160" w:type="dxa"/>
            </w:tcMar>
          </w:tcPr>
          <w:p>
            <w:pPr>
              <w:jc w:val="left"/>
            </w:pPr>
            <w:r>
              <w:rPr>
                <w:rFonts w:ascii="Calibri" w:hAnsi="Calibri"/>
                <w:color w:val="2D3748"/>
                <w:sz w:val="18"/>
              </w:rPr>
              <w:t>461,402</w:t>
            </w:r>
          </w:p>
        </w:tc>
      </w:tr>
      <w:tr>
        <w:tc>
          <w:tcPr>
            <w:tcW w:type="dxa" w:w="3168"/>
            <w:shd w:fill="F7FAFC"/>
            <w:tcMar>
              <w:top w:w="80" w:type="dxa"/>
              <w:bottom w:w="80" w:type="dxa"/>
              <w:left w:w="160" w:type="dxa"/>
              <w:right w:w="160" w:type="dxa"/>
            </w:tcMar>
          </w:tcPr>
          <w:p>
            <w:pPr>
              <w:jc w:val="left"/>
            </w:pPr>
            <w:r>
              <w:rPr>
                <w:rFonts w:ascii="Calibri" w:hAnsi="Calibri"/>
                <w:color w:val="2D3748"/>
                <w:sz w:val="18"/>
              </w:rPr>
              <w:t>Retrieval Time</w:t>
            </w:r>
          </w:p>
        </w:tc>
        <w:tc>
          <w:tcPr>
            <w:tcW w:type="dxa" w:w="2304"/>
            <w:shd w:fill="F7FAFC"/>
            <w:tcMar>
              <w:top w:w="80" w:type="dxa"/>
              <w:bottom w:w="80" w:type="dxa"/>
              <w:left w:w="160" w:type="dxa"/>
              <w:right w:w="160" w:type="dxa"/>
            </w:tcMar>
          </w:tcPr>
          <w:p>
            <w:pPr>
              <w:jc w:val="left"/>
            </w:pPr>
            <w:r>
              <w:rPr>
                <w:rFonts w:ascii="Calibri" w:hAnsi="Calibri"/>
                <w:color w:val="2D3748"/>
                <w:sz w:val="18"/>
              </w:rPr>
              <w:t>84.9 s</w:t>
            </w:r>
          </w:p>
        </w:tc>
        <w:tc>
          <w:tcPr>
            <w:tcW w:type="dxa" w:w="2304"/>
            <w:shd w:fill="F7FAFC"/>
            <w:tcMar>
              <w:top w:w="80" w:type="dxa"/>
              <w:bottom w:w="80" w:type="dxa"/>
              <w:left w:w="160" w:type="dxa"/>
              <w:right w:w="160" w:type="dxa"/>
            </w:tcMar>
          </w:tcPr>
          <w:p>
            <w:pPr>
              <w:jc w:val="left"/>
            </w:pPr>
            <w:r>
              <w:rPr>
                <w:rFonts w:ascii="Calibri" w:hAnsi="Calibri"/>
                <w:color w:val="2D3748"/>
                <w:sz w:val="18"/>
              </w:rPr>
              <w:t>10.6 s</w:t>
            </w:r>
          </w:p>
        </w:tc>
        <w:tc>
          <w:tcPr>
            <w:tcW w:type="dxa" w:w="2592"/>
            <w:shd w:fill="F7FAFC"/>
            <w:tcMar>
              <w:top w:w="80" w:type="dxa"/>
              <w:bottom w:w="80" w:type="dxa"/>
              <w:left w:w="160" w:type="dxa"/>
              <w:right w:w="160" w:type="dxa"/>
            </w:tcMar>
          </w:tcPr>
          <w:p>
            <w:pPr>
              <w:jc w:val="left"/>
            </w:pPr>
            <w:r>
              <w:rPr>
                <w:rFonts w:ascii="Calibri" w:hAnsi="Calibri"/>
                <w:color w:val="2D3748"/>
                <w:sz w:val="18"/>
              </w:rPr>
              <w:t>28.8 s (ranking overhead)</w:t>
            </w:r>
          </w:p>
        </w:tc>
      </w:tr>
      <w:tr>
        <w:tc>
          <w:tcPr>
            <w:tcW w:type="dxa" w:w="3168"/>
            <w:shd w:fill="FFFFFF"/>
            <w:tcMar>
              <w:top w:w="80" w:type="dxa"/>
              <w:bottom w:w="80" w:type="dxa"/>
              <w:left w:w="160" w:type="dxa"/>
              <w:right w:w="160" w:type="dxa"/>
            </w:tcMar>
          </w:tcPr>
          <w:p>
            <w:pPr>
              <w:jc w:val="left"/>
            </w:pPr>
            <w:r>
              <w:rPr>
                <w:rFonts w:ascii="Calibri" w:hAnsi="Calibri"/>
                <w:color w:val="2D3748"/>
                <w:sz w:val="18"/>
              </w:rPr>
              <w:t>Candidate Recall ('Same')</w:t>
            </w:r>
          </w:p>
        </w:tc>
        <w:tc>
          <w:tcPr>
            <w:tcW w:type="dxa" w:w="2304"/>
            <w:shd w:fill="FFFFFF"/>
            <w:tcMar>
              <w:top w:w="80" w:type="dxa"/>
              <w:bottom w:w="80" w:type="dxa"/>
              <w:left w:w="160" w:type="dxa"/>
              <w:right w:w="160" w:type="dxa"/>
            </w:tcMar>
          </w:tcPr>
          <w:p>
            <w:pPr>
              <w:jc w:val="left"/>
            </w:pPr>
            <w:r>
              <w:rPr>
                <w:rFonts w:ascii="Calibri" w:hAnsi="Calibri"/>
                <w:color w:val="2D3748"/>
                <w:sz w:val="18"/>
              </w:rPr>
              <w:t>1.000 (degenerate)</w:t>
            </w:r>
          </w:p>
        </w:tc>
        <w:tc>
          <w:tcPr>
            <w:tcW w:type="dxa" w:w="2304"/>
            <w:shd w:fill="FFFFFF"/>
            <w:tcMar>
              <w:top w:w="80" w:type="dxa"/>
              <w:bottom w:w="80" w:type="dxa"/>
              <w:left w:w="160" w:type="dxa"/>
              <w:right w:w="160" w:type="dxa"/>
            </w:tcMar>
          </w:tcPr>
          <w:p>
            <w:pPr>
              <w:jc w:val="left"/>
            </w:pPr>
            <w:r>
              <w:rPr>
                <w:rFonts w:ascii="Calibri" w:hAnsi="Calibri"/>
                <w:color w:val="2D3748"/>
                <w:sz w:val="18"/>
              </w:rPr>
              <w:t>0.8781</w:t>
            </w:r>
          </w:p>
        </w:tc>
        <w:tc>
          <w:tcPr>
            <w:tcW w:type="dxa" w:w="2592"/>
            <w:shd w:fill="FFFFFF"/>
            <w:tcMar>
              <w:top w:w="80" w:type="dxa"/>
              <w:bottom w:w="80" w:type="dxa"/>
              <w:left w:w="160" w:type="dxa"/>
              <w:right w:w="160" w:type="dxa"/>
            </w:tcMar>
          </w:tcPr>
          <w:p>
            <w:pPr>
              <w:jc w:val="left"/>
            </w:pPr>
            <w:r>
              <w:rPr>
                <w:rFonts w:ascii="Calibri" w:hAnsi="Calibri"/>
                <w:color w:val="2D3748"/>
                <w:sz w:val="18"/>
              </w:rPr>
              <w:t>0.8351 (-4.3 pp quality cost)</w:t>
            </w:r>
          </w:p>
        </w:tc>
      </w:tr>
    </w:tbl>
    <w:p>
      <w:pPr>
        <w:spacing w:after="160"/>
      </w:pPr>
    </w:p>
    <w:p>
      <w:r>
        <w:drawing>
          <wp:inline xmlns:a="http://schemas.openxmlformats.org/drawingml/2006/main" xmlns:pic="http://schemas.openxmlformats.org/drawingml/2006/picture">
            <wp:extent cx="5029200" cy="2064224"/>
            <wp:docPr id="3" name="Picture 3"/>
            <wp:cNvGraphicFramePr>
              <a:graphicFrameLocks noChangeAspect="1"/>
            </wp:cNvGraphicFramePr>
            <a:graphic>
              <a:graphicData uri="http://schemas.openxmlformats.org/drawingml/2006/picture">
                <pic:pic>
                  <pic:nvPicPr>
                    <pic:cNvPr id="0" name="E_work_distribution.png"/>
                    <pic:cNvPicPr/>
                  </pic:nvPicPr>
                  <pic:blipFill>
                    <a:blip r:embed="rId11"/>
                    <a:stretch>
                      <a:fillRect/>
                    </a:stretch>
                  </pic:blipFill>
                  <pic:spPr>
                    <a:xfrm>
                      <a:off x="0" y="0"/>
                      <a:ext cx="5029200" cy="2064224"/>
                    </a:xfrm>
                    <a:prstGeom prst="rect"/>
                  </pic:spPr>
                </pic:pic>
              </a:graphicData>
            </a:graphic>
          </wp:inline>
        </w:drawing>
      </w:r>
    </w:p>
    <w:p>
      <w:pPr>
        <w:spacing w:after="160"/>
        <w:jc w:val="center"/>
      </w:pPr>
      <w:r>
        <w:rPr>
          <w:i/>
          <w:sz w:val="17"/>
        </w:rPr>
        <w:t>Figure 3: Retrieval candidate list distribution across notices highlighting nodal-portal hotspots.</w:t>
      </w:r>
    </w:p>
    <w:p>
      <w:r>
        <w:drawing>
          <wp:inline xmlns:a="http://schemas.openxmlformats.org/drawingml/2006/main" xmlns:pic="http://schemas.openxmlformats.org/drawingml/2006/picture">
            <wp:extent cx="5029200" cy="3685998"/>
            <wp:docPr id="4" name="Picture 4"/>
            <wp:cNvGraphicFramePr>
              <a:graphicFrameLocks noChangeAspect="1"/>
            </wp:cNvGraphicFramePr>
            <a:graphic>
              <a:graphicData uri="http://schemas.openxmlformats.org/drawingml/2006/picture">
                <pic:pic>
                  <pic:nvPicPr>
                    <pic:cNvPr id="0" name="E_lorenz_curve.png"/>
                    <pic:cNvPicPr/>
                  </pic:nvPicPr>
                  <pic:blipFill>
                    <a:blip r:embed="rId12"/>
                    <a:stretch>
                      <a:fillRect/>
                    </a:stretch>
                  </pic:blipFill>
                  <pic:spPr>
                    <a:xfrm>
                      <a:off x="0" y="0"/>
                      <a:ext cx="5029200" cy="3685998"/>
                    </a:xfrm>
                    <a:prstGeom prst="rect"/>
                  </pic:spPr>
                </pic:pic>
              </a:graphicData>
            </a:graphic>
          </wp:inline>
        </w:drawing>
      </w:r>
    </w:p>
    <w:p>
      <w:pPr>
        <w:spacing w:after="200"/>
        <w:jc w:val="center"/>
      </w:pPr>
      <w:r>
        <w:rPr>
          <w:i/>
          <w:sz w:val="17"/>
        </w:rPr>
        <w:t>Figure 4: Lorenz curve demonstrating the concentration of candidate comparisons prior to mitigation.</w:t>
      </w:r>
    </w:p>
    <w:p>
      <w:pPr>
        <w:pStyle w:val="Heading1"/>
        <w:spacing w:before="240" w:after="80"/>
      </w:pPr>
      <w:r>
        <w:t>8. Final Ground-Truth Evaluation and Decision Summary</w:t>
      </w:r>
    </w:p>
    <w:tbl>
      <w:tblPr>
        <w:tblW w:type="auto" w:w="0"/>
        <w:jc w:val="center"/>
        <w:tblLayout w:type="fixed"/>
        <w:tblLook w:firstColumn="1" w:firstRow="1" w:lastColumn="0" w:lastRow="0" w:noHBand="0" w:noVBand="1" w:val="04A0"/>
      </w:tblPr>
      <w:tblGrid>
        <w:gridCol w:w="3312"/>
        <w:gridCol w:w="3312"/>
        <w:gridCol w:w="3312"/>
      </w:tblGrid>
      <w:tr>
        <w:tc>
          <w:tcPr>
            <w:tcW w:type="dxa" w:w="3168"/>
            <w:shd w:fill="1A365D"/>
            <w:tcMar>
              <w:top w:w="120" w:type="dxa"/>
              <w:bottom w:w="120" w:type="dxa"/>
              <w:left w:w="160" w:type="dxa"/>
              <w:right w:w="160" w:type="dxa"/>
            </w:tcMar>
          </w:tcPr>
          <w:p>
            <w:pPr>
              <w:jc w:val="left"/>
            </w:pPr>
            <w:r>
              <w:rPr>
                <w:rFonts w:ascii="Calibri" w:hAnsi="Calibri"/>
                <w:b/>
                <w:color w:val="FFFFFF"/>
                <w:sz w:val="19"/>
              </w:rPr>
              <w:t>Metric</w:t>
            </w:r>
          </w:p>
        </w:tc>
        <w:tc>
          <w:tcPr>
            <w:tcW w:type="dxa" w:w="2592"/>
            <w:shd w:fill="1A365D"/>
            <w:tcMar>
              <w:top w:w="120" w:type="dxa"/>
              <w:bottom w:w="120" w:type="dxa"/>
              <w:left w:w="160" w:type="dxa"/>
              <w:right w:w="160" w:type="dxa"/>
            </w:tcMar>
          </w:tcPr>
          <w:p>
            <w:pPr>
              <w:jc w:val="left"/>
            </w:pPr>
            <w:r>
              <w:rPr>
                <w:rFonts w:ascii="Calibri" w:hAnsi="Calibri"/>
                <w:b/>
                <w:color w:val="FFFFFF"/>
                <w:sz w:val="19"/>
              </w:rPr>
              <w:t>Measured Value</w:t>
            </w:r>
          </w:p>
        </w:tc>
        <w:tc>
          <w:tcPr>
            <w:tcW w:type="dxa" w:w="4320"/>
            <w:shd w:fill="1A365D"/>
            <w:tcMar>
              <w:top w:w="120" w:type="dxa"/>
              <w:bottom w:w="120" w:type="dxa"/>
              <w:left w:w="160" w:type="dxa"/>
              <w:right w:w="160" w:type="dxa"/>
            </w:tcMar>
          </w:tcPr>
          <w:p>
            <w:pPr>
              <w:jc w:val="left"/>
            </w:pPr>
            <w:r>
              <w:rPr>
                <w:rFonts w:ascii="Calibri" w:hAnsi="Calibri"/>
                <w:b/>
                <w:color w:val="FFFFFF"/>
                <w:sz w:val="19"/>
              </w:rPr>
              <w:t>Asymmetric Penalty Note</w:t>
            </w:r>
          </w:p>
        </w:tc>
      </w:tr>
      <w:tr>
        <w:tc>
          <w:tcPr>
            <w:tcW w:type="dxa" w:w="3168"/>
            <w:shd w:fill="FFFFFF"/>
            <w:tcMar>
              <w:top w:w="80" w:type="dxa"/>
              <w:bottom w:w="80" w:type="dxa"/>
              <w:left w:w="160" w:type="dxa"/>
              <w:right w:w="160" w:type="dxa"/>
            </w:tcMar>
          </w:tcPr>
          <w:p>
            <w:pPr>
              <w:jc w:val="left"/>
            </w:pPr>
            <w:r>
              <w:rPr>
                <w:rFonts w:ascii="Calibri" w:hAnsi="Calibri"/>
                <w:color w:val="2D3748"/>
                <w:sz w:val="18"/>
              </w:rPr>
              <w:t>True Positives (TP)</w:t>
            </w:r>
          </w:p>
        </w:tc>
        <w:tc>
          <w:tcPr>
            <w:tcW w:type="dxa" w:w="2592"/>
            <w:shd w:fill="FFFFFF"/>
            <w:tcMar>
              <w:top w:w="80" w:type="dxa"/>
              <w:bottom w:w="80" w:type="dxa"/>
              <w:left w:w="160" w:type="dxa"/>
              <w:right w:w="160" w:type="dxa"/>
            </w:tcMar>
          </w:tcPr>
          <w:p>
            <w:pPr>
              <w:jc w:val="left"/>
            </w:pPr>
            <w:r>
              <w:rPr>
                <w:rFonts w:ascii="Calibri" w:hAnsi="Calibri"/>
                <w:color w:val="2D3748"/>
                <w:sz w:val="18"/>
              </w:rPr>
              <w:t>208</w:t>
            </w:r>
          </w:p>
        </w:tc>
        <w:tc>
          <w:tcPr>
            <w:tcW w:type="dxa" w:w="4320"/>
            <w:shd w:fill="FFFFFF"/>
            <w:tcMar>
              <w:top w:w="80" w:type="dxa"/>
              <w:bottom w:w="80" w:type="dxa"/>
              <w:left w:w="160" w:type="dxa"/>
              <w:right w:w="160" w:type="dxa"/>
            </w:tcMar>
          </w:tcPr>
          <w:p>
            <w:pPr>
              <w:jc w:val="left"/>
            </w:pPr>
            <w:r>
              <w:rPr>
                <w:rFonts w:ascii="Calibri" w:hAnsi="Calibri"/>
                <w:color w:val="2D3748"/>
                <w:sz w:val="18"/>
              </w:rPr>
              <w:t>Correctly merged duplicate tender copies</w:t>
            </w:r>
          </w:p>
        </w:tc>
      </w:tr>
      <w:tr>
        <w:tc>
          <w:tcPr>
            <w:tcW w:type="dxa" w:w="3168"/>
            <w:shd w:fill="F7FAFC"/>
            <w:tcMar>
              <w:top w:w="80" w:type="dxa"/>
              <w:bottom w:w="80" w:type="dxa"/>
              <w:left w:w="160" w:type="dxa"/>
              <w:right w:w="160" w:type="dxa"/>
            </w:tcMar>
          </w:tcPr>
          <w:p>
            <w:pPr>
              <w:jc w:val="left"/>
            </w:pPr>
            <w:r>
              <w:rPr>
                <w:rFonts w:ascii="Calibri" w:hAnsi="Calibri"/>
                <w:color w:val="2D3748"/>
                <w:sz w:val="18"/>
              </w:rPr>
              <w:t>False Positives (FP)</w:t>
            </w:r>
          </w:p>
        </w:tc>
        <w:tc>
          <w:tcPr>
            <w:tcW w:type="dxa" w:w="2592"/>
            <w:shd w:fill="F7FAFC"/>
            <w:tcMar>
              <w:top w:w="80" w:type="dxa"/>
              <w:bottom w:w="80" w:type="dxa"/>
              <w:left w:w="160" w:type="dxa"/>
              <w:right w:w="160" w:type="dxa"/>
            </w:tcMar>
          </w:tcPr>
          <w:p>
            <w:pPr>
              <w:jc w:val="left"/>
            </w:pPr>
            <w:r>
              <w:rPr>
                <w:rFonts w:ascii="Calibri" w:hAnsi="Calibri"/>
                <w:color w:val="2D3748"/>
                <w:sz w:val="18"/>
              </w:rPr>
              <w:t>0 (Zero)</w:t>
            </w:r>
          </w:p>
        </w:tc>
        <w:tc>
          <w:tcPr>
            <w:tcW w:type="dxa" w:w="4320"/>
            <w:shd w:fill="F7FAFC"/>
            <w:tcMar>
              <w:top w:w="80" w:type="dxa"/>
              <w:bottom w:w="80" w:type="dxa"/>
              <w:left w:w="160" w:type="dxa"/>
              <w:right w:w="160" w:type="dxa"/>
            </w:tcMar>
          </w:tcPr>
          <w:p>
            <w:pPr>
              <w:jc w:val="left"/>
            </w:pPr>
            <w:r>
              <w:rPr>
                <w:rFonts w:ascii="Calibri" w:hAnsi="Calibri"/>
                <w:color w:val="2D3748"/>
                <w:sz w:val="18"/>
              </w:rPr>
              <w:t>0 × 9 cost units = 0 penalty (Flawless precision)</w:t>
            </w:r>
          </w:p>
        </w:tc>
      </w:tr>
      <w:tr>
        <w:tc>
          <w:tcPr>
            <w:tcW w:type="dxa" w:w="3168"/>
            <w:shd w:fill="FFFFFF"/>
            <w:tcMar>
              <w:top w:w="80" w:type="dxa"/>
              <w:bottom w:w="80" w:type="dxa"/>
              <w:left w:w="160" w:type="dxa"/>
              <w:right w:w="160" w:type="dxa"/>
            </w:tcMar>
          </w:tcPr>
          <w:p>
            <w:pPr>
              <w:jc w:val="left"/>
            </w:pPr>
            <w:r>
              <w:rPr>
                <w:rFonts w:ascii="Calibri" w:hAnsi="Calibri"/>
                <w:color w:val="2D3748"/>
                <w:sz w:val="18"/>
              </w:rPr>
              <w:t>False Negatives (FN)</w:t>
            </w:r>
          </w:p>
        </w:tc>
        <w:tc>
          <w:tcPr>
            <w:tcW w:type="dxa" w:w="2592"/>
            <w:shd w:fill="FFFFFF"/>
            <w:tcMar>
              <w:top w:w="80" w:type="dxa"/>
              <w:bottom w:w="80" w:type="dxa"/>
              <w:left w:w="160" w:type="dxa"/>
              <w:right w:w="160" w:type="dxa"/>
            </w:tcMar>
          </w:tcPr>
          <w:p>
            <w:pPr>
              <w:jc w:val="left"/>
            </w:pPr>
            <w:r>
              <w:rPr>
                <w:rFonts w:ascii="Calibri" w:hAnsi="Calibri"/>
                <w:color w:val="2D3748"/>
                <w:sz w:val="18"/>
              </w:rPr>
              <w:t>71</w:t>
            </w:r>
          </w:p>
        </w:tc>
        <w:tc>
          <w:tcPr>
            <w:tcW w:type="dxa" w:w="4320"/>
            <w:shd w:fill="FFFFFF"/>
            <w:tcMar>
              <w:top w:w="80" w:type="dxa"/>
              <w:bottom w:w="80" w:type="dxa"/>
              <w:left w:w="160" w:type="dxa"/>
              <w:right w:w="160" w:type="dxa"/>
            </w:tcMar>
          </w:tcPr>
          <w:p>
            <w:pPr>
              <w:jc w:val="left"/>
            </w:pPr>
            <w:r>
              <w:rPr>
                <w:rFonts w:ascii="Calibri" w:hAnsi="Calibri"/>
                <w:color w:val="2D3748"/>
                <w:sz w:val="18"/>
              </w:rPr>
              <w:t>71 × 1 cost units = 71 penalty units</w:t>
            </w:r>
          </w:p>
        </w:tc>
      </w:tr>
      <w:tr>
        <w:tc>
          <w:tcPr>
            <w:tcW w:type="dxa" w:w="3168"/>
            <w:shd w:fill="F7FAFC"/>
            <w:tcMar>
              <w:top w:w="80" w:type="dxa"/>
              <w:bottom w:w="80" w:type="dxa"/>
              <w:left w:w="160" w:type="dxa"/>
              <w:right w:w="160" w:type="dxa"/>
            </w:tcMar>
          </w:tcPr>
          <w:p>
            <w:pPr>
              <w:jc w:val="left"/>
            </w:pPr>
            <w:r>
              <w:rPr>
                <w:rFonts w:ascii="Calibri" w:hAnsi="Calibri"/>
                <w:color w:val="2D3748"/>
                <w:sz w:val="18"/>
              </w:rPr>
              <w:t>True Negatives (TN)</w:t>
            </w:r>
          </w:p>
        </w:tc>
        <w:tc>
          <w:tcPr>
            <w:tcW w:type="dxa" w:w="2592"/>
            <w:shd w:fill="F7FAFC"/>
            <w:tcMar>
              <w:top w:w="80" w:type="dxa"/>
              <w:bottom w:w="80" w:type="dxa"/>
              <w:left w:w="160" w:type="dxa"/>
              <w:right w:w="160" w:type="dxa"/>
            </w:tcMar>
          </w:tcPr>
          <w:p>
            <w:pPr>
              <w:jc w:val="left"/>
            </w:pPr>
            <w:r>
              <w:rPr>
                <w:rFonts w:ascii="Calibri" w:hAnsi="Calibri"/>
                <w:color w:val="2D3748"/>
                <w:sz w:val="18"/>
              </w:rPr>
              <w:t>621</w:t>
            </w:r>
          </w:p>
        </w:tc>
        <w:tc>
          <w:tcPr>
            <w:tcW w:type="dxa" w:w="4320"/>
            <w:shd w:fill="F7FAFC"/>
            <w:tcMar>
              <w:top w:w="80" w:type="dxa"/>
              <w:bottom w:w="80" w:type="dxa"/>
              <w:left w:w="160" w:type="dxa"/>
              <w:right w:w="160" w:type="dxa"/>
            </w:tcMar>
          </w:tcPr>
          <w:p>
            <w:pPr>
              <w:jc w:val="left"/>
            </w:pPr>
            <w:r>
              <w:rPr>
                <w:rFonts w:ascii="Calibri" w:hAnsi="Calibri"/>
                <w:color w:val="2D3748"/>
                <w:sz w:val="18"/>
              </w:rPr>
              <w:t>Correctly separated distinct contracts</w:t>
            </w:r>
          </w:p>
        </w:tc>
      </w:tr>
      <w:tr>
        <w:tc>
          <w:tcPr>
            <w:tcW w:type="dxa" w:w="3168"/>
            <w:shd w:fill="FFFFFF"/>
            <w:tcMar>
              <w:top w:w="80" w:type="dxa"/>
              <w:bottom w:w="80" w:type="dxa"/>
              <w:left w:w="160" w:type="dxa"/>
              <w:right w:w="160" w:type="dxa"/>
            </w:tcMar>
          </w:tcPr>
          <w:p>
            <w:pPr>
              <w:jc w:val="left"/>
            </w:pPr>
            <w:r>
              <w:rPr>
                <w:rFonts w:ascii="Calibri" w:hAnsi="Calibri"/>
                <w:color w:val="2D3748"/>
                <w:sz w:val="18"/>
              </w:rPr>
              <w:t>Pair Precision</w:t>
            </w:r>
          </w:p>
        </w:tc>
        <w:tc>
          <w:tcPr>
            <w:tcW w:type="dxa" w:w="2592"/>
            <w:shd w:fill="FFFFFF"/>
            <w:tcMar>
              <w:top w:w="80" w:type="dxa"/>
              <w:bottom w:w="80" w:type="dxa"/>
              <w:left w:w="160" w:type="dxa"/>
              <w:right w:w="160" w:type="dxa"/>
            </w:tcMar>
          </w:tcPr>
          <w:p>
            <w:pPr>
              <w:jc w:val="left"/>
            </w:pPr>
            <w:r>
              <w:rPr>
                <w:rFonts w:ascii="Calibri" w:hAnsi="Calibri"/>
                <w:color w:val="2D3748"/>
                <w:sz w:val="18"/>
              </w:rPr>
              <w:t>1.0000</w:t>
            </w:r>
          </w:p>
        </w:tc>
        <w:tc>
          <w:tcPr>
            <w:tcW w:type="dxa" w:w="4320"/>
            <w:shd w:fill="FFFFFF"/>
            <w:tcMar>
              <w:top w:w="80" w:type="dxa"/>
              <w:bottom w:w="80" w:type="dxa"/>
              <w:left w:w="160" w:type="dxa"/>
              <w:right w:w="160" w:type="dxa"/>
            </w:tcMar>
          </w:tcPr>
          <w:p>
            <w:pPr>
              <w:jc w:val="left"/>
            </w:pPr>
            <w:r>
              <w:rPr>
                <w:rFonts w:ascii="Calibri" w:hAnsi="Calibri"/>
                <w:color w:val="2D3748"/>
                <w:sz w:val="18"/>
              </w:rPr>
              <w:t>100.0% precision protects against bidder lawsuits</w:t>
            </w:r>
          </w:p>
        </w:tc>
      </w:tr>
      <w:tr>
        <w:tc>
          <w:tcPr>
            <w:tcW w:type="dxa" w:w="3168"/>
            <w:shd w:fill="F7FAFC"/>
            <w:tcMar>
              <w:top w:w="80" w:type="dxa"/>
              <w:bottom w:w="80" w:type="dxa"/>
              <w:left w:w="160" w:type="dxa"/>
              <w:right w:w="160" w:type="dxa"/>
            </w:tcMar>
          </w:tcPr>
          <w:p>
            <w:pPr>
              <w:jc w:val="left"/>
            </w:pPr>
            <w:r>
              <w:rPr>
                <w:rFonts w:ascii="Calibri" w:hAnsi="Calibri"/>
                <w:color w:val="2D3748"/>
                <w:sz w:val="18"/>
              </w:rPr>
              <w:t>Pair Recall</w:t>
            </w:r>
          </w:p>
        </w:tc>
        <w:tc>
          <w:tcPr>
            <w:tcW w:type="dxa" w:w="2592"/>
            <w:shd w:fill="F7FAFC"/>
            <w:tcMar>
              <w:top w:w="80" w:type="dxa"/>
              <w:bottom w:w="80" w:type="dxa"/>
              <w:left w:w="160" w:type="dxa"/>
              <w:right w:w="160" w:type="dxa"/>
            </w:tcMar>
          </w:tcPr>
          <w:p>
            <w:pPr>
              <w:jc w:val="left"/>
            </w:pPr>
            <w:r>
              <w:rPr>
                <w:rFonts w:ascii="Calibri" w:hAnsi="Calibri"/>
                <w:color w:val="2D3748"/>
                <w:sz w:val="18"/>
              </w:rPr>
              <w:t>0.7455</w:t>
            </w:r>
          </w:p>
        </w:tc>
        <w:tc>
          <w:tcPr>
            <w:tcW w:type="dxa" w:w="4320"/>
            <w:shd w:fill="F7FAFC"/>
            <w:tcMar>
              <w:top w:w="80" w:type="dxa"/>
              <w:bottom w:w="80" w:type="dxa"/>
              <w:left w:w="160" w:type="dxa"/>
              <w:right w:w="160" w:type="dxa"/>
            </w:tcMar>
          </w:tcPr>
          <w:p>
            <w:pPr>
              <w:jc w:val="left"/>
            </w:pPr>
            <w:r>
              <w:rPr>
                <w:rFonts w:ascii="Calibri" w:hAnsi="Calibri"/>
                <w:color w:val="2D3748"/>
                <w:sz w:val="18"/>
              </w:rPr>
              <w:t>74.6% deduplication capture rate</w:t>
            </w:r>
          </w:p>
        </w:tc>
      </w:tr>
      <w:tr>
        <w:tc>
          <w:tcPr>
            <w:tcW w:type="dxa" w:w="3168"/>
            <w:shd w:fill="FFFFFF"/>
            <w:tcMar>
              <w:top w:w="80" w:type="dxa"/>
              <w:bottom w:w="80" w:type="dxa"/>
              <w:left w:w="160" w:type="dxa"/>
              <w:right w:w="160" w:type="dxa"/>
            </w:tcMar>
          </w:tcPr>
          <w:p>
            <w:pPr>
              <w:jc w:val="left"/>
            </w:pPr>
            <w:r>
              <w:rPr>
                <w:rFonts w:ascii="Calibri" w:hAnsi="Calibri"/>
                <w:color w:val="2D3748"/>
                <w:sz w:val="18"/>
              </w:rPr>
              <w:t>Pair F1-Score</w:t>
            </w:r>
          </w:p>
        </w:tc>
        <w:tc>
          <w:tcPr>
            <w:tcW w:type="dxa" w:w="2592"/>
            <w:shd w:fill="FFFFFF"/>
            <w:tcMar>
              <w:top w:w="80" w:type="dxa"/>
              <w:bottom w:w="80" w:type="dxa"/>
              <w:left w:w="160" w:type="dxa"/>
              <w:right w:w="160" w:type="dxa"/>
            </w:tcMar>
          </w:tcPr>
          <w:p>
            <w:pPr>
              <w:jc w:val="left"/>
            </w:pPr>
            <w:r>
              <w:rPr>
                <w:rFonts w:ascii="Calibri" w:hAnsi="Calibri"/>
                <w:color w:val="2D3748"/>
                <w:sz w:val="18"/>
              </w:rPr>
              <w:t>0.8542</w:t>
            </w:r>
          </w:p>
        </w:tc>
        <w:tc>
          <w:tcPr>
            <w:tcW w:type="dxa" w:w="4320"/>
            <w:shd w:fill="FFFFFF"/>
            <w:tcMar>
              <w:top w:w="80" w:type="dxa"/>
              <w:bottom w:w="80" w:type="dxa"/>
              <w:left w:w="160" w:type="dxa"/>
              <w:right w:w="160" w:type="dxa"/>
            </w:tcMar>
          </w:tcPr>
          <w:p>
            <w:pPr>
              <w:jc w:val="left"/>
            </w:pPr>
            <w:r>
              <w:rPr>
                <w:rFonts w:ascii="Calibri" w:hAnsi="Calibri"/>
                <w:color w:val="2D3748"/>
                <w:sz w:val="18"/>
              </w:rPr>
              <w:t>Strong harmonic balance under asymmetric objective</w:t>
            </w:r>
          </w:p>
        </w:tc>
      </w:tr>
      <w:tr>
        <w:tc>
          <w:tcPr>
            <w:tcW w:type="dxa" w:w="3168"/>
            <w:shd w:fill="F7FAFC"/>
            <w:tcMar>
              <w:top w:w="80" w:type="dxa"/>
              <w:bottom w:w="80" w:type="dxa"/>
              <w:left w:w="160" w:type="dxa"/>
              <w:right w:w="160" w:type="dxa"/>
            </w:tcMar>
          </w:tcPr>
          <w:p>
            <w:pPr>
              <w:jc w:val="left"/>
            </w:pPr>
            <w:r>
              <w:rPr>
                <w:rFonts w:ascii="Calibri" w:hAnsi="Calibri"/>
                <w:color w:val="2D3748"/>
                <w:sz w:val="18"/>
              </w:rPr>
              <w:t>Total Runtime</w:t>
            </w:r>
          </w:p>
        </w:tc>
        <w:tc>
          <w:tcPr>
            <w:tcW w:type="dxa" w:w="2592"/>
            <w:shd w:fill="F7FAFC"/>
            <w:tcMar>
              <w:top w:w="80" w:type="dxa"/>
              <w:bottom w:w="80" w:type="dxa"/>
              <w:left w:w="160" w:type="dxa"/>
              <w:right w:w="160" w:type="dxa"/>
            </w:tcMar>
          </w:tcPr>
          <w:p>
            <w:pPr>
              <w:jc w:val="left"/>
            </w:pPr>
            <w:r>
              <w:rPr>
                <w:rFonts w:ascii="Calibri" w:hAnsi="Calibri"/>
                <w:color w:val="2D3748"/>
                <w:sz w:val="18"/>
              </w:rPr>
              <w:t>140.1 s (2.3 min)</w:t>
            </w:r>
          </w:p>
        </w:tc>
        <w:tc>
          <w:tcPr>
            <w:tcW w:type="dxa" w:w="4320"/>
            <w:shd w:fill="F7FAFC"/>
            <w:tcMar>
              <w:top w:w="80" w:type="dxa"/>
              <w:bottom w:w="80" w:type="dxa"/>
              <w:left w:w="160" w:type="dxa"/>
              <w:right w:w="160" w:type="dxa"/>
            </w:tcMar>
          </w:tcPr>
          <w:p>
            <w:pPr>
              <w:jc w:val="left"/>
            </w:pPr>
            <w:r>
              <w:rPr>
                <w:rFonts w:ascii="Calibri" w:hAnsi="Calibri"/>
                <w:color w:val="2D3748"/>
                <w:sz w:val="18"/>
              </w:rPr>
              <w:t>Comfortably under 20-minute (1,200s) SLA budget</w:t>
            </w:r>
          </w:p>
        </w:tc>
      </w:tr>
    </w:tbl>
    <w:p>
      <w:pPr>
        <w:spacing w:after="16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