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A91E" w14:textId="77777777" w:rsidR="00ED1F77" w:rsidRDefault="00ED1F77">
      <w:pPr>
        <w:rPr>
          <w:rFonts w:hint="eastAsia"/>
        </w:rPr>
      </w:pPr>
    </w:p>
    <w:p w14:paraId="2CD1CFB9" w14:textId="77777777" w:rsidR="00ED1F77" w:rsidRDefault="00ED1F77">
      <w:pPr>
        <w:rPr>
          <w:rFonts w:hint="eastAsia"/>
        </w:rPr>
      </w:pPr>
    </w:p>
    <w:p w14:paraId="081AAE4C" w14:textId="77777777" w:rsidR="00ED1F77" w:rsidRDefault="00ED1F77">
      <w:pPr>
        <w:rPr>
          <w:rFonts w:hint="eastAsia"/>
        </w:rPr>
      </w:pPr>
    </w:p>
    <w:p w14:paraId="029D5508" w14:textId="77777777" w:rsidR="00ED1F77" w:rsidRDefault="00ED1F77">
      <w:pPr>
        <w:rPr>
          <w:rFonts w:hint="eastAsia"/>
        </w:rPr>
      </w:pPr>
    </w:p>
    <w:p w14:paraId="68D3C8F4" w14:textId="77777777" w:rsidR="00ED1F77" w:rsidRDefault="00ED1F77">
      <w:pPr>
        <w:rPr>
          <w:rFonts w:hint="eastAsia"/>
        </w:rPr>
      </w:pPr>
    </w:p>
    <w:p w14:paraId="1FD12990" w14:textId="77777777" w:rsidR="00ED1F77" w:rsidRDefault="00C869A8">
      <w:pPr>
        <w:spacing w:after="560" w:line="240" w:lineRule="auto"/>
        <w:jc w:val="center"/>
        <w:rPr>
          <w:rFonts w:hint="eastAsia"/>
        </w:rPr>
      </w:pPr>
      <w:r>
        <w:rPr>
          <w:rFonts w:ascii="黑体" w:eastAsia="黑体" w:hAnsi="黑体"/>
          <w:b/>
          <w:sz w:val="44"/>
        </w:rPr>
        <w:t>全国大学生物联网设计竞赛</w:t>
      </w:r>
    </w:p>
    <w:p w14:paraId="36343987" w14:textId="77777777" w:rsidR="00ED1F77" w:rsidRDefault="00C869A8">
      <w:pPr>
        <w:spacing w:after="880" w:line="240" w:lineRule="auto"/>
        <w:jc w:val="center"/>
        <w:rPr>
          <w:rFonts w:hint="eastAsia"/>
        </w:rPr>
      </w:pPr>
      <w:r>
        <w:rPr>
          <w:rFonts w:ascii="黑体" w:eastAsia="黑体" w:hAnsi="黑体"/>
          <w:b/>
          <w:sz w:val="56"/>
        </w:rPr>
        <w:t>设计说明书</w:t>
      </w:r>
    </w:p>
    <w:p w14:paraId="0C8FBD13" w14:textId="77777777" w:rsidR="00ED1F77" w:rsidRDefault="00C869A8">
      <w:pPr>
        <w:spacing w:after="240" w:line="240" w:lineRule="auto"/>
        <w:jc w:val="center"/>
        <w:rPr>
          <w:rFonts w:hint="eastAsia"/>
        </w:rPr>
      </w:pPr>
      <w:r>
        <w:rPr>
          <w:sz w:val="26"/>
        </w:rPr>
        <w:t>设计作品名称</w:t>
      </w:r>
    </w:p>
    <w:p w14:paraId="01552AE4" w14:textId="77777777" w:rsidR="00ED1F77" w:rsidRDefault="00C869A8">
      <w:pPr>
        <w:spacing w:after="1400" w:line="240" w:lineRule="auto"/>
        <w:jc w:val="center"/>
        <w:rPr>
          <w:rFonts w:hint="eastAsia"/>
        </w:rPr>
      </w:pPr>
      <w:r>
        <w:rPr>
          <w:rFonts w:ascii="黑体" w:eastAsia="黑体" w:hAnsi="黑体"/>
          <w:b/>
          <w:sz w:val="40"/>
        </w:rPr>
        <w:t>SmartAgriBrain智慧农业系统</w:t>
      </w:r>
    </w:p>
    <w:p w14:paraId="3B5B2E04" w14:textId="77777777" w:rsidR="00ED1F77" w:rsidRDefault="00C869A8">
      <w:pPr>
        <w:jc w:val="center"/>
        <w:rPr>
          <w:rFonts w:hint="eastAsia"/>
        </w:rPr>
      </w:pPr>
      <w:r>
        <w:rPr>
          <w:sz w:val="24"/>
        </w:rPr>
        <w:t>2026年7月</w:t>
      </w:r>
    </w:p>
    <w:p w14:paraId="34012A58" w14:textId="77777777" w:rsidR="00ED1F77" w:rsidRDefault="00C869A8">
      <w:pPr>
        <w:rPr>
          <w:rFonts w:hint="eastAsia"/>
        </w:rPr>
      </w:pPr>
      <w:r>
        <w:br w:type="page"/>
      </w:r>
    </w:p>
    <w:p w14:paraId="2BC23D93" w14:textId="77777777" w:rsidR="00ED1F77" w:rsidRDefault="00C869A8">
      <w:pPr>
        <w:pStyle w:val="1"/>
      </w:pPr>
      <w:r>
        <w:rPr>
          <w:rFonts w:ascii="黑体" w:eastAsia="黑体" w:hAnsi="黑体"/>
        </w:rPr>
        <w:lastRenderedPageBreak/>
        <w:t>摘要</w:t>
      </w:r>
    </w:p>
    <w:p w14:paraId="55C0EE71" w14:textId="56C73B17" w:rsidR="00ED1F77" w:rsidRDefault="00AF7E34">
      <w:pPr>
        <w:ind w:firstLine="420"/>
        <w:jc w:val="both"/>
        <w:rPr>
          <w:rFonts w:hint="eastAsia"/>
        </w:rPr>
      </w:pPr>
      <w:r>
        <w:rPr>
          <w:rFonts w:hint="eastAsia"/>
        </w:rPr>
        <w:t>面向小规模温室和家庭种植场景中环境数据分散、人工巡检频繁、远程控制缺少闭环的问题，本文设计并实现了SmartAgriBrain智慧农业系统。系统以普通ESP32为现场采集与执行节点，采集土壤湿度、光照、温度和二氧化碳浓度，通过Wi-Fi和MQTT上报云端，并控制GPIO26水泵、GPIO14补光灯以及由GPIO27和GPIO13驱动的二维SG90水枪云台。设备采用MQTT 3.1.1 TLS持久会话，命令、确认、遥测、状态、能力和离线遗嘱统一使用QoS 1；控制协议支持原子执行器命令和包含目标位置、静态或动态模式、定时及模拟标志的复合水枪命令。水枪控制使用非阻塞状态机，按停泵、转向、稳定等待、建立保护和开泵的顺序执行，并通过命令标识、内容指纹和确认缓存抑制重复动作。ESP32-C5被规划为语音与屏幕终端，通过统一云端服务访问大模型能力，不直接驱动现场硬件。当前ESP32源码已通过PlatformIO构建验证，但坐标映射、水泵启动值和机械范围仍需实物标定，云端、前端与C5仍需完成端到端联调。</w:t>
      </w:r>
    </w:p>
    <w:p w14:paraId="65884E2C" w14:textId="77777777" w:rsidR="00ED1F77" w:rsidRDefault="00C869A8">
      <w:pPr>
        <w:spacing w:before="80" w:after="240" w:line="240" w:lineRule="auto"/>
        <w:rPr>
          <w:rFonts w:hint="eastAsia"/>
        </w:rPr>
      </w:pPr>
      <w:r>
        <w:rPr>
          <w:b/>
        </w:rPr>
        <w:t>关键词：智慧农业；ESP32；MQTT；环境监测；二维云台</w:t>
      </w:r>
    </w:p>
    <w:p w14:paraId="392BE81E" w14:textId="77777777" w:rsidR="00ED1F77" w:rsidRDefault="00C869A8">
      <w:pPr>
        <w:pStyle w:val="1"/>
      </w:pPr>
      <w:r>
        <w:rPr>
          <w:rFonts w:ascii="黑体" w:eastAsia="黑体" w:hAnsi="黑体"/>
        </w:rPr>
        <w:t>目 录</w:t>
      </w:r>
    </w:p>
    <w:p w14:paraId="6474A395" w14:textId="4E8248C7" w:rsidR="00ED1F77" w:rsidRDefault="00C869A8">
      <w:pPr>
        <w:spacing w:after="40" w:line="240" w:lineRule="auto"/>
        <w:rPr>
          <w:rFonts w:hint="eastAsia"/>
        </w:rPr>
      </w:pPr>
      <w:hyperlink w:anchor="toc_001" w:history="1">
        <w:r>
          <w:rPr>
            <w:color w:val="0563C1"/>
            <w:u w:val="single"/>
          </w:rPr>
          <w:t>1 设计需求分析</w:t>
        </w:r>
      </w:hyperlink>
    </w:p>
    <w:p w14:paraId="69B47F6A" w14:textId="5C479A1B" w:rsidR="00ED1F77" w:rsidRDefault="00C869A8">
      <w:pPr>
        <w:spacing w:after="40" w:line="240" w:lineRule="auto"/>
        <w:ind w:left="340"/>
        <w:rPr>
          <w:rFonts w:hint="eastAsia"/>
        </w:rPr>
      </w:pPr>
      <w:hyperlink w:anchor="toc_002" w:history="1">
        <w:r>
          <w:rPr>
            <w:color w:val="0563C1"/>
            <w:u w:val="single"/>
          </w:rPr>
          <w:t>1.1 现场种植管理需求</w:t>
        </w:r>
      </w:hyperlink>
    </w:p>
    <w:p w14:paraId="4C89021D" w14:textId="2BC02F7E" w:rsidR="00ED1F77" w:rsidRDefault="00C869A8">
      <w:pPr>
        <w:spacing w:after="40" w:line="240" w:lineRule="auto"/>
        <w:ind w:left="680"/>
        <w:rPr>
          <w:rFonts w:hint="eastAsia"/>
        </w:rPr>
      </w:pPr>
      <w:hyperlink w:anchor="toc_003" w:history="1">
        <w:r>
          <w:rPr>
            <w:color w:val="0563C1"/>
            <w:u w:val="single"/>
          </w:rPr>
          <w:t>1.1.1 多源数据的统一表达</w:t>
        </w:r>
      </w:hyperlink>
    </w:p>
    <w:p w14:paraId="3F22EEFF" w14:textId="761F9012" w:rsidR="00ED1F77" w:rsidRDefault="00C869A8">
      <w:pPr>
        <w:spacing w:after="40" w:line="240" w:lineRule="auto"/>
        <w:ind w:left="340"/>
        <w:rPr>
          <w:rFonts w:hint="eastAsia"/>
        </w:rPr>
      </w:pPr>
      <w:hyperlink w:anchor="toc_004" w:history="1">
        <w:r>
          <w:rPr>
            <w:color w:val="0563C1"/>
            <w:u w:val="single"/>
          </w:rPr>
          <w:t>1.2 系统约束与目标</w:t>
        </w:r>
      </w:hyperlink>
    </w:p>
    <w:p w14:paraId="3A378C05" w14:textId="3EAC186E" w:rsidR="00ED1F77" w:rsidRDefault="00C869A8">
      <w:pPr>
        <w:spacing w:after="40" w:line="240" w:lineRule="auto"/>
        <w:ind w:left="680"/>
        <w:rPr>
          <w:rFonts w:hint="eastAsia"/>
        </w:rPr>
      </w:pPr>
      <w:hyperlink w:anchor="toc_005" w:history="1">
        <w:r>
          <w:rPr>
            <w:color w:val="0563C1"/>
            <w:u w:val="single"/>
          </w:rPr>
          <w:t>1.2.1 网络与可靠性约束</w:t>
        </w:r>
      </w:hyperlink>
    </w:p>
    <w:p w14:paraId="00037E6D" w14:textId="77658461" w:rsidR="00ED1F77" w:rsidRDefault="00C869A8">
      <w:pPr>
        <w:spacing w:after="40" w:line="240" w:lineRule="auto"/>
        <w:ind w:left="680"/>
        <w:rPr>
          <w:rFonts w:hint="eastAsia"/>
        </w:rPr>
      </w:pPr>
      <w:hyperlink w:anchor="toc_006" w:history="1">
        <w:r>
          <w:rPr>
            <w:color w:val="0563C1"/>
            <w:u w:val="single"/>
          </w:rPr>
          <w:t>1.2.2 执行器安全约束</w:t>
        </w:r>
      </w:hyperlink>
    </w:p>
    <w:p w14:paraId="2115D093" w14:textId="354D0471" w:rsidR="00ED1F77" w:rsidRDefault="00C869A8">
      <w:pPr>
        <w:spacing w:after="40" w:line="240" w:lineRule="auto"/>
        <w:ind w:left="340"/>
        <w:rPr>
          <w:rFonts w:hint="eastAsia"/>
        </w:rPr>
      </w:pPr>
      <w:hyperlink w:anchor="toc_007" w:history="1">
        <w:r>
          <w:rPr>
            <w:color w:val="0563C1"/>
            <w:u w:val="single"/>
          </w:rPr>
          <w:t>1.3 设计目标</w:t>
        </w:r>
      </w:hyperlink>
    </w:p>
    <w:p w14:paraId="5CEF5AFD" w14:textId="0E14D6EE" w:rsidR="00ED1F77" w:rsidRDefault="00C869A8">
      <w:pPr>
        <w:spacing w:after="40" w:line="240" w:lineRule="auto"/>
        <w:rPr>
          <w:rFonts w:hint="eastAsia"/>
        </w:rPr>
      </w:pPr>
      <w:hyperlink w:anchor="toc_008" w:history="1">
        <w:r>
          <w:rPr>
            <w:color w:val="0563C1"/>
            <w:u w:val="single"/>
          </w:rPr>
          <w:t>2 特色与创新</w:t>
        </w:r>
      </w:hyperlink>
    </w:p>
    <w:p w14:paraId="65827D6D" w14:textId="47181343" w:rsidR="00ED1F77" w:rsidRDefault="00C869A8">
      <w:pPr>
        <w:spacing w:after="40" w:line="240" w:lineRule="auto"/>
        <w:ind w:left="340"/>
        <w:rPr>
          <w:rFonts w:hint="eastAsia"/>
        </w:rPr>
      </w:pPr>
      <w:hyperlink w:anchor="toc_009" w:history="1">
        <w:r>
          <w:rPr>
            <w:color w:val="0563C1"/>
            <w:u w:val="single"/>
          </w:rPr>
          <w:t>2.1 双MCU职责分离</w:t>
        </w:r>
      </w:hyperlink>
    </w:p>
    <w:p w14:paraId="5A12BB21" w14:textId="1ACBF0AC" w:rsidR="00ED1F77" w:rsidRDefault="00C869A8">
      <w:pPr>
        <w:spacing w:after="40" w:line="240" w:lineRule="auto"/>
        <w:ind w:left="680"/>
        <w:rPr>
          <w:rFonts w:hint="eastAsia"/>
        </w:rPr>
      </w:pPr>
      <w:hyperlink w:anchor="toc_010" w:history="1">
        <w:r>
          <w:rPr>
            <w:color w:val="0563C1"/>
            <w:u w:val="single"/>
          </w:rPr>
          <w:t>2.1.1 现场节点与交互终端分工</w:t>
        </w:r>
      </w:hyperlink>
    </w:p>
    <w:p w14:paraId="1BA1B67C" w14:textId="5C341437" w:rsidR="00ED1F77" w:rsidRDefault="00C869A8">
      <w:pPr>
        <w:spacing w:after="40" w:line="240" w:lineRule="auto"/>
        <w:ind w:left="340"/>
        <w:rPr>
          <w:rFonts w:hint="eastAsia"/>
        </w:rPr>
      </w:pPr>
      <w:hyperlink w:anchor="toc_011" w:history="1">
        <w:r>
          <w:rPr>
            <w:color w:val="0563C1"/>
            <w:u w:val="single"/>
          </w:rPr>
          <w:t>2.2 面向联调的数据契约</w:t>
        </w:r>
      </w:hyperlink>
    </w:p>
    <w:p w14:paraId="25E27031" w14:textId="591C2F82" w:rsidR="00ED1F77" w:rsidRDefault="00C869A8">
      <w:pPr>
        <w:spacing w:after="40" w:line="240" w:lineRule="auto"/>
        <w:ind w:left="680"/>
        <w:rPr>
          <w:rFonts w:hint="eastAsia"/>
        </w:rPr>
      </w:pPr>
      <w:hyperlink w:anchor="toc_012" w:history="1">
        <w:r>
          <w:rPr>
            <w:color w:val="0563C1"/>
            <w:u w:val="single"/>
          </w:rPr>
          <w:t>2.2.1 数据、命令与确认三类消息</w:t>
        </w:r>
      </w:hyperlink>
    </w:p>
    <w:p w14:paraId="7AF6C3AA" w14:textId="1DC9719A" w:rsidR="00ED1F77" w:rsidRDefault="00C869A8">
      <w:pPr>
        <w:spacing w:after="40" w:line="240" w:lineRule="auto"/>
        <w:ind w:left="340"/>
        <w:rPr>
          <w:rFonts w:hint="eastAsia"/>
        </w:rPr>
      </w:pPr>
      <w:hyperlink w:anchor="toc_013" w:history="1">
        <w:r>
          <w:rPr>
            <w:color w:val="0563C1"/>
            <w:u w:val="single"/>
          </w:rPr>
          <w:t>2.3 可视化观察与物理控制结合</w:t>
        </w:r>
      </w:hyperlink>
    </w:p>
    <w:p w14:paraId="67BD55FA" w14:textId="34A11DDA" w:rsidR="00ED1F77" w:rsidRDefault="00C869A8">
      <w:pPr>
        <w:spacing w:after="40" w:line="240" w:lineRule="auto"/>
        <w:ind w:left="680"/>
        <w:rPr>
          <w:rFonts w:hint="eastAsia"/>
        </w:rPr>
      </w:pPr>
      <w:hyperlink w:anchor="toc_014" w:history="1">
        <w:r>
          <w:rPr>
            <w:color w:val="0563C1"/>
            <w:u w:val="single"/>
          </w:rPr>
          <w:t>2.3.1 二维云台作为扩展执行器</w:t>
        </w:r>
      </w:hyperlink>
    </w:p>
    <w:p w14:paraId="65985686" w14:textId="21A35EF2" w:rsidR="00ED1F77" w:rsidRDefault="00C869A8">
      <w:pPr>
        <w:spacing w:after="40" w:line="240" w:lineRule="auto"/>
        <w:rPr>
          <w:rFonts w:hint="eastAsia"/>
        </w:rPr>
      </w:pPr>
      <w:hyperlink w:anchor="toc_015" w:history="1">
        <w:r>
          <w:rPr>
            <w:color w:val="0563C1"/>
            <w:u w:val="single"/>
          </w:rPr>
          <w:t>3 功能设计</w:t>
        </w:r>
      </w:hyperlink>
    </w:p>
    <w:p w14:paraId="203C3271" w14:textId="6D75DABB" w:rsidR="00ED1F77" w:rsidRDefault="00C869A8">
      <w:pPr>
        <w:spacing w:after="40" w:line="240" w:lineRule="auto"/>
        <w:ind w:left="340"/>
        <w:rPr>
          <w:rFonts w:hint="eastAsia"/>
        </w:rPr>
      </w:pPr>
      <w:hyperlink w:anchor="toc_016" w:history="1">
        <w:r>
          <w:rPr>
            <w:color w:val="0563C1"/>
            <w:u w:val="single"/>
          </w:rPr>
          <w:t>3.1 环境采集与上报</w:t>
        </w:r>
      </w:hyperlink>
    </w:p>
    <w:p w14:paraId="4067D1C6" w14:textId="28EFED1E" w:rsidR="00ED1F77" w:rsidRDefault="00C869A8">
      <w:pPr>
        <w:spacing w:after="40" w:line="240" w:lineRule="auto"/>
        <w:ind w:left="680"/>
        <w:rPr>
          <w:rFonts w:hint="eastAsia"/>
        </w:rPr>
      </w:pPr>
      <w:hyperlink w:anchor="toc_017" w:history="1">
        <w:r>
          <w:rPr>
            <w:color w:val="0563C1"/>
            <w:u w:val="single"/>
          </w:rPr>
          <w:t>3.1.1 采集对象与处理方式</w:t>
        </w:r>
      </w:hyperlink>
    </w:p>
    <w:p w14:paraId="69E75FA9" w14:textId="1D16CEE1" w:rsidR="00ED1F77" w:rsidRDefault="00C869A8">
      <w:pPr>
        <w:spacing w:after="40" w:line="240" w:lineRule="auto"/>
        <w:ind w:left="340"/>
        <w:rPr>
          <w:rFonts w:hint="eastAsia"/>
        </w:rPr>
      </w:pPr>
      <w:hyperlink w:anchor="toc_018" w:history="1">
        <w:r>
          <w:rPr>
            <w:color w:val="0563C1"/>
            <w:u w:val="single"/>
          </w:rPr>
          <w:t>3.2 远程控制</w:t>
        </w:r>
      </w:hyperlink>
    </w:p>
    <w:p w14:paraId="6C4DC237" w14:textId="3D841025" w:rsidR="00ED1F77" w:rsidRDefault="00C869A8">
      <w:pPr>
        <w:spacing w:after="40" w:line="240" w:lineRule="auto"/>
        <w:ind w:left="680"/>
        <w:rPr>
          <w:rFonts w:hint="eastAsia"/>
        </w:rPr>
      </w:pPr>
      <w:hyperlink w:anchor="toc_019" w:history="1">
        <w:r>
          <w:rPr>
            <w:color w:val="0563C1"/>
            <w:u w:val="single"/>
          </w:rPr>
          <w:t>3.2.1 水泵与补光灯控制</w:t>
        </w:r>
      </w:hyperlink>
    </w:p>
    <w:p w14:paraId="7E20A06D" w14:textId="67A10433" w:rsidR="00ED1F77" w:rsidRDefault="00C869A8">
      <w:pPr>
        <w:spacing w:after="40" w:line="240" w:lineRule="auto"/>
        <w:ind w:left="680"/>
        <w:rPr>
          <w:rFonts w:hint="eastAsia"/>
        </w:rPr>
      </w:pPr>
      <w:hyperlink w:anchor="toc_020" w:history="1">
        <w:r>
          <w:rPr>
            <w:color w:val="0563C1"/>
            <w:u w:val="single"/>
          </w:rPr>
          <w:t>3.2.2 云台控制</w:t>
        </w:r>
      </w:hyperlink>
    </w:p>
    <w:p w14:paraId="44B77DE4" w14:textId="3644AA73" w:rsidR="00ED1F77" w:rsidRDefault="00C869A8">
      <w:pPr>
        <w:spacing w:after="40" w:line="240" w:lineRule="auto"/>
        <w:ind w:left="340"/>
        <w:rPr>
          <w:rFonts w:hint="eastAsia"/>
        </w:rPr>
      </w:pPr>
      <w:hyperlink w:anchor="toc_021" w:history="1">
        <w:r>
          <w:rPr>
            <w:color w:val="0563C1"/>
            <w:u w:val="single"/>
          </w:rPr>
          <w:t>3.3 云端与前端服务</w:t>
        </w:r>
      </w:hyperlink>
    </w:p>
    <w:p w14:paraId="4E657D40" w14:textId="0ED542FF" w:rsidR="00ED1F77" w:rsidRDefault="00C869A8">
      <w:pPr>
        <w:spacing w:after="40" w:line="240" w:lineRule="auto"/>
        <w:ind w:left="680"/>
        <w:rPr>
          <w:rFonts w:hint="eastAsia"/>
        </w:rPr>
      </w:pPr>
      <w:hyperlink w:anchor="toc_022" w:history="1">
        <w:r>
          <w:rPr>
            <w:color w:val="0563C1"/>
            <w:u w:val="single"/>
          </w:rPr>
          <w:t>3.3.1 数据展示和分析接口</w:t>
        </w:r>
      </w:hyperlink>
    </w:p>
    <w:p w14:paraId="2682EFE5" w14:textId="62C45AB2" w:rsidR="00ED1F77" w:rsidRDefault="00C869A8">
      <w:pPr>
        <w:spacing w:after="40" w:line="240" w:lineRule="auto"/>
        <w:ind w:left="340"/>
        <w:rPr>
          <w:rFonts w:hint="eastAsia"/>
        </w:rPr>
      </w:pPr>
      <w:hyperlink w:anchor="toc_023" w:history="1">
        <w:r>
          <w:rPr>
            <w:color w:val="0563C1"/>
            <w:u w:val="single"/>
          </w:rPr>
          <w:t>3.4 语音与屏幕交互终端</w:t>
        </w:r>
      </w:hyperlink>
    </w:p>
    <w:p w14:paraId="0839F066" w14:textId="032F8E2C" w:rsidR="00ED1F77" w:rsidRDefault="00C869A8">
      <w:pPr>
        <w:spacing w:after="40" w:line="240" w:lineRule="auto"/>
        <w:ind w:left="680"/>
        <w:rPr>
          <w:rFonts w:hint="eastAsia"/>
        </w:rPr>
      </w:pPr>
      <w:hyperlink w:anchor="toc_024" w:history="1">
        <w:r>
          <w:rPr>
            <w:color w:val="0563C1"/>
            <w:u w:val="single"/>
          </w:rPr>
          <w:t>3.4.1 已完成设计与待联调内容</w:t>
        </w:r>
      </w:hyperlink>
    </w:p>
    <w:p w14:paraId="31C8221E" w14:textId="5B5B49F5" w:rsidR="00ED1F77" w:rsidRDefault="00C869A8">
      <w:pPr>
        <w:spacing w:after="40" w:line="240" w:lineRule="auto"/>
        <w:rPr>
          <w:rFonts w:hint="eastAsia"/>
        </w:rPr>
      </w:pPr>
      <w:hyperlink w:anchor="toc_025" w:history="1">
        <w:r>
          <w:rPr>
            <w:color w:val="0563C1"/>
            <w:u w:val="single"/>
          </w:rPr>
          <w:t>4 系统实现</w:t>
        </w:r>
      </w:hyperlink>
    </w:p>
    <w:p w14:paraId="65D1A10D" w14:textId="6D8D37BC" w:rsidR="00ED1F77" w:rsidRDefault="00C869A8">
      <w:pPr>
        <w:spacing w:after="40" w:line="240" w:lineRule="auto"/>
        <w:ind w:left="340"/>
        <w:rPr>
          <w:rFonts w:hint="eastAsia"/>
        </w:rPr>
      </w:pPr>
      <w:hyperlink w:anchor="toc_026" w:history="1">
        <w:r>
          <w:rPr>
            <w:color w:val="0563C1"/>
            <w:u w:val="single"/>
          </w:rPr>
          <w:t>4.1 总体架构</w:t>
        </w:r>
      </w:hyperlink>
    </w:p>
    <w:p w14:paraId="361C6CDB" w14:textId="61076EA0" w:rsidR="00ED1F77" w:rsidRDefault="00C869A8">
      <w:pPr>
        <w:spacing w:after="40" w:line="240" w:lineRule="auto"/>
        <w:ind w:left="680"/>
        <w:rPr>
          <w:rFonts w:hint="eastAsia"/>
        </w:rPr>
      </w:pPr>
      <w:hyperlink w:anchor="toc_027" w:history="1">
        <w:r>
          <w:rPr>
            <w:color w:val="0563C1"/>
            <w:u w:val="single"/>
          </w:rPr>
          <w:t>4.1.1 分层实现</w:t>
        </w:r>
      </w:hyperlink>
    </w:p>
    <w:p w14:paraId="7B88CE12" w14:textId="2FD54D87" w:rsidR="00ED1F77" w:rsidRDefault="00C869A8">
      <w:pPr>
        <w:spacing w:after="40" w:line="240" w:lineRule="auto"/>
        <w:ind w:left="680"/>
        <w:rPr>
          <w:rFonts w:hint="eastAsia"/>
        </w:rPr>
      </w:pPr>
      <w:hyperlink w:anchor="toc_028" w:history="1">
        <w:r>
          <w:rPr>
            <w:color w:val="0563C1"/>
            <w:u w:val="single"/>
          </w:rPr>
          <w:t>4.1.2 信息流</w:t>
        </w:r>
      </w:hyperlink>
    </w:p>
    <w:p w14:paraId="4A567170" w14:textId="58D9BBA7" w:rsidR="00ED1F77" w:rsidRDefault="00C869A8">
      <w:pPr>
        <w:spacing w:after="40" w:line="240" w:lineRule="auto"/>
        <w:ind w:left="340"/>
        <w:rPr>
          <w:rFonts w:hint="eastAsia"/>
        </w:rPr>
      </w:pPr>
      <w:hyperlink w:anchor="toc_029" w:history="1">
        <w:r>
          <w:rPr>
            <w:color w:val="0563C1"/>
            <w:u w:val="single"/>
          </w:rPr>
          <w:t>4.2 嵌入式硬件与驱动</w:t>
        </w:r>
      </w:hyperlink>
    </w:p>
    <w:p w14:paraId="714ABAEA" w14:textId="2202536A" w:rsidR="00ED1F77" w:rsidRDefault="00C869A8">
      <w:pPr>
        <w:spacing w:after="40" w:line="240" w:lineRule="auto"/>
        <w:ind w:left="680"/>
        <w:rPr>
          <w:rFonts w:hint="eastAsia"/>
        </w:rPr>
      </w:pPr>
      <w:hyperlink w:anchor="toc_030" w:history="1">
        <w:r>
          <w:rPr>
            <w:color w:val="0563C1"/>
            <w:u w:val="single"/>
          </w:rPr>
          <w:t>4.2.1 GPIO与PWM资源</w:t>
        </w:r>
      </w:hyperlink>
    </w:p>
    <w:p w14:paraId="5AF18C0E" w14:textId="0B009EE5" w:rsidR="00ED1F77" w:rsidRDefault="00C869A8">
      <w:pPr>
        <w:spacing w:after="40" w:line="240" w:lineRule="auto"/>
        <w:ind w:left="680"/>
        <w:rPr>
          <w:rFonts w:hint="eastAsia"/>
        </w:rPr>
      </w:pPr>
      <w:hyperlink w:anchor="toc_031" w:history="1">
        <w:r>
          <w:rPr>
            <w:color w:val="0563C1"/>
            <w:u w:val="single"/>
          </w:rPr>
          <w:t>4.2.2 云台驱动模块</w:t>
        </w:r>
      </w:hyperlink>
    </w:p>
    <w:p w14:paraId="7F96E866" w14:textId="7045702B" w:rsidR="00ED1F77" w:rsidRDefault="00C869A8">
      <w:pPr>
        <w:spacing w:after="40" w:line="240" w:lineRule="auto"/>
        <w:ind w:left="340"/>
        <w:rPr>
          <w:rFonts w:hint="eastAsia"/>
        </w:rPr>
      </w:pPr>
      <w:hyperlink w:anchor="toc_032" w:history="1">
        <w:r>
          <w:rPr>
            <w:color w:val="0563C1"/>
            <w:u w:val="single"/>
          </w:rPr>
          <w:t>4.3 网络通信与消息处理</w:t>
        </w:r>
      </w:hyperlink>
    </w:p>
    <w:p w14:paraId="5B5E7FCC" w14:textId="4E1AAEB1" w:rsidR="00ED1F77" w:rsidRDefault="00C869A8">
      <w:pPr>
        <w:spacing w:after="40" w:line="240" w:lineRule="auto"/>
        <w:ind w:left="680"/>
        <w:rPr>
          <w:rFonts w:hint="eastAsia"/>
        </w:rPr>
      </w:pPr>
      <w:hyperlink w:anchor="toc_033" w:history="1">
        <w:r>
          <w:rPr>
            <w:color w:val="0563C1"/>
            <w:u w:val="single"/>
          </w:rPr>
          <w:t>4.3.1 MQTT连接与安全</w:t>
        </w:r>
      </w:hyperlink>
    </w:p>
    <w:p w14:paraId="5359A0EE" w14:textId="29700496" w:rsidR="00ED1F77" w:rsidRDefault="00C869A8">
      <w:pPr>
        <w:spacing w:after="40" w:line="240" w:lineRule="auto"/>
        <w:ind w:left="680"/>
        <w:rPr>
          <w:rFonts w:hint="eastAsia"/>
        </w:rPr>
      </w:pPr>
      <w:hyperlink w:anchor="toc_034" w:history="1">
        <w:r>
          <w:rPr>
            <w:color w:val="0563C1"/>
            <w:u w:val="single"/>
          </w:rPr>
          <w:t>4.3.2 控制报文解析</w:t>
        </w:r>
      </w:hyperlink>
    </w:p>
    <w:p w14:paraId="307FB2EA" w14:textId="6ACA5384" w:rsidR="00ED1F77" w:rsidRDefault="00C869A8">
      <w:pPr>
        <w:spacing w:after="40" w:line="240" w:lineRule="auto"/>
        <w:ind w:left="340"/>
        <w:rPr>
          <w:rFonts w:hint="eastAsia"/>
        </w:rPr>
      </w:pPr>
      <w:hyperlink w:anchor="toc_035" w:history="1">
        <w:r>
          <w:rPr>
            <w:color w:val="0563C1"/>
            <w:u w:val="single"/>
          </w:rPr>
          <w:t>4.4 软件工程实现</w:t>
        </w:r>
      </w:hyperlink>
    </w:p>
    <w:p w14:paraId="2DFF766D" w14:textId="79185FEA" w:rsidR="00ED1F77" w:rsidRDefault="00C869A8">
      <w:pPr>
        <w:spacing w:after="40" w:line="240" w:lineRule="auto"/>
        <w:ind w:left="680"/>
        <w:rPr>
          <w:rFonts w:hint="eastAsia"/>
        </w:rPr>
      </w:pPr>
      <w:hyperlink w:anchor="toc_036" w:history="1">
        <w:r>
          <w:rPr>
            <w:color w:val="0563C1"/>
            <w:u w:val="single"/>
          </w:rPr>
          <w:t>4.4.1 模块化组织</w:t>
        </w:r>
      </w:hyperlink>
    </w:p>
    <w:p w14:paraId="3C6F0F03" w14:textId="0DC4967E" w:rsidR="00ED1F77" w:rsidRDefault="00C869A8">
      <w:pPr>
        <w:spacing w:after="40" w:line="240" w:lineRule="auto"/>
        <w:ind w:left="680"/>
        <w:rPr>
          <w:rFonts w:hint="eastAsia"/>
        </w:rPr>
      </w:pPr>
      <w:hyperlink w:anchor="toc_037" w:history="1">
        <w:r>
          <w:rPr>
            <w:color w:val="0563C1"/>
            <w:u w:val="single"/>
          </w:rPr>
          <w:t>4.4.2 构建验证与边界</w:t>
        </w:r>
      </w:hyperlink>
    </w:p>
    <w:p w14:paraId="0B9FB0A6" w14:textId="03AB1A12" w:rsidR="00ED1F77" w:rsidRDefault="00C869A8">
      <w:pPr>
        <w:spacing w:after="40" w:line="240" w:lineRule="auto"/>
        <w:rPr>
          <w:rFonts w:hint="eastAsia"/>
        </w:rPr>
      </w:pPr>
      <w:hyperlink w:anchor="toc_038" w:history="1">
        <w:r>
          <w:rPr>
            <w:color w:val="0563C1"/>
            <w:u w:val="single"/>
          </w:rPr>
          <w:t>5 其他内容</w:t>
        </w:r>
      </w:hyperlink>
    </w:p>
    <w:p w14:paraId="08487985" w14:textId="515E8E1E" w:rsidR="00ED1F77" w:rsidRDefault="00C869A8">
      <w:pPr>
        <w:spacing w:after="40" w:line="240" w:lineRule="auto"/>
        <w:ind w:left="340"/>
        <w:rPr>
          <w:rFonts w:hint="eastAsia"/>
        </w:rPr>
      </w:pPr>
      <w:hyperlink w:anchor="toc_039" w:history="1">
        <w:r>
          <w:rPr>
            <w:color w:val="0563C1"/>
            <w:u w:val="single"/>
          </w:rPr>
          <w:t>5.1 安全与可靠性设计</w:t>
        </w:r>
      </w:hyperlink>
    </w:p>
    <w:p w14:paraId="5F6A930B" w14:textId="2848F272" w:rsidR="00ED1F77" w:rsidRDefault="00C869A8">
      <w:pPr>
        <w:spacing w:after="40" w:line="240" w:lineRule="auto"/>
        <w:ind w:left="680"/>
        <w:rPr>
          <w:rFonts w:hint="eastAsia"/>
        </w:rPr>
      </w:pPr>
      <w:hyperlink w:anchor="toc_040" w:history="1">
        <w:r>
          <w:rPr>
            <w:color w:val="0563C1"/>
            <w:u w:val="single"/>
          </w:rPr>
          <w:t>5.1.1 电源与执行器保护</w:t>
        </w:r>
      </w:hyperlink>
    </w:p>
    <w:p w14:paraId="169801E3" w14:textId="6D21A9A8" w:rsidR="00ED1F77" w:rsidRDefault="00C869A8">
      <w:pPr>
        <w:spacing w:after="40" w:line="240" w:lineRule="auto"/>
        <w:ind w:left="340"/>
        <w:rPr>
          <w:rFonts w:hint="eastAsia"/>
        </w:rPr>
      </w:pPr>
      <w:hyperlink w:anchor="toc_041" w:history="1">
        <w:r>
          <w:rPr>
            <w:color w:val="0563C1"/>
            <w:u w:val="single"/>
          </w:rPr>
          <w:t>5.2 可维护性与扩展性</w:t>
        </w:r>
      </w:hyperlink>
    </w:p>
    <w:p w14:paraId="608D22BA" w14:textId="4305B745" w:rsidR="00ED1F77" w:rsidRDefault="00C869A8">
      <w:pPr>
        <w:spacing w:after="40" w:line="240" w:lineRule="auto"/>
        <w:ind w:left="680"/>
        <w:rPr>
          <w:rFonts w:hint="eastAsia"/>
        </w:rPr>
      </w:pPr>
      <w:hyperlink w:anchor="toc_042" w:history="1">
        <w:r>
          <w:rPr>
            <w:color w:val="0563C1"/>
            <w:u w:val="single"/>
          </w:rPr>
          <w:t>5.2.1 接口演进策略</w:t>
        </w:r>
      </w:hyperlink>
    </w:p>
    <w:p w14:paraId="217A1B6E" w14:textId="45424A38" w:rsidR="00ED1F77" w:rsidRDefault="00C869A8">
      <w:pPr>
        <w:spacing w:after="40" w:line="240" w:lineRule="auto"/>
        <w:ind w:left="340"/>
        <w:rPr>
          <w:rFonts w:hint="eastAsia"/>
        </w:rPr>
      </w:pPr>
      <w:hyperlink w:anchor="toc_043" w:history="1">
        <w:r>
          <w:rPr>
            <w:color w:val="0563C1"/>
            <w:u w:val="single"/>
          </w:rPr>
          <w:t>5.3 后续工作</w:t>
        </w:r>
      </w:hyperlink>
    </w:p>
    <w:p w14:paraId="647B06FA" w14:textId="2117D7F7" w:rsidR="00ED1F77" w:rsidRDefault="00C869A8">
      <w:pPr>
        <w:spacing w:after="40" w:line="240" w:lineRule="auto"/>
        <w:ind w:left="680"/>
        <w:rPr>
          <w:rFonts w:hint="eastAsia"/>
        </w:rPr>
      </w:pPr>
      <w:hyperlink w:anchor="toc_044" w:history="1">
        <w:r>
          <w:rPr>
            <w:color w:val="0563C1"/>
            <w:u w:val="single"/>
          </w:rPr>
          <w:t>5.3.1 联调验收重点</w:t>
        </w:r>
      </w:hyperlink>
    </w:p>
    <w:p w14:paraId="5EC7919D" w14:textId="5BD52C05" w:rsidR="00ED1F77" w:rsidRDefault="00C869A8">
      <w:pPr>
        <w:spacing w:after="40" w:line="240" w:lineRule="auto"/>
        <w:rPr>
          <w:rFonts w:hint="eastAsia"/>
        </w:rPr>
      </w:pPr>
      <w:hyperlink w:anchor="toc_045" w:history="1">
        <w:r>
          <w:rPr>
            <w:color w:val="0563C1"/>
            <w:u w:val="single"/>
          </w:rPr>
          <w:t>6 参考文献</w:t>
        </w:r>
      </w:hyperlink>
    </w:p>
    <w:p w14:paraId="292A2A59" w14:textId="77777777" w:rsidR="00ED1F77" w:rsidRDefault="00C869A8">
      <w:pPr>
        <w:pStyle w:val="1"/>
      </w:pPr>
      <w:bookmarkStart w:id="0" w:name="toc_001"/>
      <w:r>
        <w:rPr>
          <w:rFonts w:ascii="黑体" w:eastAsia="黑体" w:hAnsi="黑体"/>
        </w:rPr>
        <w:t>1 设计需求分析</w:t>
      </w:r>
      <w:bookmarkEnd w:id="0"/>
    </w:p>
    <w:p w14:paraId="51A76AE7" w14:textId="77777777" w:rsidR="00ED1F77" w:rsidRDefault="00C869A8">
      <w:pPr>
        <w:pStyle w:val="21"/>
      </w:pPr>
      <w:bookmarkStart w:id="1" w:name="toc_002"/>
      <w:r>
        <w:rPr>
          <w:rFonts w:ascii="黑体" w:eastAsia="黑体" w:hAnsi="黑体"/>
        </w:rPr>
        <w:t>1.1 现场种植管理需求</w:t>
      </w:r>
      <w:bookmarkEnd w:id="1"/>
    </w:p>
    <w:p w14:paraId="1EBD0034" w14:textId="77777777" w:rsidR="00ED1F77" w:rsidRDefault="00C869A8">
      <w:pPr>
        <w:ind w:firstLine="420"/>
        <w:jc w:val="both"/>
        <w:rPr>
          <w:rFonts w:hint="eastAsia"/>
        </w:rPr>
      </w:pPr>
      <w:r>
        <w:t>温室和小型种植箱中的水分、光照、温度和二氧化碳浓度会随时间和空间位置发生变化。依赖人工观察时，管理者难以及时获得连续数据，也难以在缺水、光照不足等情况出现时快速采取措施。系统需要将环境感知、远程查看和执行器控制组合成闭环，使现场状态能够被记录、解释并转化为可执行操作。</w:t>
      </w:r>
    </w:p>
    <w:p w14:paraId="53BD8E07" w14:textId="77777777" w:rsidR="00ED1F77" w:rsidRDefault="00C869A8">
      <w:pPr>
        <w:pStyle w:val="31"/>
      </w:pPr>
      <w:bookmarkStart w:id="2" w:name="toc_003"/>
      <w:r>
        <w:rPr>
          <w:rFonts w:ascii="黑体" w:eastAsia="黑体" w:hAnsi="黑体"/>
        </w:rPr>
        <w:t>1.1.1 多源数据的统一表达</w:t>
      </w:r>
      <w:bookmarkEnd w:id="2"/>
    </w:p>
    <w:p w14:paraId="29FE72CB" w14:textId="77777777" w:rsidR="00ED1F77" w:rsidRDefault="00C869A8">
      <w:pPr>
        <w:ind w:firstLine="420"/>
        <w:jc w:val="both"/>
        <w:rPr>
          <w:rFonts w:hint="eastAsia"/>
        </w:rPr>
      </w:pPr>
      <w:r>
        <w:t>不同传感器的接口和原始数据形式不同：土壤湿度需要由ADC读数映射为百分比，光照传感器输出Lux，温度传感器采用单总线读数，二氧化碳模块通过串口帧给出ppm数值。若字段名称、单位和</w:t>
      </w:r>
      <w:r>
        <w:lastRenderedPageBreak/>
        <w:t>时间语义没有统一约束，云端存储、前端展示和自动分析会产生重复转换和错误解释。因此，系统将温度、湿度、光照和二氧化碳等指标纳入统一领域模型，并将单位随字段命名固定表达。</w:t>
      </w:r>
    </w:p>
    <w:p w14:paraId="21869DD4" w14:textId="77777777" w:rsidR="00ED1F77" w:rsidRDefault="00C869A8">
      <w:pPr>
        <w:pStyle w:val="21"/>
      </w:pPr>
      <w:bookmarkStart w:id="3" w:name="toc_004"/>
      <w:r>
        <w:rPr>
          <w:rFonts w:ascii="黑体" w:eastAsia="黑体" w:hAnsi="黑体"/>
        </w:rPr>
        <w:t>1.2 系统约束与目标</w:t>
      </w:r>
      <w:bookmarkEnd w:id="3"/>
    </w:p>
    <w:p w14:paraId="44619DD0" w14:textId="77777777" w:rsidR="00ED1F77" w:rsidRDefault="00C869A8">
      <w:pPr>
        <w:pStyle w:val="31"/>
      </w:pPr>
      <w:bookmarkStart w:id="4" w:name="toc_005"/>
      <w:r>
        <w:rPr>
          <w:rFonts w:ascii="黑体" w:eastAsia="黑体" w:hAnsi="黑体"/>
        </w:rPr>
        <w:t>1.2.1 网络与可靠性约束</w:t>
      </w:r>
      <w:bookmarkEnd w:id="4"/>
    </w:p>
    <w:p w14:paraId="6FF01F8F" w14:textId="4503F00E" w:rsidR="00ED1F77" w:rsidRDefault="00C869A8">
      <w:pPr>
        <w:ind w:firstLine="420"/>
        <w:jc w:val="both"/>
        <w:rPr>
          <w:rFonts w:hint="eastAsia"/>
        </w:rPr>
      </w:pPr>
      <w:r>
        <w:t>现场无线网络可能短时波动，主程序不能因为一次传感器转换或网络重连而长期阻塞。系统需要在主循环中持续维护Wi-Fi和MQTT连接，并使用周期调度完成传感器更新和数据发布。MQTT采用发布/订阅模型，适合设备、云端和可视化端之间的异步解耦通信</w:t>
      </w:r>
      <w:hyperlink w:anchor="ref_1" w:history="1">
        <w:r>
          <w:rPr>
            <w:color w:val="0563C1"/>
            <w:u w:val="single"/>
          </w:rPr>
          <w:t>[1]</w:t>
        </w:r>
      </w:hyperlink>
      <w:r>
        <w:t>。</w:t>
      </w:r>
    </w:p>
    <w:p w14:paraId="69F79979" w14:textId="77777777" w:rsidR="00ED1F77" w:rsidRDefault="00C869A8">
      <w:pPr>
        <w:pStyle w:val="31"/>
      </w:pPr>
      <w:bookmarkStart w:id="5" w:name="toc_006"/>
      <w:r>
        <w:rPr>
          <w:rFonts w:ascii="黑体" w:eastAsia="黑体" w:hAnsi="黑体"/>
        </w:rPr>
        <w:t>1.2.2 执行器安全约束</w:t>
      </w:r>
      <w:bookmarkEnd w:id="5"/>
    </w:p>
    <w:p w14:paraId="5AC79FC8" w14:textId="26D4626E" w:rsidR="00ED1F77" w:rsidRDefault="00AF7E34">
      <w:pPr>
        <w:ind w:firstLine="420"/>
        <w:jc w:val="both"/>
        <w:rPr>
          <w:rFonts w:hint="eastAsia"/>
        </w:rPr>
      </w:pPr>
      <w:r>
        <w:rPr>
          <w:rFonts w:hint="eastAsia"/>
        </w:rPr>
        <w:t>水泵、灯光和云台均会直接影响现场硬件，命令必须有明确的取值范围、有效期和失效策略。水泵与补光灯采用PWM输出并限制占空比；云台角度限制在0至180度。两个SG90由独立稳定5V供电并与ESP32共地。水枪控制还必须在目标变化、网络断开、定时结束或动态会话超时后立即停泵，避免通信异常导致持续喷水。</w:t>
      </w:r>
    </w:p>
    <w:p w14:paraId="374999EB" w14:textId="77777777" w:rsidR="00ED1F77" w:rsidRDefault="00C869A8">
      <w:pPr>
        <w:pStyle w:val="21"/>
      </w:pPr>
      <w:bookmarkStart w:id="6" w:name="toc_007"/>
      <w:r>
        <w:rPr>
          <w:rFonts w:ascii="黑体" w:eastAsia="黑体" w:hAnsi="黑体"/>
        </w:rPr>
        <w:t>1.3 设计目标</w:t>
      </w:r>
      <w:bookmarkEnd w:id="6"/>
    </w:p>
    <w:p w14:paraId="1DA2932E" w14:textId="77777777" w:rsidR="00ED1F77" w:rsidRDefault="00C869A8">
      <w:pPr>
        <w:pStyle w:val="a0"/>
        <w:spacing w:after="40" w:line="240" w:lineRule="auto"/>
        <w:jc w:val="both"/>
        <w:rPr>
          <w:rFonts w:hint="eastAsia"/>
        </w:rPr>
      </w:pPr>
      <w:r>
        <w:t>形成可持续采集土壤湿度、光照、温度和二氧化碳浓度的现场数据源。</w:t>
      </w:r>
    </w:p>
    <w:p w14:paraId="00F51824" w14:textId="0B9617B2" w:rsidR="00ED1F77" w:rsidRDefault="00AF7E34">
      <w:pPr>
        <w:pStyle w:val="a0"/>
        <w:spacing w:after="40" w:line="240" w:lineRule="auto"/>
        <w:jc w:val="both"/>
        <w:rPr>
          <w:rFonts w:hint="eastAsia"/>
        </w:rPr>
      </w:pPr>
      <w:r>
        <w:rPr>
          <w:rFonts w:hint="eastAsia"/>
        </w:rPr>
        <w:t>支持经正式MQTT v1主题下发的水泵、补光灯、水平云台、俯仰云台和复合目标喷水控制。</w:t>
      </w:r>
    </w:p>
    <w:p w14:paraId="55ABDB0B" w14:textId="77777777" w:rsidR="00ED1F77" w:rsidRDefault="00C869A8">
      <w:pPr>
        <w:pStyle w:val="a0"/>
        <w:spacing w:after="40" w:line="240" w:lineRule="auto"/>
        <w:jc w:val="both"/>
        <w:rPr>
          <w:rFonts w:hint="eastAsia"/>
        </w:rPr>
      </w:pPr>
      <w:r>
        <w:t>以统一的设备标识、字段、单位和命令状态为云端、前端与嵌入式端提供协同依据。</w:t>
      </w:r>
    </w:p>
    <w:p w14:paraId="3CFF1727" w14:textId="77777777" w:rsidR="00ED1F77" w:rsidRDefault="00C869A8">
      <w:pPr>
        <w:pStyle w:val="a0"/>
        <w:spacing w:after="40" w:line="240" w:lineRule="auto"/>
        <w:jc w:val="both"/>
        <w:rPr>
          <w:rFonts w:hint="eastAsia"/>
        </w:rPr>
      </w:pPr>
      <w:r>
        <w:t>为语音交互、屏幕显示、知识库问答和风险分析预留独立的云端服务接口。</w:t>
      </w:r>
    </w:p>
    <w:p w14:paraId="21281686" w14:textId="77777777" w:rsidR="00ED1F77" w:rsidRDefault="00C869A8">
      <w:pPr>
        <w:pStyle w:val="1"/>
      </w:pPr>
      <w:bookmarkStart w:id="7" w:name="toc_008"/>
      <w:r>
        <w:rPr>
          <w:rFonts w:ascii="黑体" w:eastAsia="黑体" w:hAnsi="黑体"/>
        </w:rPr>
        <w:t>2 特色与创新</w:t>
      </w:r>
      <w:bookmarkEnd w:id="7"/>
    </w:p>
    <w:p w14:paraId="19F4E6FA" w14:textId="77777777" w:rsidR="00ED1F77" w:rsidRDefault="00C869A8">
      <w:pPr>
        <w:pStyle w:val="21"/>
      </w:pPr>
      <w:bookmarkStart w:id="8" w:name="toc_009"/>
      <w:r>
        <w:rPr>
          <w:rFonts w:ascii="黑体" w:eastAsia="黑体" w:hAnsi="黑体"/>
        </w:rPr>
        <w:t>2.1 双MCU职责分离</w:t>
      </w:r>
      <w:bookmarkEnd w:id="8"/>
    </w:p>
    <w:p w14:paraId="634DC58E" w14:textId="77777777" w:rsidR="00ED1F77" w:rsidRDefault="00C869A8">
      <w:pPr>
        <w:pStyle w:val="31"/>
      </w:pPr>
      <w:bookmarkStart w:id="9" w:name="toc_010"/>
      <w:r>
        <w:rPr>
          <w:rFonts w:ascii="黑体" w:eastAsia="黑体" w:hAnsi="黑体"/>
        </w:rPr>
        <w:t>2.1.1 现场节点与交互终端分工</w:t>
      </w:r>
      <w:bookmarkEnd w:id="9"/>
    </w:p>
    <w:p w14:paraId="39A0D664" w14:textId="77777777" w:rsidR="00ED1F77" w:rsidRDefault="00C869A8">
      <w:pPr>
        <w:ind w:firstLine="420"/>
        <w:jc w:val="both"/>
        <w:rPr>
          <w:rFonts w:hint="eastAsia"/>
        </w:rPr>
      </w:pPr>
      <w:r>
        <w:t>系统不将采集、执行、语音和显示全部堆叠在单一控制器上，而是明确区分两类设备。普通ESP32部署于现场，负责传感器采集、网络上报和水泵、补光灯、云台控制；ESP32-C5被规划为语音与显示终端，负责与云端大模型服务交互并显示结果。该分工减少了实时硬件任务与多媒体交互任务之间的资源竞争，也使硬件扩展更清晰。</w:t>
      </w:r>
    </w:p>
    <w:p w14:paraId="6A4D9331" w14:textId="77777777" w:rsidR="00ED1F77" w:rsidRDefault="00C869A8">
      <w:pPr>
        <w:pStyle w:val="21"/>
      </w:pPr>
      <w:bookmarkStart w:id="10" w:name="toc_011"/>
      <w:r>
        <w:rPr>
          <w:rFonts w:ascii="黑体" w:eastAsia="黑体" w:hAnsi="黑体"/>
        </w:rPr>
        <w:lastRenderedPageBreak/>
        <w:t>2.2 面向联调的数据契约</w:t>
      </w:r>
      <w:bookmarkEnd w:id="10"/>
    </w:p>
    <w:p w14:paraId="3D14A8FA" w14:textId="77777777" w:rsidR="00ED1F77" w:rsidRDefault="00C869A8">
      <w:pPr>
        <w:pStyle w:val="31"/>
      </w:pPr>
      <w:bookmarkStart w:id="11" w:name="toc_012"/>
      <w:r>
        <w:rPr>
          <w:rFonts w:ascii="黑体" w:eastAsia="黑体" w:hAnsi="黑体"/>
        </w:rPr>
        <w:t>2.2.1 数据、命令与确认三类消息</w:t>
      </w:r>
      <w:bookmarkEnd w:id="11"/>
    </w:p>
    <w:p w14:paraId="5CA3410E" w14:textId="1CD93595" w:rsidR="00ED1F77" w:rsidRDefault="00AF7E34">
      <w:pPr>
        <w:ind w:firstLine="420"/>
        <w:jc w:val="both"/>
        <w:rPr>
          <w:rFonts w:hint="eastAsia"/>
        </w:rPr>
      </w:pPr>
      <w:r>
        <w:rPr>
          <w:rFonts w:hint="eastAsia"/>
        </w:rPr>
        <w:t>系统将遥测、控制命令和设备确认视为三类独立消息。遥测描述环境与执行器快照；命令描述目标、期望值和有效期；确认只在设备完成校验并应用输出或明确拒绝后发布。MQTT发布成功和后端返回已受理均不等于硬件已经动作；当前SG90和水路没有反馈传感器，因此executed只表示控制输出已应用，确认消息固定标记feedback_verified=false。</w:t>
      </w:r>
    </w:p>
    <w:p w14:paraId="7E03A5CD" w14:textId="77777777" w:rsidR="00ED1F77" w:rsidRDefault="00C869A8">
      <w:pPr>
        <w:pStyle w:val="21"/>
      </w:pPr>
      <w:bookmarkStart w:id="12" w:name="toc_013"/>
      <w:r>
        <w:rPr>
          <w:rFonts w:ascii="黑体" w:eastAsia="黑体" w:hAnsi="黑体"/>
        </w:rPr>
        <w:t>2.3 可视化观察与物理控制结合</w:t>
      </w:r>
      <w:bookmarkEnd w:id="12"/>
    </w:p>
    <w:p w14:paraId="6CFCA301" w14:textId="77777777" w:rsidR="00ED1F77" w:rsidRDefault="00C869A8">
      <w:pPr>
        <w:pStyle w:val="31"/>
      </w:pPr>
      <w:bookmarkStart w:id="13" w:name="toc_014"/>
      <w:r>
        <w:rPr>
          <w:rFonts w:ascii="黑体" w:eastAsia="黑体" w:hAnsi="黑体"/>
        </w:rPr>
        <w:t>2.3.1 二维云台作为扩展执行器</w:t>
      </w:r>
      <w:bookmarkEnd w:id="13"/>
    </w:p>
    <w:p w14:paraId="33064F2E" w14:textId="134F7F1D" w:rsidR="00ED1F77" w:rsidRDefault="00AF7E34">
      <w:pPr>
        <w:ind w:firstLine="420"/>
        <w:jc w:val="both"/>
        <w:rPr>
          <w:rFonts w:hint="eastAsia"/>
        </w:rPr>
      </w:pPr>
      <w:r>
        <w:rPr>
          <w:rFonts w:hint="eastAsia"/>
        </w:rPr>
        <w:t>在灌溉和补光基础上，系统把二维SG90与水泵组合为目标喷水执行器。正式控制不再使用旧panAngle和tiltAngle字段，而是在同一target_position命令中携带ground_range_mm、bearing_deg、水枪模式、模拟标志、水泵百分比、动态会话序号和定时参数。设备按“先停泵、再转向、等待稳定、最后开泵”的顺序执行，避免多条独立命令乱序造成带水转向。</w:t>
      </w:r>
    </w:p>
    <w:p w14:paraId="14186E42" w14:textId="77777777" w:rsidR="00ED1F77" w:rsidRDefault="00C869A8">
      <w:pPr>
        <w:pStyle w:val="1"/>
      </w:pPr>
      <w:bookmarkStart w:id="14" w:name="toc_015"/>
      <w:r>
        <w:rPr>
          <w:rFonts w:ascii="黑体" w:eastAsia="黑体" w:hAnsi="黑体"/>
        </w:rPr>
        <w:t>3 功能设计</w:t>
      </w:r>
      <w:bookmarkEnd w:id="14"/>
    </w:p>
    <w:p w14:paraId="084A8597" w14:textId="77777777" w:rsidR="00ED1F77" w:rsidRDefault="00C869A8">
      <w:pPr>
        <w:pStyle w:val="21"/>
      </w:pPr>
      <w:bookmarkStart w:id="15" w:name="toc_016"/>
      <w:r>
        <w:rPr>
          <w:rFonts w:ascii="黑体" w:eastAsia="黑体" w:hAnsi="黑体"/>
        </w:rPr>
        <w:t>3.1 环境采集与上报</w:t>
      </w:r>
      <w:bookmarkEnd w:id="15"/>
    </w:p>
    <w:p w14:paraId="2DF39A65" w14:textId="77777777" w:rsidR="00ED1F77" w:rsidRDefault="00C869A8">
      <w:pPr>
        <w:pStyle w:val="31"/>
      </w:pPr>
      <w:bookmarkStart w:id="16" w:name="toc_017"/>
      <w:r>
        <w:rPr>
          <w:rFonts w:ascii="黑体" w:eastAsia="黑体" w:hAnsi="黑体"/>
        </w:rPr>
        <w:t>3.1.1 采集对象与处理方式</w:t>
      </w:r>
      <w:bookmarkEnd w:id="16"/>
    </w:p>
    <w:p w14:paraId="7576D26E" w14:textId="3DE18137" w:rsidR="00ED1F77" w:rsidRDefault="00C869A8">
      <w:pPr>
        <w:ind w:firstLine="420"/>
        <w:jc w:val="both"/>
        <w:rPr>
          <w:rFonts w:hint="eastAsia"/>
        </w:rPr>
      </w:pPr>
      <w:r>
        <w:t>现场ESP32周期采集土壤湿度、光照、温度和二氧化碳浓度。土壤湿度模块对ADC采样进行平滑和百分比映射；BH1750通过I2C输出光照强度；DS18B20通过OneWire总线获取温度；JW01模块通过串口帧解析二氧化碳浓度。BH1750能够以数字方式给出环境光照数据，适合作为补光判断和环境分析的输入</w:t>
      </w:r>
      <w:hyperlink w:anchor="ref_2" w:history="1">
        <w:r>
          <w:rPr>
            <w:color w:val="0563C1"/>
            <w:u w:val="single"/>
          </w:rPr>
          <w:t>[2]</w:t>
        </w:r>
      </w:hyperlink>
      <w:r>
        <w:t>；DS18B20提供数字温度测量能力，可在潮湿农业环境中作为温度采集元件</w:t>
      </w:r>
      <w:hyperlink w:anchor="ref_3" w:history="1">
        <w:r>
          <w:rPr>
            <w:color w:val="0563C1"/>
            <w:u w:val="single"/>
          </w:rPr>
          <w:t>[3]</w:t>
        </w:r>
      </w:hyperlink>
      <w:r>
        <w:t>。</w:t>
      </w:r>
    </w:p>
    <w:p w14:paraId="6A73B993" w14:textId="77777777" w:rsidR="00ED1F77" w:rsidRDefault="00C869A8">
      <w:pPr>
        <w:pStyle w:val="21"/>
      </w:pPr>
      <w:bookmarkStart w:id="17" w:name="toc_018"/>
      <w:r>
        <w:rPr>
          <w:rFonts w:ascii="黑体" w:eastAsia="黑体" w:hAnsi="黑体"/>
        </w:rPr>
        <w:t>3.2 远程控制</w:t>
      </w:r>
      <w:bookmarkEnd w:id="17"/>
    </w:p>
    <w:p w14:paraId="74A320BA" w14:textId="77777777" w:rsidR="00ED1F77" w:rsidRDefault="00C869A8">
      <w:pPr>
        <w:pStyle w:val="31"/>
      </w:pPr>
      <w:bookmarkStart w:id="18" w:name="toc_019"/>
      <w:r>
        <w:rPr>
          <w:rFonts w:ascii="黑体" w:eastAsia="黑体" w:hAnsi="黑体"/>
        </w:rPr>
        <w:t>3.2.1 水泵与补光灯控制</w:t>
      </w:r>
      <w:bookmarkEnd w:id="18"/>
    </w:p>
    <w:p w14:paraId="312B8817" w14:textId="3192F670" w:rsidR="00ED1F77" w:rsidRDefault="00AF7E34">
      <w:pPr>
        <w:ind w:firstLine="420"/>
        <w:jc w:val="both"/>
        <w:rPr>
          <w:rFonts w:hint="eastAsia"/>
        </w:rPr>
      </w:pPr>
      <w:r>
        <w:rPr>
          <w:rFonts w:hint="eastAsia"/>
        </w:rPr>
        <w:t>正式控制主题为smartagribrain/v1/devices/{device_id}/command。原子set命令支持pump、grow_light、pan和tilt：水泵范围0至100并映射到GPIO26，补光灯范围0至90并映射到GPIO14，两个舵机范围0至180度。水泵与水枪共用同一GPIO26输出和安全停止状态。旧farm/test/control_cmd_888及waterDemand、lightDemand仅作为历史协议记录，不再用于正式联调。</w:t>
      </w:r>
    </w:p>
    <w:p w14:paraId="6E10B265" w14:textId="77777777" w:rsidR="00ED1F77" w:rsidRDefault="00C869A8">
      <w:pPr>
        <w:pStyle w:val="31"/>
      </w:pPr>
      <w:bookmarkStart w:id="19" w:name="toc_020"/>
      <w:r>
        <w:rPr>
          <w:rFonts w:ascii="黑体" w:eastAsia="黑体" w:hAnsi="黑体"/>
        </w:rPr>
        <w:lastRenderedPageBreak/>
        <w:t>3.2.2 云台控制</w:t>
      </w:r>
      <w:bookmarkEnd w:id="19"/>
    </w:p>
    <w:p w14:paraId="1198B6F1" w14:textId="4437B31A" w:rsidR="00ED1F77" w:rsidRDefault="00AF7E34">
      <w:pPr>
        <w:ind w:firstLine="420"/>
        <w:jc w:val="both"/>
        <w:rPr>
          <w:rFonts w:hint="eastAsia"/>
        </w:rPr>
      </w:pPr>
      <w:r>
        <w:rPr>
          <w:rFonts w:hint="eastAsia"/>
        </w:rPr>
        <w:t>水平舵机使用GPIO27，俯仰舵机使用GPIO13，上电均置于90度，使用50Hz PWM驱动[4]。直接pan和tilt命令可用于调试；正式目标喷水使用ground_range_mm和bearing_deg。当前方向角-45至45度临时映射到水平60至120度，距离300至1200毫米临时分段映射到俯仰110至70度，并明确标记UN_CALIBRATED_PLACEHOLDER，实测前不能宣称准确瞄准。</w:t>
      </w:r>
    </w:p>
    <w:p w14:paraId="2AAF04E8" w14:textId="77777777" w:rsidR="00ED1F77" w:rsidRDefault="00C869A8">
      <w:pPr>
        <w:pStyle w:val="21"/>
      </w:pPr>
      <w:bookmarkStart w:id="20" w:name="toc_021"/>
      <w:r>
        <w:rPr>
          <w:rFonts w:ascii="黑体" w:eastAsia="黑体" w:hAnsi="黑体"/>
        </w:rPr>
        <w:t>3.3 云端与前端服务</w:t>
      </w:r>
      <w:bookmarkEnd w:id="20"/>
    </w:p>
    <w:p w14:paraId="175C0B74" w14:textId="77777777" w:rsidR="00ED1F77" w:rsidRDefault="00C869A8">
      <w:pPr>
        <w:pStyle w:val="31"/>
      </w:pPr>
      <w:bookmarkStart w:id="21" w:name="toc_022"/>
      <w:r>
        <w:rPr>
          <w:rFonts w:ascii="黑体" w:eastAsia="黑体" w:hAnsi="黑体"/>
        </w:rPr>
        <w:t>3.3.1 数据展示和分析接口</w:t>
      </w:r>
      <w:bookmarkEnd w:id="21"/>
    </w:p>
    <w:p w14:paraId="41302C72" w14:textId="77777777" w:rsidR="00ED1F77" w:rsidRDefault="00C869A8">
      <w:pPr>
        <w:ind w:firstLine="420"/>
        <w:jc w:val="both"/>
        <w:rPr>
          <w:rFonts w:hint="eastAsia"/>
        </w:rPr>
      </w:pPr>
      <w:r>
        <w:t>云端服务负责接收设备遥测、保存历史数据、维护设备在线状态，并向前端提供最新数据、历史趋势、命令状态、天气、病害识别、知识库和对话服务接口。前端不直接连接设备，而是通过REST接口和实时事件读取云端状态。大模型生成的建议只作为候选操作，必须经用户确认或由明确启用的自动化规则转换为设备命令。</w:t>
      </w:r>
    </w:p>
    <w:p w14:paraId="7025D9F1" w14:textId="77777777" w:rsidR="00ED1F77" w:rsidRDefault="00C869A8">
      <w:pPr>
        <w:pStyle w:val="21"/>
      </w:pPr>
      <w:bookmarkStart w:id="22" w:name="toc_023"/>
      <w:r>
        <w:rPr>
          <w:rFonts w:ascii="黑体" w:eastAsia="黑体" w:hAnsi="黑体"/>
        </w:rPr>
        <w:t>3.4 语音与屏幕交互终端</w:t>
      </w:r>
      <w:bookmarkEnd w:id="22"/>
    </w:p>
    <w:p w14:paraId="7726EC28" w14:textId="77777777" w:rsidR="00ED1F77" w:rsidRDefault="00C869A8">
      <w:pPr>
        <w:pStyle w:val="31"/>
      </w:pPr>
      <w:bookmarkStart w:id="23" w:name="toc_024"/>
      <w:r>
        <w:rPr>
          <w:rFonts w:ascii="黑体" w:eastAsia="黑体" w:hAnsi="黑体"/>
        </w:rPr>
        <w:t>3.4.1 已完成设计与待联调内容</w:t>
      </w:r>
      <w:bookmarkEnd w:id="23"/>
    </w:p>
    <w:p w14:paraId="2B3EB33E" w14:textId="77777777" w:rsidR="00ED1F77" w:rsidRDefault="00C869A8">
      <w:pPr>
        <w:ind w:firstLine="420"/>
        <w:jc w:val="both"/>
        <w:rPr>
          <w:rFonts w:hint="eastAsia"/>
        </w:rPr>
      </w:pPr>
      <w:r>
        <w:t>ESP32-C5终端的职责已在系统架构中明确：采集用户语音请求、调用云端大模型服务并将结果显示在屏幕上。该终端不承担现场传感器发布和执行器驱动。当前仓库尚未提供可核验的C5终端源代码，因此本项为已完成的接口与职责设计，后续需要以实际设备协议、网络鉴权和屏幕驱动联调结果作为验收依据。</w:t>
      </w:r>
    </w:p>
    <w:p w14:paraId="1F6F1CFB" w14:textId="77777777" w:rsidR="00ED1F77" w:rsidRDefault="00C869A8">
      <w:pPr>
        <w:pStyle w:val="1"/>
      </w:pPr>
      <w:bookmarkStart w:id="24" w:name="toc_025"/>
      <w:r>
        <w:rPr>
          <w:rFonts w:ascii="黑体" w:eastAsia="黑体" w:hAnsi="黑体"/>
        </w:rPr>
        <w:t>4 系统实现</w:t>
      </w:r>
      <w:bookmarkEnd w:id="24"/>
    </w:p>
    <w:p w14:paraId="04B7794B" w14:textId="77777777" w:rsidR="00ED1F77" w:rsidRDefault="00C869A8">
      <w:pPr>
        <w:pStyle w:val="21"/>
      </w:pPr>
      <w:bookmarkStart w:id="25" w:name="toc_026"/>
      <w:r>
        <w:rPr>
          <w:rFonts w:ascii="黑体" w:eastAsia="黑体" w:hAnsi="黑体"/>
        </w:rPr>
        <w:t>4.1 总体架构</w:t>
      </w:r>
      <w:bookmarkEnd w:id="25"/>
    </w:p>
    <w:p w14:paraId="0DB4D6E4" w14:textId="77777777" w:rsidR="00ED1F77" w:rsidRDefault="00C869A8">
      <w:pPr>
        <w:pStyle w:val="31"/>
      </w:pPr>
      <w:bookmarkStart w:id="26" w:name="toc_027"/>
      <w:r>
        <w:rPr>
          <w:rFonts w:ascii="黑体" w:eastAsia="黑体" w:hAnsi="黑体"/>
        </w:rPr>
        <w:t>4.1.1 分层实现</w:t>
      </w:r>
      <w:bookmarkEnd w:id="26"/>
    </w:p>
    <w:p w14:paraId="6DA4957C" w14:textId="77777777" w:rsidR="00ED1F77" w:rsidRDefault="00C869A8">
      <w:pPr>
        <w:ind w:firstLine="420"/>
        <w:jc w:val="both"/>
        <w:rPr>
          <w:rFonts w:hint="eastAsia"/>
        </w:rPr>
      </w:pPr>
      <w:r>
        <w:t>系统由感知执行层、网络传输层、云端服务层和交互层组成。感知执行层包括传感器、灯光、水泵、二维云台和现场ESP32；网络传输层使用Wi-Fi、TLS和MQTT；云端服务层负责数据、命令、知识库和模型服务；交互层包括Web仪表盘以及规划中的ESP32-C5语音显示终端。各层只通过明确的数据对象和接口协作，降低组件替换对其他部分的影响。</w:t>
      </w:r>
    </w:p>
    <w:p w14:paraId="5E0799C6" w14:textId="77777777" w:rsidR="00ED1F77" w:rsidRDefault="00C869A8">
      <w:pPr>
        <w:pStyle w:val="31"/>
      </w:pPr>
      <w:bookmarkStart w:id="27" w:name="toc_028"/>
      <w:r>
        <w:rPr>
          <w:rFonts w:ascii="黑体" w:eastAsia="黑体" w:hAnsi="黑体"/>
        </w:rPr>
        <w:t>4.1.2 信息流</w:t>
      </w:r>
      <w:bookmarkEnd w:id="27"/>
    </w:p>
    <w:p w14:paraId="64A33824" w14:textId="14456B7B" w:rsidR="00ED1F77" w:rsidRDefault="00AF7E34">
      <w:pPr>
        <w:ind w:firstLine="420"/>
        <w:jc w:val="both"/>
        <w:rPr>
          <w:rFonts w:hint="eastAsia"/>
        </w:rPr>
      </w:pPr>
      <w:r>
        <w:rPr>
          <w:rFonts w:hint="eastAsia"/>
        </w:rPr>
        <w:t>数据流方向为“传感器-普通ESP32-MQTT Broker-统一云端服务-前端或分析服务”；控制流方向为“用户、C5语音或自动策略-统一云端服务-MQTT Broker-普通ESP32-执行器”。普通执行器使用原子命令，目标喷水使用单条复合命令，云端必须等待设备最终ACK后才能把命令标记为EXECUTED。</w:t>
      </w:r>
    </w:p>
    <w:p w14:paraId="64AD968A" w14:textId="77777777" w:rsidR="00ED1F77" w:rsidRDefault="00C869A8">
      <w:pPr>
        <w:pStyle w:val="21"/>
      </w:pPr>
      <w:bookmarkStart w:id="28" w:name="toc_029"/>
      <w:r>
        <w:rPr>
          <w:rFonts w:ascii="黑体" w:eastAsia="黑体" w:hAnsi="黑体"/>
        </w:rPr>
        <w:t>4.2 嵌入式硬件与驱动</w:t>
      </w:r>
      <w:bookmarkEnd w:id="28"/>
    </w:p>
    <w:p w14:paraId="727527B0" w14:textId="77777777" w:rsidR="00ED1F77" w:rsidRDefault="00C869A8">
      <w:pPr>
        <w:pStyle w:val="31"/>
      </w:pPr>
      <w:bookmarkStart w:id="29" w:name="toc_030"/>
      <w:r>
        <w:rPr>
          <w:rFonts w:ascii="黑体" w:eastAsia="黑体" w:hAnsi="黑体"/>
        </w:rPr>
        <w:t>4.2.1 GPIO与PWM资源</w:t>
      </w:r>
      <w:bookmarkEnd w:id="29"/>
    </w:p>
    <w:p w14:paraId="138078EF" w14:textId="651207E1" w:rsidR="00ED1F77" w:rsidRDefault="00C869A8">
      <w:pPr>
        <w:ind w:firstLine="420"/>
        <w:jc w:val="both"/>
        <w:rPr>
          <w:rFonts w:hint="eastAsia"/>
        </w:rPr>
      </w:pPr>
      <w:r>
        <w:t>普通ESP32工程中，GPIO26用于水泵PWM，GPIO14用于补光灯PWM，GPIO27用于云台水平舵机，GPIO13用于云台俯仰舵机。水泵和补光灯采用1kHz、8位分辨率的LEDC通道；两个舵机分别使用50Hz、16位分辨率的LEDC通道。Arduino-ESP32提供LEDC配置、引脚绑定和占空比写入接口，适合该类PWM驱动任务</w:t>
      </w:r>
      <w:hyperlink w:anchor="ref_5" w:history="1">
        <w:r>
          <w:rPr>
            <w:color w:val="0563C1"/>
            <w:u w:val="single"/>
          </w:rPr>
          <w:t>[5]</w:t>
        </w:r>
      </w:hyperlink>
      <w:r>
        <w:t>。</w:t>
      </w:r>
    </w:p>
    <w:p w14:paraId="42AC352D" w14:textId="77777777" w:rsidR="00ED1F77" w:rsidRDefault="00C869A8">
      <w:pPr>
        <w:pStyle w:val="31"/>
      </w:pPr>
      <w:bookmarkStart w:id="30" w:name="toc_031"/>
      <w:r>
        <w:rPr>
          <w:rFonts w:ascii="黑体" w:eastAsia="黑体" w:hAnsi="黑体"/>
        </w:rPr>
        <w:t>4.2.2 云台驱动模块</w:t>
      </w:r>
      <w:bookmarkEnd w:id="30"/>
    </w:p>
    <w:p w14:paraId="6380DCB5" w14:textId="77777777" w:rsidR="00ED1F77" w:rsidRDefault="00C869A8">
      <w:pPr>
        <w:ind w:firstLine="420"/>
        <w:jc w:val="both"/>
        <w:rPr>
          <w:rFonts w:hint="eastAsia"/>
        </w:rPr>
      </w:pPr>
      <w:r>
        <w:t>工程在lib/PanTilt目录中封装PanTilt类，负责初始化两个LED控制通道、角度范围钳位、脉宽换算和角度状态保存。调用方只需传入目标角度，无需重复处理定时器参数。水平方向和俯仰方向分别维护当前角度，便于串口诊断、后续状态上报和故障定位。</w:t>
      </w:r>
    </w:p>
    <w:p w14:paraId="619FF208" w14:textId="77777777" w:rsidR="00ED1F77" w:rsidRDefault="00C869A8">
      <w:pPr>
        <w:pStyle w:val="21"/>
      </w:pPr>
      <w:bookmarkStart w:id="31" w:name="toc_032"/>
      <w:r>
        <w:rPr>
          <w:rFonts w:ascii="黑体" w:eastAsia="黑体" w:hAnsi="黑体"/>
        </w:rPr>
        <w:t>4.3 网络通信与消息处理</w:t>
      </w:r>
      <w:bookmarkEnd w:id="31"/>
    </w:p>
    <w:p w14:paraId="5014F46C" w14:textId="77777777" w:rsidR="00ED1F77" w:rsidRDefault="00C869A8">
      <w:pPr>
        <w:pStyle w:val="31"/>
      </w:pPr>
      <w:bookmarkStart w:id="32" w:name="toc_033"/>
      <w:r>
        <w:rPr>
          <w:rFonts w:ascii="黑体" w:eastAsia="黑体" w:hAnsi="黑体"/>
        </w:rPr>
        <w:t>4.3.1 MQTT连接与安全</w:t>
      </w:r>
      <w:bookmarkEnd w:id="32"/>
    </w:p>
    <w:p w14:paraId="4EF1B311" w14:textId="64652B42" w:rsidR="00ED1F77" w:rsidRDefault="00AF7E34">
      <w:pPr>
        <w:ind w:firstLine="420"/>
        <w:jc w:val="both"/>
        <w:rPr>
          <w:rFonts w:hint="eastAsia"/>
        </w:rPr>
      </w:pPr>
      <w:r>
        <w:rPr>
          <w:rFonts w:hint="eastAsia"/>
        </w:rPr>
        <w:t>ESP32使用Arduino框架内置的ESP-IDF MQTT客户端建立TLS连接，不再依赖PubSubClient。设备采用MQTT 3.1.1持久会话，command、command_ack、telemetry、status、capabilities和离线遗嘱全部使用QoS 1；状态和能力消息保留。网络任务只负责完整收包和入队，Arduino主循环完成JSON校验、幂等判断和硬件分发，避免在MQTT回调中执行舵机稳定等待。MQTT基础交互遵循标准[1]。</w:t>
      </w:r>
    </w:p>
    <w:p w14:paraId="296F793B" w14:textId="77777777" w:rsidR="00ED1F77" w:rsidRDefault="00C869A8">
      <w:pPr>
        <w:pStyle w:val="31"/>
      </w:pPr>
      <w:bookmarkStart w:id="33" w:name="toc_034"/>
      <w:r>
        <w:rPr>
          <w:rFonts w:ascii="黑体" w:eastAsia="黑体" w:hAnsi="黑体"/>
        </w:rPr>
        <w:t>4.3.2 控制报文解析</w:t>
      </w:r>
      <w:bookmarkEnd w:id="33"/>
    </w:p>
    <w:p w14:paraId="348A8F0C" w14:textId="4A70053C" w:rsidR="00ED1F77" w:rsidRDefault="00AF7E34">
      <w:pPr>
        <w:ind w:firstLine="420"/>
        <w:jc w:val="both"/>
        <w:rPr>
          <w:rFonts w:hint="eastAsia"/>
        </w:rPr>
      </w:pPr>
      <w:r>
        <w:rPr>
          <w:rFonts w:hint="eastAsia"/>
        </w:rPr>
        <w:t>mqtt_client模块使用ArduinoJson解析统一命令信封，校验schema_version、device_id、site_id、command_id、source、issued_at和expires_at。原子命令支持pump、grow_light、pan和tilt，水枪命令支持target_position、静态或动态模式、定时停止及simulation_only。设备使用命令内容指纹和50项ACK缓存抑制QoS 1重复动作，并发布规范化的遥测、状态、能力和确认消息。当前遥测仍需补齐quality对象，状态消息仍需补齐message_id。</w:t>
      </w:r>
    </w:p>
    <w:p w14:paraId="429E8531" w14:textId="77777777" w:rsidR="00ED1F77" w:rsidRDefault="00C869A8">
      <w:pPr>
        <w:pStyle w:val="21"/>
      </w:pPr>
      <w:bookmarkStart w:id="34" w:name="toc_035"/>
      <w:r>
        <w:rPr>
          <w:rFonts w:ascii="黑体" w:eastAsia="黑体" w:hAnsi="黑体"/>
        </w:rPr>
        <w:t>4.4 软件工程实现</w:t>
      </w:r>
      <w:bookmarkEnd w:id="34"/>
    </w:p>
    <w:p w14:paraId="56688DBA" w14:textId="77777777" w:rsidR="00ED1F77" w:rsidRDefault="00C869A8">
      <w:pPr>
        <w:pStyle w:val="31"/>
      </w:pPr>
      <w:bookmarkStart w:id="35" w:name="toc_036"/>
      <w:r>
        <w:rPr>
          <w:rFonts w:ascii="黑体" w:eastAsia="黑体" w:hAnsi="黑体"/>
        </w:rPr>
        <w:t>4.4.1 模块化组织</w:t>
      </w:r>
      <w:bookmarkEnd w:id="35"/>
    </w:p>
    <w:p w14:paraId="04120C1D" w14:textId="4D4CCD3B" w:rsidR="00ED1F77" w:rsidRDefault="00C869A8">
      <w:pPr>
        <w:ind w:firstLine="420"/>
        <w:jc w:val="both"/>
        <w:rPr>
          <w:rFonts w:hint="eastAsia"/>
        </w:rPr>
      </w:pPr>
      <w:r>
        <w:t>ESP32工程采用PlatformIO和Arduino框架组织。主程序负责启动顺序和循环调度；wifi模块维护网络连接；mqtt模块负责证书、订阅、发布和回调；各传感器与执行器位于独立lib目录。PlatformIO配置文件固定了esp32dev开发板、依赖库和串口参数，使构建环境可被重复复现。JSON解析由ArduinoJson完成</w:t>
      </w:r>
      <w:hyperlink w:anchor="ref_6" w:history="1">
        <w:r>
          <w:rPr>
            <w:color w:val="0563C1"/>
            <w:u w:val="single"/>
          </w:rPr>
          <w:t>[6]</w:t>
        </w:r>
      </w:hyperlink>
      <w:r>
        <w:t>。</w:t>
      </w:r>
    </w:p>
    <w:p w14:paraId="43676B75" w14:textId="77777777" w:rsidR="00ED1F77" w:rsidRDefault="00C869A8">
      <w:pPr>
        <w:pStyle w:val="31"/>
      </w:pPr>
      <w:bookmarkStart w:id="36" w:name="toc_037"/>
      <w:r>
        <w:rPr>
          <w:rFonts w:ascii="黑体" w:eastAsia="黑体" w:hAnsi="黑体"/>
        </w:rPr>
        <w:t>4.4.2 构建验证与边界</w:t>
      </w:r>
      <w:bookmarkEnd w:id="36"/>
    </w:p>
    <w:p w14:paraId="719246CF" w14:textId="17355973" w:rsidR="00ED1F77" w:rsidRDefault="00AF7E34">
      <w:pPr>
        <w:ind w:firstLine="420"/>
        <w:jc w:val="both"/>
        <w:rPr>
          <w:rFonts w:hint="eastAsia"/>
        </w:rPr>
      </w:pPr>
      <w:r>
        <w:rPr>
          <w:rFonts w:hint="eastAsia"/>
        </w:rPr>
        <w:t>当前ESP32工程已执行PlatformIO构建并成功通过，验证了主程序、ESP-IDF MQTT、传感器模块、PanTilt和WaterGunController在编译链接层面的一致性。固件已经具备QoS 1、复合水枪状态机、定时停止、动态3秒超时、模拟模式和重复命令抑制。该结果不等同于真机或端到端验收：驱动板有效电平、舵机机械限位、传感器与水泵标定、Broker离线队列、后端ACK持久化及Web/C5展示仍需逐项验证。</w:t>
      </w:r>
    </w:p>
    <w:p w14:paraId="13B37534" w14:textId="77777777" w:rsidR="00ED1F77" w:rsidRDefault="00C869A8">
      <w:pPr>
        <w:pStyle w:val="1"/>
      </w:pPr>
      <w:bookmarkStart w:id="37" w:name="toc_038"/>
      <w:r>
        <w:rPr>
          <w:rFonts w:ascii="黑体" w:eastAsia="黑体" w:hAnsi="黑体"/>
        </w:rPr>
        <w:t>5 其他内容</w:t>
      </w:r>
      <w:bookmarkEnd w:id="37"/>
    </w:p>
    <w:p w14:paraId="66A4050F" w14:textId="77777777" w:rsidR="00ED1F77" w:rsidRDefault="00C869A8">
      <w:pPr>
        <w:pStyle w:val="21"/>
      </w:pPr>
      <w:bookmarkStart w:id="38" w:name="toc_039"/>
      <w:r>
        <w:rPr>
          <w:rFonts w:ascii="黑体" w:eastAsia="黑体" w:hAnsi="黑体"/>
        </w:rPr>
        <w:t>5.1 安全与可靠性设计</w:t>
      </w:r>
      <w:bookmarkEnd w:id="38"/>
    </w:p>
    <w:p w14:paraId="3D6300FE" w14:textId="77777777" w:rsidR="00ED1F77" w:rsidRDefault="00C869A8">
      <w:pPr>
        <w:pStyle w:val="31"/>
      </w:pPr>
      <w:bookmarkStart w:id="39" w:name="toc_040"/>
      <w:r>
        <w:rPr>
          <w:rFonts w:ascii="黑体" w:eastAsia="黑体" w:hAnsi="黑体"/>
        </w:rPr>
        <w:t>5.1.1 电源与执行器保护</w:t>
      </w:r>
      <w:bookmarkEnd w:id="39"/>
    </w:p>
    <w:p w14:paraId="1A29E35F" w14:textId="3BB7E443" w:rsidR="00ED1F77" w:rsidRDefault="00AF7E34">
      <w:pPr>
        <w:ind w:firstLine="420"/>
        <w:jc w:val="both"/>
        <w:rPr>
          <w:rFonts w:hint="eastAsia"/>
        </w:rPr>
      </w:pPr>
      <w:r>
        <w:rPr>
          <w:rFonts w:hint="eastAsia"/>
        </w:rPr>
        <w:t>舵机独立5V供电并与控制器共地；水泵和补光灯必须经匹配驱动模块连接，不能由GPIO直接带载。软件侧通过有效期、范围校验、断网停泵、定时截止、动态超时和simulation_only减少误动作。Wi-Fi密码、MQTT账号、CA及其他敏感配置保存在Git忽略的本机配置中；曾被提交或公开的凭据必须轮换。</w:t>
      </w:r>
    </w:p>
    <w:p w14:paraId="540477D8" w14:textId="77777777" w:rsidR="00ED1F77" w:rsidRDefault="00C869A8">
      <w:pPr>
        <w:pStyle w:val="21"/>
      </w:pPr>
      <w:bookmarkStart w:id="40" w:name="toc_041"/>
      <w:r>
        <w:rPr>
          <w:rFonts w:ascii="黑体" w:eastAsia="黑体" w:hAnsi="黑体"/>
        </w:rPr>
        <w:t>5.2 可维护性与扩展性</w:t>
      </w:r>
      <w:bookmarkEnd w:id="40"/>
    </w:p>
    <w:p w14:paraId="4A768C7C" w14:textId="77777777" w:rsidR="00ED1F77" w:rsidRDefault="00C869A8">
      <w:pPr>
        <w:pStyle w:val="31"/>
      </w:pPr>
      <w:bookmarkStart w:id="41" w:name="toc_042"/>
      <w:r>
        <w:rPr>
          <w:rFonts w:ascii="黑体" w:eastAsia="黑体" w:hAnsi="黑体"/>
        </w:rPr>
        <w:t>5.2.1 接口演进策略</w:t>
      </w:r>
      <w:bookmarkEnd w:id="41"/>
    </w:p>
    <w:p w14:paraId="40F843EB" w14:textId="6D6670FA" w:rsidR="00ED1F77" w:rsidRDefault="00AF7E34">
      <w:pPr>
        <w:ind w:firstLine="420"/>
        <w:jc w:val="both"/>
        <w:rPr>
          <w:rFonts w:hint="eastAsia"/>
        </w:rPr>
      </w:pPr>
      <w:r>
        <w:rPr>
          <w:rFonts w:hint="eastAsia"/>
        </w:rPr>
        <w:t>系统将设备能力、遥测、命令、状态和确认分别定义。新增能力必须先声明，再冻结字段、单位、范围、错误码和验收方式。QoS 1允许重复投递，因此设备和后端都要按command_id幂等；云端只有收到设备最终ACK后才能标记EXECUTED。旧farm/test主题和旧字段不得与v1正式协议混用。</w:t>
      </w:r>
    </w:p>
    <w:p w14:paraId="0F52642B" w14:textId="77777777" w:rsidR="00ED1F77" w:rsidRDefault="00C869A8">
      <w:pPr>
        <w:pStyle w:val="21"/>
      </w:pPr>
      <w:bookmarkStart w:id="42" w:name="toc_043"/>
      <w:r>
        <w:rPr>
          <w:rFonts w:ascii="黑体" w:eastAsia="黑体" w:hAnsi="黑体"/>
        </w:rPr>
        <w:t>5.3 后续工作</w:t>
      </w:r>
      <w:bookmarkEnd w:id="42"/>
    </w:p>
    <w:p w14:paraId="66D97845" w14:textId="77777777" w:rsidR="00ED1F77" w:rsidRDefault="00C869A8">
      <w:pPr>
        <w:pStyle w:val="31"/>
      </w:pPr>
      <w:bookmarkStart w:id="43" w:name="toc_044"/>
      <w:r>
        <w:rPr>
          <w:rFonts w:ascii="黑体" w:eastAsia="黑体" w:hAnsi="黑体"/>
        </w:rPr>
        <w:t>5.3.1 联调验收重点</w:t>
      </w:r>
      <w:bookmarkEnd w:id="43"/>
    </w:p>
    <w:p w14:paraId="3FE7E72D" w14:textId="617045E1" w:rsidR="00ED1F77" w:rsidRDefault="00AF7E34">
      <w:pPr>
        <w:pStyle w:val="a0"/>
        <w:spacing w:after="40" w:line="240" w:lineRule="auto"/>
        <w:jc w:val="both"/>
        <w:rPr>
          <w:rFonts w:hint="eastAsia"/>
        </w:rPr>
      </w:pPr>
      <w:r>
        <w:rPr>
          <w:rFonts w:hint="eastAsia"/>
        </w:rPr>
        <w:t>补齐当前遥测quality、状态message_id和无效传感器null语义，并把500毫秒调试发送周期统一为正式周期。</w:t>
      </w:r>
    </w:p>
    <w:p w14:paraId="3E9C89B5" w14:textId="6DEC559A" w:rsidR="00ED1F77" w:rsidRDefault="00AF7E34">
      <w:pPr>
        <w:pStyle w:val="a0"/>
        <w:spacing w:after="40" w:line="240" w:lineRule="auto"/>
        <w:jc w:val="both"/>
        <w:rPr>
          <w:rFonts w:hint="eastAsia"/>
        </w:rPr>
      </w:pPr>
      <w:r>
        <w:rPr>
          <w:rFonts w:hint="eastAsia"/>
        </w:rPr>
        <w:t>完成后端MQTT订阅、命令发布、ACK持久化和Broker离线队列配置，验证QoS 1重复、过期及断网恢复。</w:t>
      </w:r>
    </w:p>
    <w:p w14:paraId="165BAEDC" w14:textId="77777777" w:rsidR="00ED1F77" w:rsidRDefault="00C869A8">
      <w:pPr>
        <w:pStyle w:val="a0"/>
        <w:spacing w:after="40" w:line="240" w:lineRule="auto"/>
        <w:jc w:val="both"/>
        <w:rPr>
          <w:rFonts w:hint="eastAsia"/>
        </w:rPr>
      </w:pPr>
      <w:r>
        <w:t>完成ESP32-C5语音、云端大模型和屏幕显示的实机联调，并验证网络故障下的提示与恢复。</w:t>
      </w:r>
    </w:p>
    <w:p w14:paraId="564FFA0C" w14:textId="77777777" w:rsidR="00ED1F77" w:rsidRDefault="00C869A8">
      <w:pPr>
        <w:pStyle w:val="a0"/>
        <w:spacing w:after="40" w:line="240" w:lineRule="auto"/>
        <w:jc w:val="both"/>
        <w:rPr>
          <w:rFonts w:hint="eastAsia"/>
        </w:rPr>
      </w:pPr>
      <w:r>
        <w:t>完成传感器标定、舵机机械限位与水泵、灯具驱动板的现场安全测试。</w:t>
      </w:r>
    </w:p>
    <w:p w14:paraId="55388D2D" w14:textId="77777777" w:rsidR="00ED1F77" w:rsidRDefault="00C869A8">
      <w:pPr>
        <w:pStyle w:val="1"/>
        <w:pageBreakBefore/>
      </w:pPr>
      <w:bookmarkStart w:id="44" w:name="toc_045"/>
      <w:r>
        <w:rPr>
          <w:rFonts w:ascii="黑体" w:eastAsia="黑体" w:hAnsi="黑体"/>
        </w:rPr>
        <w:t>6 参考文献</w:t>
      </w:r>
      <w:bookmarkEnd w:id="44"/>
    </w:p>
    <w:p w14:paraId="758CE9FC" w14:textId="77777777" w:rsidR="00ED1F77" w:rsidRDefault="00C869A8">
      <w:pPr>
        <w:spacing w:after="60" w:line="240" w:lineRule="auto"/>
        <w:ind w:left="420" w:hanging="420"/>
        <w:rPr>
          <w:rFonts w:hint="eastAsia"/>
        </w:rPr>
      </w:pPr>
      <w:bookmarkStart w:id="45" w:name="ref_1"/>
      <w:r>
        <w:rPr>
          <w:sz w:val="19"/>
        </w:rPr>
        <w:t>[1] OASIS. MQTT Version 3.1.1 Plus Errata 01[EB/OL]. 2015-12-10. https://docs.oasis-open.org/mqtt/mqtt/v3.1.1/errata01/os/mqtt-v3.1.1-errata01-os-complete.html.</w:t>
      </w:r>
      <w:bookmarkEnd w:id="45"/>
    </w:p>
    <w:p w14:paraId="39F9654E" w14:textId="77777777" w:rsidR="00ED1F77" w:rsidRDefault="00C869A8">
      <w:pPr>
        <w:spacing w:after="60" w:line="240" w:lineRule="auto"/>
        <w:ind w:left="420" w:hanging="420"/>
        <w:rPr>
          <w:rFonts w:hint="eastAsia"/>
        </w:rPr>
      </w:pPr>
      <w:bookmarkStart w:id="46" w:name="ref_2"/>
      <w:r>
        <w:rPr>
          <w:sz w:val="19"/>
        </w:rPr>
        <w:t>[2] ROHM Semiconductor. BH1750FVI: Digital 16bit Serial Output Type Ambient Light Sensor IC[EB/OL]. 2011. https://www.rohm.com/products/sensors-mems/ambient-light-sensors/bh1750fvi-product.</w:t>
      </w:r>
      <w:bookmarkEnd w:id="46"/>
    </w:p>
    <w:p w14:paraId="2FB02572" w14:textId="77777777" w:rsidR="00ED1F77" w:rsidRDefault="00C869A8">
      <w:pPr>
        <w:spacing w:after="60" w:line="240" w:lineRule="auto"/>
        <w:ind w:left="420" w:hanging="420"/>
        <w:rPr>
          <w:rFonts w:hint="eastAsia"/>
        </w:rPr>
      </w:pPr>
      <w:bookmarkStart w:id="47" w:name="ref_3"/>
      <w:r>
        <w:rPr>
          <w:sz w:val="19"/>
        </w:rPr>
        <w:t>[3] Analog Devices. DS18B20: Programmable Resolution 1-Wire Digital Thermometer[EB/OL]. 2025. https://www.analog.com/en/products/ds18b20.html.</w:t>
      </w:r>
      <w:bookmarkEnd w:id="47"/>
    </w:p>
    <w:p w14:paraId="13996487" w14:textId="77777777" w:rsidR="00ED1F77" w:rsidRDefault="00C869A8">
      <w:pPr>
        <w:spacing w:after="60" w:line="240" w:lineRule="auto"/>
        <w:ind w:left="420" w:hanging="420"/>
        <w:rPr>
          <w:rFonts w:hint="eastAsia"/>
        </w:rPr>
      </w:pPr>
      <w:bookmarkStart w:id="48" w:name="ref_4"/>
      <w:r>
        <w:rPr>
          <w:sz w:val="19"/>
        </w:rPr>
        <w:t>[4] TowerPro. SG90 9g Micro Servo Datasheet[EB/OL]. https://components101.com/sites/default/files/component_datasheet/SG90%20Servo%20Motor%20Datasheet.pdf.</w:t>
      </w:r>
      <w:bookmarkEnd w:id="48"/>
    </w:p>
    <w:p w14:paraId="7EB247E9" w14:textId="77777777" w:rsidR="00ED1F77" w:rsidRDefault="00C869A8">
      <w:pPr>
        <w:spacing w:after="60" w:line="240" w:lineRule="auto"/>
        <w:ind w:left="420" w:hanging="420"/>
        <w:rPr>
          <w:rFonts w:hint="eastAsia"/>
        </w:rPr>
      </w:pPr>
      <w:bookmarkStart w:id="49" w:name="ref_5"/>
      <w:r>
        <w:rPr>
          <w:sz w:val="19"/>
        </w:rPr>
        <w:t>[5] Espressif Systems. Arduino-ESP32 LED Control (LEDC) API[EB/OL]. 2026. https://docs.espressif.com/projects/arduino-esp32/en/latest/api/ledc.html.</w:t>
      </w:r>
      <w:bookmarkEnd w:id="49"/>
    </w:p>
    <w:p w14:paraId="187DB0AE" w14:textId="77777777" w:rsidR="00ED1F77" w:rsidRDefault="00C869A8">
      <w:pPr>
        <w:spacing w:after="60" w:line="240" w:lineRule="auto"/>
        <w:ind w:left="420" w:hanging="420"/>
        <w:rPr>
          <w:rFonts w:hint="eastAsia"/>
        </w:rPr>
      </w:pPr>
      <w:bookmarkStart w:id="50" w:name="ref_6"/>
      <w:r>
        <w:rPr>
          <w:sz w:val="19"/>
        </w:rPr>
        <w:t>[6] Blanchon B. ArduinoJson Documentation[EB/OL]. 2026. https://arduinojson.org/.</w:t>
      </w:r>
      <w:bookmarkEnd w:id="50"/>
    </w:p>
    <w:sectPr w:rsidR="00ED1F77" w:rsidSect="00034616">
      <w:footerReference w:type="default" r:id="rId8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E7D1A" w14:textId="77777777" w:rsidR="00443BDF" w:rsidRDefault="00443BD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60FC7C" w14:textId="77777777" w:rsidR="00443BDF" w:rsidRDefault="00443BD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62284" w14:textId="77777777" w:rsidR="00ED1F77" w:rsidRDefault="00C869A8">
    <w:pPr>
      <w:pStyle w:val="a7"/>
      <w:jc w:val="center"/>
      <w:rPr>
        <w:rFonts w:hint="eastAsia"/>
      </w:rPr>
    </w:pPr>
    <w:r>
      <w:rPr>
        <w:sz w:val="16"/>
      </w:rPr>
      <w:t xml:space="preserve">全国大学生物联网设计竞赛设计文档  第 </w:t>
    </w:r>
    <w:r>
      <w:fldChar w:fldCharType="begin"/>
    </w:r>
    <w:r>
      <w:instrText>PAGE</w:instrText>
    </w:r>
    <w:r>
      <w:fldChar w:fldCharType="separate"/>
    </w:r>
    <w:r w:rsidR="00AF7E34">
      <w:rPr>
        <w:rFonts w:hint="eastAsia"/>
        <w:noProof/>
      </w:rPr>
      <w:t>1</w:t>
    </w:r>
    <w:r>
      <w:fldChar w:fldCharType="end"/>
    </w:r>
    <w:r>
      <w:rPr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959B4" w14:textId="77777777" w:rsidR="00443BDF" w:rsidRDefault="00443BD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D7AF80" w14:textId="77777777" w:rsidR="00443BDF" w:rsidRDefault="00443BD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367986">
    <w:abstractNumId w:val="8"/>
  </w:num>
  <w:num w:numId="2" w16cid:durableId="427848667">
    <w:abstractNumId w:val="6"/>
  </w:num>
  <w:num w:numId="3" w16cid:durableId="1144547867">
    <w:abstractNumId w:val="5"/>
  </w:num>
  <w:num w:numId="4" w16cid:durableId="393047528">
    <w:abstractNumId w:val="4"/>
  </w:num>
  <w:num w:numId="5" w16cid:durableId="788208041">
    <w:abstractNumId w:val="7"/>
  </w:num>
  <w:num w:numId="6" w16cid:durableId="2015036935">
    <w:abstractNumId w:val="3"/>
  </w:num>
  <w:num w:numId="7" w16cid:durableId="697897825">
    <w:abstractNumId w:val="2"/>
  </w:num>
  <w:num w:numId="8" w16cid:durableId="664743635">
    <w:abstractNumId w:val="1"/>
  </w:num>
  <w:num w:numId="9" w16cid:durableId="1061175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1EE"/>
    <w:rsid w:val="00326F90"/>
    <w:rsid w:val="00443BDF"/>
    <w:rsid w:val="004579CF"/>
    <w:rsid w:val="00AA1D8D"/>
    <w:rsid w:val="00AF7E34"/>
    <w:rsid w:val="00B47730"/>
    <w:rsid w:val="00C869A8"/>
    <w:rsid w:val="00CB0664"/>
    <w:rsid w:val="00EA3113"/>
    <w:rsid w:val="00ED1F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DFE838"/>
  <w14:defaultImageDpi w14:val="300"/>
  <w15:docId w15:val="{F759F10E-55BC-449A-8531-F7C473E17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>
  <b:Source>
    <b:Tag>OASIS2015MQTT</b:Tag>
    <b:SourceType>InternetSite</b:SourceType>
    <b:Guid>{DC7A98FD-39CF-4A0B-A744-3529E9EF9321}</b:Guid>
    <b:Author>
      <b:Author>
        <b:Corporate>OASIS</b:Corporate>
      </b:Author>
    </b:Author>
    <b:Title>MQTT Version 3.1.1 Plus Errata 01</b:Title>
    <b:Year>2015</b:Year>
    <b:Publisher>OASIS</b:Publisher>
    <b:URL>https://docs.oasis-open.org/mqtt/mqtt/v3.1.1/errata01/os/mqtt-v3.1.1-errata01-os-complete.html</b:URL>
    <b:YearAccessed>2026</b:YearAccessed>
    <b:MonthAccessed>7</b:MonthAccessed>
    <b:DayAccessed>22</b:DayAccessed>
  </b:Source>
  <b:Source>
    <b:Tag>ROHM2011BH1750</b:Tag>
    <b:SourceType>InternetSite</b:SourceType>
    <b:Guid>{41575C1C-62F9-42A1-9BE6-4B17CB7B369C}</b:Guid>
    <b:Author>
      <b:Author>
        <b:Corporate>ROHM Semiconductor</b:Corporate>
      </b:Author>
    </b:Author>
    <b:Title>BH1750FVI: Digital 16bit Serial Output Type Ambient Light Sensor IC</b:Title>
    <b:Year>2011</b:Year>
    <b:Publisher>ROHM Semiconductor</b:Publisher>
    <b:URL>https://www.rohm.com/products/sensors-mems/ambient-light-sensors/bh1750fvi-product</b:URL>
    <b:YearAccessed>2026</b:YearAccessed>
    <b:MonthAccessed>7</b:MonthAccessed>
    <b:DayAccessed>22</b:DayAccessed>
  </b:Source>
  <b:Source>
    <b:Tag>ADI2025DS18B20</b:Tag>
    <b:SourceType>InternetSite</b:SourceType>
    <b:Guid>{82FDF6D2-E6C7-47AF-BE4D-D45FB22B30E1}</b:Guid>
    <b:Author>
      <b:Author>
        <b:Corporate>Analog Devices</b:Corporate>
      </b:Author>
    </b:Author>
    <b:Title>DS18B20: Programmable Resolution 1-Wire Digital Thermometer</b:Title>
    <b:Year>2025</b:Year>
    <b:Publisher>Analog Devices</b:Publisher>
    <b:URL>https://www.analog.com/en/products/ds18b20.html</b:URL>
    <b:YearAccessed>2026</b:YearAccessed>
    <b:MonthAccessed>7</b:MonthAccessed>
    <b:DayAccessed>22</b:DayAccessed>
  </b:Source>
  <b:Source>
    <b:Tag>TowerProSG90</b:Tag>
    <b:SourceType>InternetSite</b:SourceType>
    <b:Guid>{FB2D49B4-B74A-49A4-AD37-CEBDCBAD26FD}</b:Guid>
    <b:Author>
      <b:Author>
        <b:Corporate>TowerPro</b:Corporate>
      </b:Author>
    </b:Author>
    <b:Title>SG90 9g Micro Servo Datasheet</b:Title>
    <b:Year>2026</b:Year>
    <b:Publisher>TowerPro</b:Publisher>
    <b:URL>https://components101.com/sites/default/files/component_datasheet/SG90%20Servo%20Motor%20Datasheet.pdf</b:URL>
    <b:YearAccessed>2026</b:YearAccessed>
    <b:MonthAccessed>7</b:MonthAccessed>
    <b:DayAccessed>22</b:DayAccessed>
  </b:Source>
  <b:Source>
    <b:Tag>Espressif2026LEDC</b:Tag>
    <b:SourceType>InternetSite</b:SourceType>
    <b:Guid>{B357E410-F3B5-433B-8927-9B177EE6846C}</b:Guid>
    <b:Author>
      <b:Author>
        <b:Corporate>Espressif Systems</b:Corporate>
      </b:Author>
    </b:Author>
    <b:Title>Arduino-ESP32 LED Control (LEDC) API</b:Title>
    <b:Year>2026</b:Year>
    <b:Publisher>Espressif Systems</b:Publisher>
    <b:URL>https://docs.espressif.com/projects/arduino-esp32/en/latest/api/ledc.html</b:URL>
    <b:YearAccessed>2026</b:YearAccessed>
    <b:MonthAccessed>7</b:MonthAccessed>
    <b:DayAccessed>22</b:DayAccessed>
  </b:Source>
  <b:Source>
    <b:Tag>Blanchon2026ArduinoJson</b:Tag>
    <b:SourceType>InternetSite</b:SourceType>
    <b:Guid>{8491EB93-75D4-4D52-942D-38BF6392A8EB}</b:Guid>
    <b:Author>
      <b:Author>
        <b:Corporate>Benoit Blanchon</b:Corporate>
      </b:Author>
    </b:Author>
    <b:Title>ArduinoJson Documentation</b:Title>
    <b:Year>2026</b:Year>
    <b:Publisher>ArduinoJson</b:Publisher>
    <b:URL>https://arduinojson.org/</b:URL>
    <b:YearAccessed>2026</b:YearAccessed>
    <b:MonthAccessed>7</b:MonthAccessed>
    <b:DayAccessed>22</b:DayAccessed>
  </b:Source>
</b:Sources>
</file>

<file path=customXml/itemProps1.xml><?xml version="1.0" encoding="utf-8"?>
<ds:datastoreItem xmlns:ds="http://schemas.openxmlformats.org/officeDocument/2006/customXml" ds:itemID="{38A3908B-D641-43E1-957E-5E33295B9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1201</Words>
  <Characters>6850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SmartAgriBrain智慧农业系统</dc:title>
  <dc:subject>全国大学生物联网设计竞赛设计说明书</dc:subject>
  <dc:creator/>
  <cp:keywords>智慧农业, ESP32, MQTT, 环境监测</cp:keywords>
  <dc:description>generated by python-docx</dc:description>
  <cp:lastModifiedBy>爽 张</cp:lastModifiedBy>
  <cp:revision>3</cp:revision>
  <dcterms:created xsi:type="dcterms:W3CDTF">2013-12-23T23:15:00Z</dcterms:created>
  <dcterms:modified xsi:type="dcterms:W3CDTF">2026-07-22T08:02:00Z</dcterms:modified>
  <cp:category/>
</cp:coreProperties>
</file>