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语音与屏幕协同方式</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应用优化方向</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pPr>
      <w:bookmarkStart w:id="0" w:name="toc_001"/>
      <w:r>
        <w:rPr>
          <w:rFonts w:ascii="黑体" w:eastAsia="黑体" w:hAnsi="黑体"/>
        </w:rPr>
        <w:t>1 设计需求分析</w:t>
      </w:r>
      <w:bookmarkEnd w:id="0"/>
    </w:p>
    <w:p w14:paraId="51A76AE7" w14:textId="77777777" w:rsidR="00ED1F77" w:rsidRDefault="00C869A8">
      <w:pPr>
        <w:pStyle w:val="21"/>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pPr>
      <w:bookmarkStart w:id="3" w:name="toc_004"/>
      <w:r>
        <w:rPr>
          <w:rFonts w:ascii="黑体" w:eastAsia="黑体" w:hAnsi="黑体"/>
        </w:rPr>
        <w:t>1.2 系统约束与目标</w:t>
      </w:r>
      <w:bookmarkEnd w:id="3"/>
    </w:p>
    <w:p w14:paraId="44619DD0" w14:textId="77777777" w:rsidR="00ED1F77" w:rsidRDefault="00C869A8">
      <w:pPr>
        <w:pStyle w:val="31"/>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w:t>
      </w:r>
      <w:hyperlink w:anchor="ref_1" w:history="1">
        <w:r>
          <w:rPr>
            <w:rStyle w:val="Hyperlink"/>
          </w:rPr>
          <w:t>[1]</w:t>
        </w:r>
      </w:hyperlink>
      <w:r>
        <w:t>。控制消息采用QoS 1、有效期、命令标识和设备确认机制，网络恢复后也不会把发布成功错误理解为硬件已经执行。</w:t>
      </w:r>
    </w:p>
    <w:p w14:paraId="69F79979" w14:textId="77777777" w:rsidR="00ED1F77" w:rsidRDefault="00C869A8">
      <w:pPr>
        <w:pStyle w:val="31"/>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pPr>
      <w:bookmarkStart w:id="7" w:name="toc_008"/>
      <w:r>
        <w:rPr>
          <w:rFonts w:ascii="黑体" w:eastAsia="黑体" w:hAnsi="黑体"/>
        </w:rPr>
        <w:t>2 特色与创新</w:t>
      </w:r>
      <w:bookmarkEnd w:id="7"/>
    </w:p>
    <w:p w14:paraId="19F4E6FA" w14:textId="77777777" w:rsidR="00ED1F77" w:rsidRDefault="00C869A8">
      <w:pPr>
        <w:pStyle w:val="21"/>
      </w:pPr>
      <w:bookmarkStart w:id="8" w:name="toc_009"/>
      <w:r>
        <w:rPr>
          <w:rFonts w:ascii="黑体" w:eastAsia="黑体" w:hAnsi="黑体"/>
        </w:rPr>
        <w:t>2.1 双MCU职责分离</w:t>
      </w:r>
      <w:bookmarkEnd w:id="8"/>
    </w:p>
    <w:p w14:paraId="634DC58E" w14:textId="77777777" w:rsidR="00ED1F77" w:rsidRDefault="00C869A8">
      <w:pPr>
        <w:pStyle w:val="31"/>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pPr>
      <w:bookmarkStart w:id="12" w:name="toc_013"/>
      <w:r>
        <w:rPr>
          <w:rFonts w:ascii="黑体" w:eastAsia="黑体" w:hAnsi="黑体"/>
        </w:rPr>
        <w:t>2.3 可视化观察与物理控制结合</w:t>
      </w:r>
      <w:bookmarkEnd w:id="12"/>
    </w:p>
    <w:p w14:paraId="6CFCA301" w14:textId="77777777" w:rsidR="00ED1F77" w:rsidRDefault="00C869A8">
      <w:pPr>
        <w:pStyle w:val="31"/>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pPr>
      <w:bookmarkStart w:id="14" w:name="toc_015"/>
      <w:r>
        <w:rPr>
          <w:rFonts w:ascii="黑体" w:eastAsia="黑体" w:hAnsi="黑体"/>
        </w:rPr>
        <w:t>3 功能设计</w:t>
      </w:r>
      <w:bookmarkEnd w:id="14"/>
    </w:p>
    <w:p w14:paraId="084A8597" w14:textId="77777777" w:rsidR="00ED1F77" w:rsidRDefault="00C869A8">
      <w:pPr>
        <w:pStyle w:val="21"/>
      </w:pPr>
      <w:bookmarkStart w:id="15" w:name="toc_016"/>
      <w:r>
        <w:rPr>
          <w:rFonts w:ascii="黑体" w:eastAsia="黑体" w:hAnsi="黑体"/>
        </w:rPr>
        <w:t>3.1 环境采集与上报</w:t>
      </w:r>
      <w:bookmarkEnd w:id="15"/>
    </w:p>
    <w:p w14:paraId="2DF39A65" w14:textId="77777777" w:rsidR="00ED1F77" w:rsidRDefault="00C869A8">
      <w:pPr>
        <w:pStyle w:val="31"/>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w:t>
      </w:r>
      <w:hyperlink w:anchor="ref_2" w:history="1">
        <w:r>
          <w:rPr>
            <w:rStyle w:val="Hyperlink"/>
          </w:rPr>
          <w:t>[2]</w:t>
        </w:r>
      </w:hyperlink>
      <w:r>
        <w:t>，DHT11能够以单总线数字信号同时提供家庭种植空间的温湿度数据</w:t>
      </w:r>
      <w:hyperlink w:anchor="ref_3" w:history="1">
        <w:r>
          <w:rPr>
            <w:rStyle w:val="Hyperlink"/>
          </w:rPr>
          <w:t>[3]</w:t>
        </w:r>
      </w:hyperlink>
      <w:r>
        <w:t>。</w:t>
      </w:r>
    </w:p>
    <w:p w14:paraId="6A73B993" w14:textId="77777777" w:rsidR="00ED1F77" w:rsidRDefault="00C869A8">
      <w:pPr>
        <w:pStyle w:val="21"/>
      </w:pPr>
      <w:bookmarkStart w:id="17" w:name="toc_018"/>
      <w:r>
        <w:rPr>
          <w:rFonts w:ascii="黑体" w:eastAsia="黑体" w:hAnsi="黑体"/>
        </w:rPr>
        <w:t>3.2 远程控制</w:t>
      </w:r>
      <w:bookmarkEnd w:id="17"/>
    </w:p>
    <w:p w14:paraId="74A320BA" w14:textId="77777777" w:rsidR="00ED1F77" w:rsidRDefault="00C869A8">
      <w:pPr>
        <w:pStyle w:val="31"/>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w:t>
      </w:r>
      <w:hyperlink w:anchor="ref_4" w:history="1">
        <w:r>
          <w:rPr>
            <w:rStyle w:val="Hyperlink"/>
            <w:rFonts w:hint="eastAsia"/>
          </w:rPr>
          <w:t>[4]</w:t>
        </w:r>
      </w:hyperlink>
      <w:r>
        <w:rPr>
          <w:rFonts w:hint="eastAsia"/>
        </w:rPr>
        <w:t>。该几何关系保证软件边界一致，最终落点仍需结合喷嘴安装、水压与弹道进行实物标定。</w:t>
      </w:r>
    </w:p>
    <w:p w14:paraId="2AAF04E8" w14:textId="77777777" w:rsidR="00ED1F77" w:rsidRDefault="00C869A8">
      <w:pPr>
        <w:pStyle w:val="21"/>
      </w:pPr>
      <w:bookmarkStart w:id="20" w:name="toc_021"/>
      <w:r>
        <w:rPr>
          <w:rFonts w:ascii="黑体" w:eastAsia="黑体" w:hAnsi="黑体"/>
        </w:rPr>
        <w:t>3.3 云端与前端服务</w:t>
      </w:r>
      <w:bookmarkEnd w:id="20"/>
    </w:p>
    <w:p w14:paraId="175C0B74" w14:textId="77777777" w:rsidR="00ED1F77" w:rsidRDefault="00C869A8">
      <w:pPr>
        <w:pStyle w:val="31"/>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pPr>
      <w:bookmarkStart w:id="22" w:name="toc_023"/>
      <w:r>
        <w:rPr>
          <w:rFonts w:ascii="黑体" w:eastAsia="黑体" w:hAnsi="黑体"/>
        </w:rPr>
        <w:t>3.4 语音与屏幕交互终端</w:t>
      </w:r>
      <w:bookmarkEnd w:id="22"/>
    </w:p>
    <w:p w14:paraId="7726EC28" w14:textId="77777777" w:rsidR="00ED1F77" w:rsidRDefault="00C869A8">
      <w:pPr>
        <w:pStyle w:val="31"/>
      </w:pPr>
      <w:bookmarkStart w:id="23" w:name="toc_024"/>
      <w:r>
        <w:rPr>
          <w:rFonts w:ascii="黑体" w:eastAsia="黑体" w:hAnsi="黑体"/>
        </w:rPr>
        <w:t>3.4.1 语音与屏幕协同方式</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pPr>
      <w:bookmarkStart w:id="24" w:name="toc_025"/>
      <w:r>
        <w:rPr>
          <w:rFonts w:ascii="黑体" w:eastAsia="黑体" w:hAnsi="黑体"/>
        </w:rPr>
        <w:t>4 系统实现</w:t>
      </w:r>
      <w:bookmarkEnd w:id="24"/>
    </w:p>
    <w:p w14:paraId="04B7794B" w14:textId="77777777" w:rsidR="00ED1F77" w:rsidRDefault="00C869A8">
      <w:pPr>
        <w:pStyle w:val="21"/>
      </w:pPr>
      <w:bookmarkStart w:id="25" w:name="toc_026"/>
      <w:r>
        <w:rPr>
          <w:rFonts w:ascii="黑体" w:eastAsia="黑体" w:hAnsi="黑体"/>
        </w:rPr>
        <w:t>4.1 总体架构</w:t>
      </w:r>
      <w:bookmarkEnd w:id="25"/>
    </w:p>
    <w:p w14:paraId="0DB4D6E4" w14:textId="77777777" w:rsidR="00ED1F77" w:rsidRDefault="00C869A8">
      <w:pPr>
        <w:pStyle w:val="31"/>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pPr>
      <w:bookmarkStart w:id="28" w:name="toc_029"/>
      <w:r>
        <w:rPr>
          <w:rFonts w:ascii="黑体" w:eastAsia="黑体" w:hAnsi="黑体"/>
        </w:rPr>
        <w:t>4.2 嵌入式硬件与驱动</w:t>
      </w:r>
      <w:bookmarkEnd w:id="28"/>
    </w:p>
    <w:p w14:paraId="727527B0" w14:textId="77777777" w:rsidR="00ED1F77" w:rsidRDefault="00C869A8">
      <w:pPr>
        <w:pStyle w:val="31"/>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w:t>
      </w:r>
      <w:hyperlink w:anchor="ref_5" w:history="1">
        <w:r>
          <w:rPr>
            <w:rStyle w:val="Hyperlink"/>
          </w:rPr>
          <w:t>[5]</w:t>
        </w:r>
      </w:hyperlink>
      <w:r>
        <w:t>。</w:t>
      </w:r>
    </w:p>
    <w:p w14:paraId="42AC352D" w14:textId="77777777" w:rsidR="00ED1F77" w:rsidRDefault="00C869A8">
      <w:pPr>
        <w:pStyle w:val="31"/>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pPr>
      <w:bookmarkStart w:id="31" w:name="toc_032"/>
      <w:r>
        <w:rPr>
          <w:rFonts w:ascii="黑体" w:eastAsia="黑体" w:hAnsi="黑体"/>
        </w:rPr>
        <w:t>4.3 网络通信与消息处理</w:t>
      </w:r>
      <w:bookmarkEnd w:id="31"/>
    </w:p>
    <w:p w14:paraId="5014F46C" w14:textId="77777777" w:rsidR="00ED1F77" w:rsidRDefault="00C869A8">
      <w:pPr>
        <w:pStyle w:val="31"/>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w:t>
      </w:r>
      <w:hyperlink w:anchor="ref_1" w:history="1">
        <w:r>
          <w:rPr>
            <w:rStyle w:val="Hyperlink"/>
            <w:rFonts w:hint="eastAsia"/>
          </w:rPr>
          <w:t>[1]</w:t>
        </w:r>
      </w:hyperlink>
      <w:r>
        <w:rPr>
          <w:rFonts w:hint="eastAsia"/>
        </w:rPr>
        <w:t>。</w:t>
      </w:r>
    </w:p>
    <w:p w14:paraId="296F793B" w14:textId="77777777" w:rsidR="00ED1F77" w:rsidRDefault="00C869A8">
      <w:pPr>
        <w:pStyle w:val="31"/>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pPr>
      <w:bookmarkStart w:id="34" w:name="toc_035"/>
      <w:r>
        <w:rPr>
          <w:rFonts w:ascii="黑体" w:eastAsia="黑体" w:hAnsi="黑体"/>
        </w:rPr>
        <w:t>4.4 软件工程实现</w:t>
      </w:r>
      <w:bookmarkEnd w:id="34"/>
    </w:p>
    <w:p w14:paraId="56688DBA" w14:textId="77777777" w:rsidR="00ED1F77" w:rsidRDefault="00C869A8">
      <w:pPr>
        <w:pStyle w:val="31"/>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w:t>
      </w:r>
      <w:hyperlink w:anchor="ref_6" w:history="1">
        <w:r>
          <w:rPr>
            <w:rStyle w:val="Hyperlink"/>
          </w:rPr>
          <w:t>[6]</w:t>
        </w:r>
      </w:hyperlink>
      <w:r>
        <w:t>。</w:t>
      </w:r>
    </w:p>
    <w:p w14:paraId="43676B75" w14:textId="77777777" w:rsidR="00ED1F77" w:rsidRDefault="00C869A8">
      <w:pPr>
        <w:pStyle w:val="31"/>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pPr>
      <w:bookmarkStart w:id="37" w:name="toc_038"/>
      <w:r>
        <w:rPr>
          <w:rFonts w:ascii="黑体" w:eastAsia="黑体" w:hAnsi="黑体"/>
        </w:rPr>
        <w:t>5 其他内容</w:t>
      </w:r>
      <w:bookmarkEnd w:id="37"/>
    </w:p>
    <w:p w14:paraId="66A4050F" w14:textId="77777777" w:rsidR="00ED1F77" w:rsidRDefault="00C869A8">
      <w:pPr>
        <w:pStyle w:val="21"/>
      </w:pPr>
      <w:bookmarkStart w:id="38" w:name="toc_039"/>
      <w:r>
        <w:rPr>
          <w:rFonts w:ascii="黑体" w:eastAsia="黑体" w:hAnsi="黑体"/>
        </w:rPr>
        <w:t>5.1 安全与可靠性设计</w:t>
      </w:r>
      <w:bookmarkEnd w:id="38"/>
    </w:p>
    <w:p w14:paraId="3D6300FE" w14:textId="77777777" w:rsidR="00ED1F77" w:rsidRDefault="00C869A8">
      <w:pPr>
        <w:pStyle w:val="31"/>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pPr>
      <w:bookmarkStart w:id="40" w:name="toc_041"/>
      <w:r>
        <w:rPr>
          <w:rFonts w:ascii="黑体" w:eastAsia="黑体" w:hAnsi="黑体"/>
        </w:rPr>
        <w:t>5.2 可维护性与扩展性</w:t>
      </w:r>
      <w:bookmarkEnd w:id="40"/>
    </w:p>
    <w:p w14:paraId="4A768C7C" w14:textId="77777777" w:rsidR="00ED1F77" w:rsidRDefault="00C869A8">
      <w:pPr>
        <w:pStyle w:val="31"/>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pPr>
      <w:bookmarkStart w:id="42" w:name="toc_043"/>
      <w:r>
        <w:rPr>
          <w:rFonts w:ascii="黑体" w:eastAsia="黑体" w:hAnsi="黑体"/>
        </w:rPr>
        <w:t>5.3 后续工作</w:t>
      </w:r>
      <w:bookmarkEnd w:id="42"/>
    </w:p>
    <w:p w14:paraId="66D97845" w14:textId="77777777" w:rsidR="00ED1F77" w:rsidRDefault="00C869A8">
      <w:pPr>
        <w:pStyle w:val="31"/>
      </w:pPr>
      <w:bookmarkStart w:id="43" w:name="toc_044"/>
      <w:r>
        <w:rPr>
          <w:rFonts w:ascii="黑体" w:eastAsia="黑体" w:hAnsi="黑体"/>
        </w:rPr>
        <w:t>5.3.1 应用优化方向</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bookmarkStart w:id="51" w:name="ref_3"/>
      <w:r>
        <w:rPr>
          <w:sz w:val="19"/>
        </w:rPr>
        <w:t>[3] ASAIR. DHT11 Temperature and Humidity Sensor Module[EB/OL]. [2026-07-25]. https://www.aosong.com/en/Products/info.aspx?itemid=2257.</w:t>
      </w:r>
      <w:bookmarkEnd w:id="51"/>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