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before="0" w:after="560" w:line="240" w:lineRule="auto"/>
        <w:jc w:val="center"/>
      </w:pPr>
      <w:r>
        <w:rPr>
          <w:rFonts w:ascii="黑体" w:hAnsi="黑体" w:eastAsia="黑体"/>
          <w:b/>
          <w:sz w:val="44"/>
        </w:rPr>
        <w:t>全国大学生物联网设计竞赛</w:t>
      </w:r>
    </w:p>
    <w:p>
      <w:pPr>
        <w:spacing w:before="0" w:after="880" w:line="240" w:lineRule="auto"/>
        <w:jc w:val="center"/>
      </w:pPr>
      <w:r>
        <w:rPr>
          <w:rFonts w:ascii="黑体" w:hAnsi="黑体" w:eastAsia="黑体"/>
          <w:b/>
          <w:sz w:val="56"/>
        </w:rPr>
        <w:t>设计说明书</w:t>
      </w:r>
    </w:p>
    <w:p>
      <w:pPr>
        <w:spacing w:before="0" w:after="240" w:line="240" w:lineRule="auto"/>
        <w:jc w:val="center"/>
      </w:pPr>
      <w:r>
        <w:rPr>
          <w:rFonts w:ascii="宋体" w:hAnsi="宋体" w:eastAsia="宋体"/>
          <w:sz w:val="26"/>
        </w:rPr>
        <w:t>设计作品名称</w:t>
      </w:r>
    </w:p>
    <w:p>
      <w:pPr>
        <w:spacing w:before="0" w:after="1400" w:line="240" w:lineRule="auto"/>
        <w:jc w:val="center"/>
      </w:pPr>
      <w:r>
        <w:rPr>
          <w:rFonts w:ascii="黑体" w:hAnsi="黑体" w:eastAsia="黑体"/>
          <w:b/>
          <w:sz w:val="40"/>
        </w:rPr>
        <w:t>SmartAgriBrain智慧农业系统</w:t>
      </w:r>
    </w:p>
    <w:p>
      <w:pPr>
        <w:jc w:val="center"/>
      </w:pPr>
      <w:r>
        <w:rPr>
          <w:rFonts w:ascii="宋体" w:hAnsi="宋体" w:eastAsia="宋体"/>
          <w:sz w:val="24"/>
        </w:rPr>
        <w:t>2026年7月</w:t>
      </w:r>
    </w:p>
    <w:p>
      <w:r>
        <w:br w:type="page"/>
      </w:r>
    </w:p>
    <w:p>
      <w:pPr>
        <w:pStyle w:val="Heading1"/>
        <w:jc w:val="left"/>
      </w:pPr>
      <w:r>
        <w:rPr>
          <w:rFonts w:ascii="黑体" w:hAnsi="黑体" w:eastAsia="黑体"/>
          <w:b/>
          <w:color w:val="000000"/>
          <w:sz w:val="32"/>
        </w:rPr>
        <w:t>摘要</w:t>
      </w:r>
    </w:p>
    <w:p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sz w:val="21"/>
        </w:rPr>
        <w:t>面向小规模温室和家庭种植场景中环境数据分散、人工巡检频繁、远程控制缺少闭环的问题，本文设计并实现了SmartAgriBrain智慧农业系统。系统以现场ESP32为采集与执行节点，采集土壤湿度、光照、温度和二氧化碳浓度等环境数据，通过Wi-Fi和MQTT上报至云端；云端和前端依据统一的数据契约完成数据展示、分析和控制命令下发。现场节点可接收水泵、补光灯及二维舵机云台的控制指令，其中云台采用SG90舵机，支持水平与俯仰两个方向的0至180度定位；补光灯采用PWM方式调节亮度，水泵采用受限占空比输出。针对多模块协同中常见的字段歧义与状态不同步问题，系统定义了设备标识、单位、控制状态和命令确认等统一规则，并在软件结构上将网络通信、传感器、执行器和云台驱动拆分为独立模块。ESP32-C5被规划为语音交互与屏幕显示终端，负责将云端大模型服务的交互结果呈现给用户，不承担现场传感器采集与执行器控制。当前ESP32采集与控制工程已通过PlatformIO构建验证。该设计为后续接入知识库问答、作物风险分析和自动策略提供了可扩展的物联网底座。</w:t>
      </w:r>
    </w:p>
    <w:p>
      <w:pPr>
        <w:spacing w:before="80" w:after="240" w:line="240" w:lineRule="auto"/>
      </w:pPr>
      <w:r>
        <w:rPr>
          <w:rFonts w:ascii="宋体" w:hAnsi="宋体" w:eastAsia="宋体"/>
          <w:b/>
          <w:sz w:val="21"/>
        </w:rPr>
        <w:t>关键词：智慧农业；ESP32；MQTT；环境监测；二维云台</w:t>
      </w:r>
    </w:p>
    <w:p>
      <w:pPr>
        <w:pStyle w:val="Heading1"/>
        <w:jc w:val="left"/>
      </w:pPr>
      <w:r>
        <w:rPr>
          <w:rFonts w:ascii="黑体" w:hAnsi="黑体" w:eastAsia="黑体"/>
          <w:b/>
          <w:color w:val="000000"/>
          <w:sz w:val="32"/>
        </w:rPr>
        <w:t>目 录</w:t>
      </w:r>
    </w:p>
    <w:p>
      <w:pPr>
        <w:spacing w:after="40" w:line="240" w:lineRule="auto"/>
        <w:ind w:left="0"/>
        <w:jc w:val="left"/>
      </w:pPr>
      <w:hyperlink w:anchor="toc_001" w:history="1">
        <w:r>
          <w:rPr>
            <w:rFonts w:eastAsia="宋体" w:ascii="宋体" w:hAnsi="宋体"/>
            <w:sz w:val="21"/>
            <w:color w:val="0563C1"/>
            <w:u w:val="single"/>
          </w:rPr>
          <w:t>1 设计需求分析</w:t>
        </w:r>
      </w:hyperlink>
    </w:p>
    <w:p>
      <w:pPr>
        <w:spacing w:after="40" w:line="240" w:lineRule="auto"/>
        <w:ind w:left="340"/>
        <w:jc w:val="left"/>
      </w:pPr>
      <w:hyperlink w:anchor="toc_002" w:history="1">
        <w:r>
          <w:rPr>
            <w:rFonts w:eastAsia="宋体" w:ascii="宋体" w:hAnsi="宋体"/>
            <w:sz w:val="21"/>
            <w:color w:val="0563C1"/>
            <w:u w:val="single"/>
          </w:rPr>
          <w:t>1.1 现场种植管理需求</w:t>
        </w:r>
      </w:hyperlink>
    </w:p>
    <w:p>
      <w:pPr>
        <w:spacing w:after="40" w:line="240" w:lineRule="auto"/>
        <w:ind w:left="680"/>
        <w:jc w:val="left"/>
      </w:pPr>
      <w:hyperlink w:anchor="toc_003" w:history="1">
        <w:r>
          <w:rPr>
            <w:rFonts w:eastAsia="宋体" w:ascii="宋体" w:hAnsi="宋体"/>
            <w:sz w:val="21"/>
            <w:color w:val="0563C1"/>
            <w:u w:val="single"/>
          </w:rPr>
          <w:t>1.1.1 多源数据的统一表达</w:t>
        </w:r>
      </w:hyperlink>
    </w:p>
    <w:p>
      <w:pPr>
        <w:spacing w:after="40" w:line="240" w:lineRule="auto"/>
        <w:ind w:left="340"/>
        <w:jc w:val="left"/>
      </w:pPr>
      <w:hyperlink w:anchor="toc_004" w:history="1">
        <w:r>
          <w:rPr>
            <w:rFonts w:eastAsia="宋体" w:ascii="宋体" w:hAnsi="宋体"/>
            <w:sz w:val="21"/>
            <w:color w:val="0563C1"/>
            <w:u w:val="single"/>
          </w:rPr>
          <w:t>1.2 系统约束与目标</w:t>
        </w:r>
      </w:hyperlink>
    </w:p>
    <w:p>
      <w:pPr>
        <w:spacing w:after="40" w:line="240" w:lineRule="auto"/>
        <w:ind w:left="680"/>
        <w:jc w:val="left"/>
      </w:pPr>
      <w:hyperlink w:anchor="toc_005" w:history="1">
        <w:r>
          <w:rPr>
            <w:rFonts w:eastAsia="宋体" w:ascii="宋体" w:hAnsi="宋体"/>
            <w:sz w:val="21"/>
            <w:color w:val="0563C1"/>
            <w:u w:val="single"/>
          </w:rPr>
          <w:t>1.2.1 网络与可靠性约束</w:t>
        </w:r>
      </w:hyperlink>
    </w:p>
    <w:p>
      <w:pPr>
        <w:spacing w:after="40" w:line="240" w:lineRule="auto"/>
        <w:ind w:left="680"/>
        <w:jc w:val="left"/>
      </w:pPr>
      <w:hyperlink w:anchor="toc_006" w:history="1">
        <w:r>
          <w:rPr>
            <w:rFonts w:eastAsia="宋体" w:ascii="宋体" w:hAnsi="宋体"/>
            <w:sz w:val="21"/>
            <w:color w:val="0563C1"/>
            <w:u w:val="single"/>
          </w:rPr>
          <w:t>1.2.2 执行器安全约束</w:t>
        </w:r>
      </w:hyperlink>
    </w:p>
    <w:p>
      <w:pPr>
        <w:spacing w:after="40" w:line="240" w:lineRule="auto"/>
        <w:ind w:left="340"/>
        <w:jc w:val="left"/>
      </w:pPr>
      <w:hyperlink w:anchor="toc_007" w:history="1">
        <w:r>
          <w:rPr>
            <w:rFonts w:eastAsia="宋体" w:ascii="宋体" w:hAnsi="宋体"/>
            <w:sz w:val="21"/>
            <w:color w:val="0563C1"/>
            <w:u w:val="single"/>
          </w:rPr>
          <w:t>1.3 设计目标</w:t>
        </w:r>
      </w:hyperlink>
    </w:p>
    <w:p>
      <w:pPr>
        <w:spacing w:after="40" w:line="240" w:lineRule="auto"/>
        <w:ind w:left="0"/>
        <w:jc w:val="left"/>
      </w:pPr>
      <w:hyperlink w:anchor="toc_008" w:history="1">
        <w:r>
          <w:rPr>
            <w:rFonts w:eastAsia="宋体" w:ascii="宋体" w:hAnsi="宋体"/>
            <w:sz w:val="21"/>
            <w:color w:val="0563C1"/>
            <w:u w:val="single"/>
          </w:rPr>
          <w:t>2 特色与创新</w:t>
        </w:r>
      </w:hyperlink>
    </w:p>
    <w:p>
      <w:pPr>
        <w:spacing w:after="40" w:line="240" w:lineRule="auto"/>
        <w:ind w:left="340"/>
        <w:jc w:val="left"/>
      </w:pPr>
      <w:hyperlink w:anchor="toc_009" w:history="1">
        <w:r>
          <w:rPr>
            <w:rFonts w:eastAsia="宋体" w:ascii="宋体" w:hAnsi="宋体"/>
            <w:sz w:val="21"/>
            <w:color w:val="0563C1"/>
            <w:u w:val="single"/>
          </w:rPr>
          <w:t>2.1 双MCU职责分离</w:t>
        </w:r>
      </w:hyperlink>
    </w:p>
    <w:p>
      <w:pPr>
        <w:spacing w:after="40" w:line="240" w:lineRule="auto"/>
        <w:ind w:left="680"/>
        <w:jc w:val="left"/>
      </w:pPr>
      <w:hyperlink w:anchor="toc_010" w:history="1">
        <w:r>
          <w:rPr>
            <w:rFonts w:eastAsia="宋体" w:ascii="宋体" w:hAnsi="宋体"/>
            <w:sz w:val="21"/>
            <w:color w:val="0563C1"/>
            <w:u w:val="single"/>
          </w:rPr>
          <w:t>2.1.1 现场节点与交互终端分工</w:t>
        </w:r>
      </w:hyperlink>
    </w:p>
    <w:p>
      <w:pPr>
        <w:spacing w:after="40" w:line="240" w:lineRule="auto"/>
        <w:ind w:left="340"/>
        <w:jc w:val="left"/>
      </w:pPr>
      <w:hyperlink w:anchor="toc_011" w:history="1">
        <w:r>
          <w:rPr>
            <w:rFonts w:eastAsia="宋体" w:ascii="宋体" w:hAnsi="宋体"/>
            <w:sz w:val="21"/>
            <w:color w:val="0563C1"/>
            <w:u w:val="single"/>
          </w:rPr>
          <w:t>2.2 面向联调的数据契约</w:t>
        </w:r>
      </w:hyperlink>
    </w:p>
    <w:p>
      <w:pPr>
        <w:spacing w:after="40" w:line="240" w:lineRule="auto"/>
        <w:ind w:left="680"/>
        <w:jc w:val="left"/>
      </w:pPr>
      <w:hyperlink w:anchor="toc_012" w:history="1">
        <w:r>
          <w:rPr>
            <w:rFonts w:eastAsia="宋体" w:ascii="宋体" w:hAnsi="宋体"/>
            <w:sz w:val="21"/>
            <w:color w:val="0563C1"/>
            <w:u w:val="single"/>
          </w:rPr>
          <w:t>2.2.1 数据、命令与确认三类消息</w:t>
        </w:r>
      </w:hyperlink>
    </w:p>
    <w:p>
      <w:pPr>
        <w:spacing w:after="40" w:line="240" w:lineRule="auto"/>
        <w:ind w:left="340"/>
        <w:jc w:val="left"/>
      </w:pPr>
      <w:hyperlink w:anchor="toc_013" w:history="1">
        <w:r>
          <w:rPr>
            <w:rFonts w:eastAsia="宋体" w:ascii="宋体" w:hAnsi="宋体"/>
            <w:sz w:val="21"/>
            <w:color w:val="0563C1"/>
            <w:u w:val="single"/>
          </w:rPr>
          <w:t>2.3 可视化观察与物理控制结合</w:t>
        </w:r>
      </w:hyperlink>
    </w:p>
    <w:p>
      <w:pPr>
        <w:spacing w:after="40" w:line="240" w:lineRule="auto"/>
        <w:ind w:left="680"/>
        <w:jc w:val="left"/>
      </w:pPr>
      <w:hyperlink w:anchor="toc_014" w:history="1">
        <w:r>
          <w:rPr>
            <w:rFonts w:eastAsia="宋体" w:ascii="宋体" w:hAnsi="宋体"/>
            <w:sz w:val="21"/>
            <w:color w:val="0563C1"/>
            <w:u w:val="single"/>
          </w:rPr>
          <w:t>2.3.1 二维云台作为扩展执行器</w:t>
        </w:r>
      </w:hyperlink>
    </w:p>
    <w:p>
      <w:pPr>
        <w:spacing w:after="40" w:line="240" w:lineRule="auto"/>
        <w:ind w:left="0"/>
        <w:jc w:val="left"/>
      </w:pPr>
      <w:hyperlink w:anchor="toc_015" w:history="1">
        <w:r>
          <w:rPr>
            <w:rFonts w:eastAsia="宋体" w:ascii="宋体" w:hAnsi="宋体"/>
            <w:sz w:val="21"/>
            <w:color w:val="0563C1"/>
            <w:u w:val="single"/>
          </w:rPr>
          <w:t>3 功能设计</w:t>
        </w:r>
      </w:hyperlink>
    </w:p>
    <w:p>
      <w:pPr>
        <w:spacing w:after="40" w:line="240" w:lineRule="auto"/>
        <w:ind w:left="340"/>
        <w:jc w:val="left"/>
      </w:pPr>
      <w:hyperlink w:anchor="toc_016" w:history="1">
        <w:r>
          <w:rPr>
            <w:rFonts w:eastAsia="宋体" w:ascii="宋体" w:hAnsi="宋体"/>
            <w:sz w:val="21"/>
            <w:color w:val="0563C1"/>
            <w:u w:val="single"/>
          </w:rPr>
          <w:t>3.1 环境采集与上报</w:t>
        </w:r>
      </w:hyperlink>
    </w:p>
    <w:p>
      <w:pPr>
        <w:spacing w:after="40" w:line="240" w:lineRule="auto"/>
        <w:ind w:left="680"/>
        <w:jc w:val="left"/>
      </w:pPr>
      <w:hyperlink w:anchor="toc_017" w:history="1">
        <w:r>
          <w:rPr>
            <w:rFonts w:eastAsia="宋体" w:ascii="宋体" w:hAnsi="宋体"/>
            <w:sz w:val="21"/>
            <w:color w:val="0563C1"/>
            <w:u w:val="single"/>
          </w:rPr>
          <w:t>3.1.1 采集对象与处理方式</w:t>
        </w:r>
      </w:hyperlink>
    </w:p>
    <w:p>
      <w:pPr>
        <w:spacing w:after="40" w:line="240" w:lineRule="auto"/>
        <w:ind w:left="340"/>
        <w:jc w:val="left"/>
      </w:pPr>
      <w:hyperlink w:anchor="toc_018" w:history="1">
        <w:r>
          <w:rPr>
            <w:rFonts w:eastAsia="宋体" w:ascii="宋体" w:hAnsi="宋体"/>
            <w:sz w:val="21"/>
            <w:color w:val="0563C1"/>
            <w:u w:val="single"/>
          </w:rPr>
          <w:t>3.2 远程控制</w:t>
        </w:r>
      </w:hyperlink>
    </w:p>
    <w:p>
      <w:pPr>
        <w:spacing w:after="40" w:line="240" w:lineRule="auto"/>
        <w:ind w:left="680"/>
        <w:jc w:val="left"/>
      </w:pPr>
      <w:hyperlink w:anchor="toc_019" w:history="1">
        <w:r>
          <w:rPr>
            <w:rFonts w:eastAsia="宋体" w:ascii="宋体" w:hAnsi="宋体"/>
            <w:sz w:val="21"/>
            <w:color w:val="0563C1"/>
            <w:u w:val="single"/>
          </w:rPr>
          <w:t>3.2.1 水泵与补光灯控制</w:t>
        </w:r>
      </w:hyperlink>
    </w:p>
    <w:p>
      <w:pPr>
        <w:spacing w:after="40" w:line="240" w:lineRule="auto"/>
        <w:ind w:left="680"/>
        <w:jc w:val="left"/>
      </w:pPr>
      <w:hyperlink w:anchor="toc_020" w:history="1">
        <w:r>
          <w:rPr>
            <w:rFonts w:eastAsia="宋体" w:ascii="宋体" w:hAnsi="宋体"/>
            <w:sz w:val="21"/>
            <w:color w:val="0563C1"/>
            <w:u w:val="single"/>
          </w:rPr>
          <w:t>3.2.2 云台控制</w:t>
        </w:r>
      </w:hyperlink>
    </w:p>
    <w:p>
      <w:pPr>
        <w:spacing w:after="40" w:line="240" w:lineRule="auto"/>
        <w:ind w:left="340"/>
        <w:jc w:val="left"/>
      </w:pPr>
      <w:hyperlink w:anchor="toc_021" w:history="1">
        <w:r>
          <w:rPr>
            <w:rFonts w:eastAsia="宋体" w:ascii="宋体" w:hAnsi="宋体"/>
            <w:sz w:val="21"/>
            <w:color w:val="0563C1"/>
            <w:u w:val="single"/>
          </w:rPr>
          <w:t>3.3 云端与前端服务</w:t>
        </w:r>
      </w:hyperlink>
    </w:p>
    <w:p>
      <w:pPr>
        <w:spacing w:after="40" w:line="240" w:lineRule="auto"/>
        <w:ind w:left="680"/>
        <w:jc w:val="left"/>
      </w:pPr>
      <w:hyperlink w:anchor="toc_022" w:history="1">
        <w:r>
          <w:rPr>
            <w:rFonts w:eastAsia="宋体" w:ascii="宋体" w:hAnsi="宋体"/>
            <w:sz w:val="21"/>
            <w:color w:val="0563C1"/>
            <w:u w:val="single"/>
          </w:rPr>
          <w:t>3.3.1 数据展示和分析接口</w:t>
        </w:r>
      </w:hyperlink>
    </w:p>
    <w:p>
      <w:pPr>
        <w:spacing w:after="40" w:line="240" w:lineRule="auto"/>
        <w:ind w:left="340"/>
        <w:jc w:val="left"/>
      </w:pPr>
      <w:hyperlink w:anchor="toc_023" w:history="1">
        <w:r>
          <w:rPr>
            <w:rFonts w:eastAsia="宋体" w:ascii="宋体" w:hAnsi="宋体"/>
            <w:sz w:val="21"/>
            <w:color w:val="0563C1"/>
            <w:u w:val="single"/>
          </w:rPr>
          <w:t>3.4 语音与屏幕交互终端</w:t>
        </w:r>
      </w:hyperlink>
    </w:p>
    <w:p>
      <w:pPr>
        <w:spacing w:after="40" w:line="240" w:lineRule="auto"/>
        <w:ind w:left="680"/>
        <w:jc w:val="left"/>
      </w:pPr>
      <w:hyperlink w:anchor="toc_024" w:history="1">
        <w:r>
          <w:rPr>
            <w:rFonts w:eastAsia="宋体" w:ascii="宋体" w:hAnsi="宋体"/>
            <w:sz w:val="21"/>
            <w:color w:val="0563C1"/>
            <w:u w:val="single"/>
          </w:rPr>
          <w:t>3.4.1 已完成设计与待联调内容</w:t>
        </w:r>
      </w:hyperlink>
    </w:p>
    <w:p>
      <w:pPr>
        <w:spacing w:after="40" w:line="240" w:lineRule="auto"/>
        <w:ind w:left="0"/>
        <w:jc w:val="left"/>
      </w:pPr>
      <w:hyperlink w:anchor="toc_025" w:history="1">
        <w:r>
          <w:rPr>
            <w:rFonts w:eastAsia="宋体" w:ascii="宋体" w:hAnsi="宋体"/>
            <w:sz w:val="21"/>
            <w:color w:val="0563C1"/>
            <w:u w:val="single"/>
          </w:rPr>
          <w:t>4 系统实现</w:t>
        </w:r>
      </w:hyperlink>
    </w:p>
    <w:p>
      <w:pPr>
        <w:spacing w:after="40" w:line="240" w:lineRule="auto"/>
        <w:ind w:left="340"/>
        <w:jc w:val="left"/>
      </w:pPr>
      <w:hyperlink w:anchor="toc_026" w:history="1">
        <w:r>
          <w:rPr>
            <w:rFonts w:eastAsia="宋体" w:ascii="宋体" w:hAnsi="宋体"/>
            <w:sz w:val="21"/>
            <w:color w:val="0563C1"/>
            <w:u w:val="single"/>
          </w:rPr>
          <w:t>4.1 总体架构</w:t>
        </w:r>
      </w:hyperlink>
    </w:p>
    <w:p>
      <w:pPr>
        <w:spacing w:after="40" w:line="240" w:lineRule="auto"/>
        <w:ind w:left="680"/>
        <w:jc w:val="left"/>
      </w:pPr>
      <w:hyperlink w:anchor="toc_027" w:history="1">
        <w:r>
          <w:rPr>
            <w:rFonts w:eastAsia="宋体" w:ascii="宋体" w:hAnsi="宋体"/>
            <w:sz w:val="21"/>
            <w:color w:val="0563C1"/>
            <w:u w:val="single"/>
          </w:rPr>
          <w:t>4.1.1 分层实现</w:t>
        </w:r>
      </w:hyperlink>
    </w:p>
    <w:p>
      <w:pPr>
        <w:spacing w:after="40" w:line="240" w:lineRule="auto"/>
        <w:ind w:left="680"/>
        <w:jc w:val="left"/>
      </w:pPr>
      <w:hyperlink w:anchor="toc_028" w:history="1">
        <w:r>
          <w:rPr>
            <w:rFonts w:eastAsia="宋体" w:ascii="宋体" w:hAnsi="宋体"/>
            <w:sz w:val="21"/>
            <w:color w:val="0563C1"/>
            <w:u w:val="single"/>
          </w:rPr>
          <w:t>4.1.2 信息流</w:t>
        </w:r>
      </w:hyperlink>
    </w:p>
    <w:p>
      <w:pPr>
        <w:spacing w:after="40" w:line="240" w:lineRule="auto"/>
        <w:ind w:left="340"/>
        <w:jc w:val="left"/>
      </w:pPr>
      <w:hyperlink w:anchor="toc_029" w:history="1">
        <w:r>
          <w:rPr>
            <w:rFonts w:eastAsia="宋体" w:ascii="宋体" w:hAnsi="宋体"/>
            <w:sz w:val="21"/>
            <w:color w:val="0563C1"/>
            <w:u w:val="single"/>
          </w:rPr>
          <w:t>4.2 嵌入式硬件与驱动</w:t>
        </w:r>
      </w:hyperlink>
    </w:p>
    <w:p>
      <w:pPr>
        <w:spacing w:after="40" w:line="240" w:lineRule="auto"/>
        <w:ind w:left="680"/>
        <w:jc w:val="left"/>
      </w:pPr>
      <w:hyperlink w:anchor="toc_030" w:history="1">
        <w:r>
          <w:rPr>
            <w:rFonts w:eastAsia="宋体" w:ascii="宋体" w:hAnsi="宋体"/>
            <w:sz w:val="21"/>
            <w:color w:val="0563C1"/>
            <w:u w:val="single"/>
          </w:rPr>
          <w:t>4.2.1 GPIO与PWM资源</w:t>
        </w:r>
      </w:hyperlink>
    </w:p>
    <w:p>
      <w:pPr>
        <w:spacing w:after="40" w:line="240" w:lineRule="auto"/>
        <w:ind w:left="680"/>
        <w:jc w:val="left"/>
      </w:pPr>
      <w:hyperlink w:anchor="toc_031" w:history="1">
        <w:r>
          <w:rPr>
            <w:rFonts w:eastAsia="宋体" w:ascii="宋体" w:hAnsi="宋体"/>
            <w:sz w:val="21"/>
            <w:color w:val="0563C1"/>
            <w:u w:val="single"/>
          </w:rPr>
          <w:t>4.2.2 云台驱动模块</w:t>
        </w:r>
      </w:hyperlink>
    </w:p>
    <w:p>
      <w:pPr>
        <w:spacing w:after="40" w:line="240" w:lineRule="auto"/>
        <w:ind w:left="340"/>
        <w:jc w:val="left"/>
      </w:pPr>
      <w:hyperlink w:anchor="toc_032" w:history="1">
        <w:r>
          <w:rPr>
            <w:rFonts w:eastAsia="宋体" w:ascii="宋体" w:hAnsi="宋体"/>
            <w:sz w:val="21"/>
            <w:color w:val="0563C1"/>
            <w:u w:val="single"/>
          </w:rPr>
          <w:t>4.3 网络通信与消息处理</w:t>
        </w:r>
      </w:hyperlink>
    </w:p>
    <w:p>
      <w:pPr>
        <w:spacing w:after="40" w:line="240" w:lineRule="auto"/>
        <w:ind w:left="680"/>
        <w:jc w:val="left"/>
      </w:pPr>
      <w:hyperlink w:anchor="toc_033" w:history="1">
        <w:r>
          <w:rPr>
            <w:rFonts w:eastAsia="宋体" w:ascii="宋体" w:hAnsi="宋体"/>
            <w:sz w:val="21"/>
            <w:color w:val="0563C1"/>
            <w:u w:val="single"/>
          </w:rPr>
          <w:t>4.3.1 MQTT连接与安全</w:t>
        </w:r>
      </w:hyperlink>
    </w:p>
    <w:p>
      <w:pPr>
        <w:spacing w:after="40" w:line="240" w:lineRule="auto"/>
        <w:ind w:left="680"/>
        <w:jc w:val="left"/>
      </w:pPr>
      <w:hyperlink w:anchor="toc_034" w:history="1">
        <w:r>
          <w:rPr>
            <w:rFonts w:eastAsia="宋体" w:ascii="宋体" w:hAnsi="宋体"/>
            <w:sz w:val="21"/>
            <w:color w:val="0563C1"/>
            <w:u w:val="single"/>
          </w:rPr>
          <w:t>4.3.2 控制报文解析</w:t>
        </w:r>
      </w:hyperlink>
    </w:p>
    <w:p>
      <w:pPr>
        <w:spacing w:after="40" w:line="240" w:lineRule="auto"/>
        <w:ind w:left="340"/>
        <w:jc w:val="left"/>
      </w:pPr>
      <w:hyperlink w:anchor="toc_035" w:history="1">
        <w:r>
          <w:rPr>
            <w:rFonts w:eastAsia="宋体" w:ascii="宋体" w:hAnsi="宋体"/>
            <w:sz w:val="21"/>
            <w:color w:val="0563C1"/>
            <w:u w:val="single"/>
          </w:rPr>
          <w:t>4.4 软件工程实现</w:t>
        </w:r>
      </w:hyperlink>
    </w:p>
    <w:p>
      <w:pPr>
        <w:spacing w:after="40" w:line="240" w:lineRule="auto"/>
        <w:ind w:left="680"/>
        <w:jc w:val="left"/>
      </w:pPr>
      <w:hyperlink w:anchor="toc_036" w:history="1">
        <w:r>
          <w:rPr>
            <w:rFonts w:eastAsia="宋体" w:ascii="宋体" w:hAnsi="宋体"/>
            <w:sz w:val="21"/>
            <w:color w:val="0563C1"/>
            <w:u w:val="single"/>
          </w:rPr>
          <w:t>4.4.1 模块化组织</w:t>
        </w:r>
      </w:hyperlink>
    </w:p>
    <w:p>
      <w:pPr>
        <w:spacing w:after="40" w:line="240" w:lineRule="auto"/>
        <w:ind w:left="680"/>
        <w:jc w:val="left"/>
      </w:pPr>
      <w:hyperlink w:anchor="toc_037" w:history="1">
        <w:r>
          <w:rPr>
            <w:rFonts w:eastAsia="宋体" w:ascii="宋体" w:hAnsi="宋体"/>
            <w:sz w:val="21"/>
            <w:color w:val="0563C1"/>
            <w:u w:val="single"/>
          </w:rPr>
          <w:t>4.4.2 构建验证与边界</w:t>
        </w:r>
      </w:hyperlink>
    </w:p>
    <w:p>
      <w:pPr>
        <w:spacing w:after="40" w:line="240" w:lineRule="auto"/>
        <w:ind w:left="0"/>
        <w:jc w:val="left"/>
      </w:pPr>
      <w:hyperlink w:anchor="toc_038" w:history="1">
        <w:r>
          <w:rPr>
            <w:rFonts w:eastAsia="宋体" w:ascii="宋体" w:hAnsi="宋体"/>
            <w:sz w:val="21"/>
            <w:color w:val="0563C1"/>
            <w:u w:val="single"/>
          </w:rPr>
          <w:t>5 其他内容</w:t>
        </w:r>
      </w:hyperlink>
    </w:p>
    <w:p>
      <w:pPr>
        <w:spacing w:after="40" w:line="240" w:lineRule="auto"/>
        <w:ind w:left="340"/>
        <w:jc w:val="left"/>
      </w:pPr>
      <w:hyperlink w:anchor="toc_039" w:history="1">
        <w:r>
          <w:rPr>
            <w:rFonts w:eastAsia="宋体" w:ascii="宋体" w:hAnsi="宋体"/>
            <w:sz w:val="21"/>
            <w:color w:val="0563C1"/>
            <w:u w:val="single"/>
          </w:rPr>
          <w:t>5.1 安全与可靠性设计</w:t>
        </w:r>
      </w:hyperlink>
    </w:p>
    <w:p>
      <w:pPr>
        <w:spacing w:after="40" w:line="240" w:lineRule="auto"/>
        <w:ind w:left="680"/>
        <w:jc w:val="left"/>
      </w:pPr>
      <w:hyperlink w:anchor="toc_040" w:history="1">
        <w:r>
          <w:rPr>
            <w:rFonts w:eastAsia="宋体" w:ascii="宋体" w:hAnsi="宋体"/>
            <w:sz w:val="21"/>
            <w:color w:val="0563C1"/>
            <w:u w:val="single"/>
          </w:rPr>
          <w:t>5.1.1 电源与执行器保护</w:t>
        </w:r>
      </w:hyperlink>
    </w:p>
    <w:p>
      <w:pPr>
        <w:spacing w:after="40" w:line="240" w:lineRule="auto"/>
        <w:ind w:left="340"/>
        <w:jc w:val="left"/>
      </w:pPr>
      <w:hyperlink w:anchor="toc_041" w:history="1">
        <w:r>
          <w:rPr>
            <w:rFonts w:eastAsia="宋体" w:ascii="宋体" w:hAnsi="宋体"/>
            <w:sz w:val="21"/>
            <w:color w:val="0563C1"/>
            <w:u w:val="single"/>
          </w:rPr>
          <w:t>5.2 可维护性与扩展性</w:t>
        </w:r>
      </w:hyperlink>
    </w:p>
    <w:p>
      <w:pPr>
        <w:spacing w:after="40" w:line="240" w:lineRule="auto"/>
        <w:ind w:left="680"/>
        <w:jc w:val="left"/>
      </w:pPr>
      <w:hyperlink w:anchor="toc_042" w:history="1">
        <w:r>
          <w:rPr>
            <w:rFonts w:eastAsia="宋体" w:ascii="宋体" w:hAnsi="宋体"/>
            <w:sz w:val="21"/>
            <w:color w:val="0563C1"/>
            <w:u w:val="single"/>
          </w:rPr>
          <w:t>5.2.1 接口演进策略</w:t>
        </w:r>
      </w:hyperlink>
    </w:p>
    <w:p>
      <w:pPr>
        <w:spacing w:after="40" w:line="240" w:lineRule="auto"/>
        <w:ind w:left="340"/>
        <w:jc w:val="left"/>
      </w:pPr>
      <w:hyperlink w:anchor="toc_043" w:history="1">
        <w:r>
          <w:rPr>
            <w:rFonts w:eastAsia="宋体" w:ascii="宋体" w:hAnsi="宋体"/>
            <w:sz w:val="21"/>
            <w:color w:val="0563C1"/>
            <w:u w:val="single"/>
          </w:rPr>
          <w:t>5.3 后续工作</w:t>
        </w:r>
      </w:hyperlink>
    </w:p>
    <w:p>
      <w:pPr>
        <w:spacing w:after="40" w:line="240" w:lineRule="auto"/>
        <w:ind w:left="680"/>
        <w:jc w:val="left"/>
      </w:pPr>
      <w:hyperlink w:anchor="toc_044" w:history="1">
        <w:r>
          <w:rPr>
            <w:rFonts w:eastAsia="宋体" w:ascii="宋体" w:hAnsi="宋体"/>
            <w:sz w:val="21"/>
            <w:color w:val="0563C1"/>
            <w:u w:val="single"/>
          </w:rPr>
          <w:t>5.3.1 联调验收重点</w:t>
        </w:r>
      </w:hyperlink>
    </w:p>
    <w:p>
      <w:pPr>
        <w:spacing w:after="40" w:line="240" w:lineRule="auto"/>
        <w:ind w:left="0"/>
        <w:jc w:val="left"/>
      </w:pPr>
      <w:hyperlink w:anchor="toc_045" w:history="1">
        <w:r>
          <w:rPr>
            <w:rFonts w:eastAsia="宋体" w:ascii="宋体" w:hAnsi="宋体"/>
            <w:sz w:val="21"/>
            <w:color w:val="0563C1"/>
            <w:u w:val="single"/>
          </w:rPr>
          <w:t>6 参考文献</w:t>
        </w:r>
      </w:hyperlink>
    </w:p>
    <w:p>
      <w:bookmarkStart w:id="100" w:name="toc_001"/>
      <w:pPr>
        <w:pStyle w:val="Heading1"/>
        <w:jc w:val="left"/>
      </w:pPr>
      <w:r>
        <w:rPr>
          <w:rFonts w:ascii="黑体" w:hAnsi="黑体" w:eastAsia="黑体"/>
          <w:b/>
          <w:color w:val="000000"/>
          <w:sz w:val="32"/>
        </w:rPr>
        <w:t>1 设计需求分析</w:t>
      </w:r>
      <w:bookmarkEnd w:id="100"/>
    </w:p>
    <w:p>
      <w:bookmarkStart w:id="101" w:name="toc_002"/>
      <w:pPr>
        <w:pStyle w:val="Heading2"/>
        <w:jc w:val="left"/>
      </w:pPr>
      <w:r>
        <w:rPr>
          <w:rFonts w:ascii="黑体" w:hAnsi="黑体" w:eastAsia="黑体"/>
          <w:b/>
          <w:color w:val="000000"/>
          <w:sz w:val="26"/>
        </w:rPr>
        <w:t>1.1 现场种植管理需求</w:t>
      </w:r>
      <w:bookmarkEnd w:id="101"/>
    </w:p>
    <w:p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sz w:val="21"/>
        </w:rPr>
        <w:t>温室和小型种植箱中的水分、光照、温度和二氧化碳浓度会随时间和空间位置发生变化。依赖人工观察时，管理者难以及时获得连续数据，也难以在缺水、光照不足等情况出现时快速采取措施。系统需要将环境感知、远程查看和执行器控制组合成闭环，使现场状态能够被记录、解释并转化为可执行操作。</w:t>
      </w:r>
    </w:p>
    <w:p>
      <w:bookmarkStart w:id="102" w:name="toc_003"/>
      <w:pPr>
        <w:pStyle w:val="Heading3"/>
        <w:jc w:val="left"/>
      </w:pPr>
      <w:r>
        <w:rPr>
          <w:rFonts w:ascii="黑体" w:hAnsi="黑体" w:eastAsia="黑体"/>
          <w:b/>
          <w:color w:val="000000"/>
          <w:sz w:val="22"/>
        </w:rPr>
        <w:t>1.1.1 多源数据的统一表达</w:t>
      </w:r>
      <w:bookmarkEnd w:id="102"/>
    </w:p>
    <w:p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sz w:val="21"/>
        </w:rPr>
        <w:t>不同传感器的接口和原始数据形式不同：土壤湿度需要由ADC读数映射为百分比，光照传感器输出Lux，温度传感器采用单总线读数，二氧化碳模块通过串口帧给出ppm数值。若字段名称、单位和时间语义没有统一约束，云端存储、前端展示和自动分析会产生重复转换和错误解释。因此，系统将温度、湿度、光照和二氧化碳等指标纳入统一领域模型，并将单位随字段命名固定表达。</w:t>
      </w:r>
    </w:p>
    <w:p>
      <w:bookmarkStart w:id="103" w:name="toc_004"/>
      <w:pPr>
        <w:pStyle w:val="Heading2"/>
        <w:jc w:val="left"/>
      </w:pPr>
      <w:r>
        <w:rPr>
          <w:rFonts w:ascii="黑体" w:hAnsi="黑体" w:eastAsia="黑体"/>
          <w:b/>
          <w:color w:val="000000"/>
          <w:sz w:val="26"/>
        </w:rPr>
        <w:t>1.2 系统约束与目标</w:t>
      </w:r>
      <w:bookmarkEnd w:id="103"/>
    </w:p>
    <w:p>
      <w:bookmarkStart w:id="104" w:name="toc_005"/>
      <w:pPr>
        <w:pStyle w:val="Heading3"/>
        <w:jc w:val="left"/>
      </w:pPr>
      <w:r>
        <w:rPr>
          <w:rFonts w:ascii="黑体" w:hAnsi="黑体" w:eastAsia="黑体"/>
          <w:b/>
          <w:color w:val="000000"/>
          <w:sz w:val="22"/>
        </w:rPr>
        <w:t>1.2.1 网络与可靠性约束</w:t>
      </w:r>
      <w:bookmarkEnd w:id="104"/>
    </w:p>
    <w:p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sz w:val="21"/>
        </w:rPr>
        <w:t>现场无线网络可能短时波动，主程序不能因为一次传感器转换或网络重连而长期阻塞。系统需要在主循环中持续维护Wi-Fi和MQTT连接，并使用周期调度完成传感器更新和数据发布。MQTT采用发布/订阅模型，适合设备、云端和可视化端之间的异步解耦通信</w:t>
      </w:r>
      <w:hyperlink w:anchor="ref_1" w:history="1">
        <w:r>
          <w:rPr>
            <w:rFonts w:eastAsia="宋体" w:ascii="宋体" w:hAnsi="宋体"/>
            <w:sz w:val="21"/>
            <w:color w:val="0563C1"/>
            <w:u w:val="single"/>
          </w:rPr>
          <w:t>[1]</w:t>
        </w:r>
      </w:hyperlink>
      <w:r>
        <w:rPr>
          <w:rFonts w:ascii="宋体" w:hAnsi="宋体" w:eastAsia="宋体"/>
          <w:sz w:val="21"/>
        </w:rPr>
        <w:t>。</w:t>
      </w:r>
    </w:p>
    <w:p>
      <w:bookmarkStart w:id="105" w:name="toc_006"/>
      <w:pPr>
        <w:pStyle w:val="Heading3"/>
        <w:jc w:val="left"/>
      </w:pPr>
      <w:r>
        <w:rPr>
          <w:rFonts w:ascii="黑体" w:hAnsi="黑体" w:eastAsia="黑体"/>
          <w:b/>
          <w:color w:val="000000"/>
          <w:sz w:val="22"/>
        </w:rPr>
        <w:t>1.2.2 执行器安全约束</w:t>
      </w:r>
      <w:bookmarkEnd w:id="105"/>
    </w:p>
    <w:p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sz w:val="21"/>
        </w:rPr>
        <w:t>水泵、灯光和云台均会直接影响现场硬件，命令必须有明确的取值范围和失效策略。水泵与补光灯采用PWM输出并限制占空比；云台角度被限制在0至180度。两个SG90舵机由独立稳定的5V电源供电，且与ESP32共地，以降低舵机启动电流对主控供电和通信稳定性的影响。</w:t>
      </w:r>
    </w:p>
    <w:p>
      <w:bookmarkStart w:id="106" w:name="toc_007"/>
      <w:pPr>
        <w:pStyle w:val="Heading2"/>
        <w:jc w:val="left"/>
      </w:pPr>
      <w:r>
        <w:rPr>
          <w:rFonts w:ascii="黑体" w:hAnsi="黑体" w:eastAsia="黑体"/>
          <w:b/>
          <w:color w:val="000000"/>
          <w:sz w:val="26"/>
        </w:rPr>
        <w:t>1.3 设计目标</w:t>
      </w:r>
      <w:bookmarkEnd w:id="106"/>
    </w:p>
    <w:p>
      <w:pPr>
        <w:pStyle w:val="ListBullet"/>
        <w:spacing w:before="0" w:after="40" w:line="240" w:lineRule="auto"/>
        <w:jc w:val="both"/>
      </w:pPr>
      <w:r>
        <w:rPr>
          <w:rFonts w:ascii="宋体" w:hAnsi="宋体" w:eastAsia="宋体"/>
          <w:sz w:val="21"/>
        </w:rPr>
        <w:t>形成可持续采集土壤湿度、光照、温度和二氧化碳浓度的现场数据源。</w:t>
      </w:r>
    </w:p>
    <w:p>
      <w:pPr>
        <w:pStyle w:val="ListBullet"/>
        <w:spacing w:before="0" w:after="40" w:line="240" w:lineRule="auto"/>
        <w:jc w:val="both"/>
      </w:pPr>
      <w:r>
        <w:rPr>
          <w:rFonts w:ascii="宋体" w:hAnsi="宋体" w:eastAsia="宋体"/>
          <w:sz w:val="21"/>
        </w:rPr>
        <w:t>支持经MQTT下发的水泵、补光灯、水平云台和俯仰云台控制。</w:t>
      </w:r>
    </w:p>
    <w:p>
      <w:pPr>
        <w:pStyle w:val="ListBullet"/>
        <w:spacing w:before="0" w:after="40" w:line="240" w:lineRule="auto"/>
        <w:jc w:val="both"/>
      </w:pPr>
      <w:r>
        <w:rPr>
          <w:rFonts w:ascii="宋体" w:hAnsi="宋体" w:eastAsia="宋体"/>
          <w:sz w:val="21"/>
        </w:rPr>
        <w:t>以统一的设备标识、字段、单位和命令状态为云端、前端与嵌入式端提供协同依据。</w:t>
      </w:r>
    </w:p>
    <w:p>
      <w:pPr>
        <w:pStyle w:val="ListBullet"/>
        <w:spacing w:before="0" w:after="40" w:line="240" w:lineRule="auto"/>
        <w:jc w:val="both"/>
      </w:pPr>
      <w:r>
        <w:rPr>
          <w:rFonts w:ascii="宋体" w:hAnsi="宋体" w:eastAsia="宋体"/>
          <w:sz w:val="21"/>
        </w:rPr>
        <w:t>为语音交互、屏幕显示、知识库问答和风险分析预留独立的云端服务接口。</w:t>
      </w:r>
    </w:p>
    <w:p>
      <w:bookmarkStart w:id="107" w:name="toc_008"/>
      <w:pPr>
        <w:pStyle w:val="Heading1"/>
        <w:jc w:val="left"/>
      </w:pPr>
      <w:r>
        <w:rPr>
          <w:rFonts w:ascii="黑体" w:hAnsi="黑体" w:eastAsia="黑体"/>
          <w:b/>
          <w:color w:val="000000"/>
          <w:sz w:val="32"/>
        </w:rPr>
        <w:t>2 特色与创新</w:t>
      </w:r>
      <w:bookmarkEnd w:id="107"/>
    </w:p>
    <w:p>
      <w:bookmarkStart w:id="108" w:name="toc_009"/>
      <w:pPr>
        <w:pStyle w:val="Heading2"/>
        <w:jc w:val="left"/>
      </w:pPr>
      <w:r>
        <w:rPr>
          <w:rFonts w:ascii="黑体" w:hAnsi="黑体" w:eastAsia="黑体"/>
          <w:b/>
          <w:color w:val="000000"/>
          <w:sz w:val="26"/>
        </w:rPr>
        <w:t>2.1 双MCU职责分离</w:t>
      </w:r>
      <w:bookmarkEnd w:id="108"/>
    </w:p>
    <w:p>
      <w:bookmarkStart w:id="109" w:name="toc_010"/>
      <w:pPr>
        <w:pStyle w:val="Heading3"/>
        <w:jc w:val="left"/>
      </w:pPr>
      <w:r>
        <w:rPr>
          <w:rFonts w:ascii="黑体" w:hAnsi="黑体" w:eastAsia="黑体"/>
          <w:b/>
          <w:color w:val="000000"/>
          <w:sz w:val="22"/>
        </w:rPr>
        <w:t>2.1.1 现场节点与交互终端分工</w:t>
      </w:r>
      <w:bookmarkEnd w:id="109"/>
    </w:p>
    <w:p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sz w:val="21"/>
        </w:rPr>
        <w:t>系统不将采集、执行、语音和显示全部堆叠在单一控制器上，而是明确区分两类设备。普通ESP32部署于现场，负责传感器采集、网络上报和水泵、补光灯、云台控制；ESP32-C5被规划为语音与显示终端，负责与云端大模型服务交互并显示结果。该分工减少了实时硬件任务与多媒体交互任务之间的资源竞争，也使硬件扩展更清晰。</w:t>
      </w:r>
    </w:p>
    <w:p>
      <w:bookmarkStart w:id="110" w:name="toc_011"/>
      <w:pPr>
        <w:pStyle w:val="Heading2"/>
        <w:jc w:val="left"/>
      </w:pPr>
      <w:r>
        <w:rPr>
          <w:rFonts w:ascii="黑体" w:hAnsi="黑体" w:eastAsia="黑体"/>
          <w:b/>
          <w:color w:val="000000"/>
          <w:sz w:val="26"/>
        </w:rPr>
        <w:t>2.2 面向联调的数据契约</w:t>
      </w:r>
      <w:bookmarkEnd w:id="110"/>
    </w:p>
    <w:p>
      <w:bookmarkStart w:id="111" w:name="toc_012"/>
      <w:pPr>
        <w:pStyle w:val="Heading3"/>
        <w:jc w:val="left"/>
      </w:pPr>
      <w:r>
        <w:rPr>
          <w:rFonts w:ascii="黑体" w:hAnsi="黑体" w:eastAsia="黑体"/>
          <w:b/>
          <w:color w:val="000000"/>
          <w:sz w:val="22"/>
        </w:rPr>
        <w:t>2.2.1 数据、命令与确认三类消息</w:t>
      </w:r>
      <w:bookmarkEnd w:id="111"/>
    </w:p>
    <w:p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sz w:val="21"/>
        </w:rPr>
        <w:t>系统将遥测、控制命令和执行确认视为三类独立消息。遥测消息描述某一采样时刻的环境快照；命令消息描述目标执行器及期望值；确认消息用于反馈命令是否实际执行。该设计避免仅凭“已发布”就误判硬件已动作，并为云端记录命令生命周期提供基础。</w:t>
      </w:r>
    </w:p>
    <w:p>
      <w:bookmarkStart w:id="112" w:name="toc_013"/>
      <w:pPr>
        <w:pStyle w:val="Heading2"/>
        <w:jc w:val="left"/>
      </w:pPr>
      <w:r>
        <w:rPr>
          <w:rFonts w:ascii="黑体" w:hAnsi="黑体" w:eastAsia="黑体"/>
          <w:b/>
          <w:color w:val="000000"/>
          <w:sz w:val="26"/>
        </w:rPr>
        <w:t>2.3 可视化观察与物理控制结合</w:t>
      </w:r>
      <w:bookmarkEnd w:id="112"/>
    </w:p>
    <w:p>
      <w:bookmarkStart w:id="113" w:name="toc_014"/>
      <w:pPr>
        <w:pStyle w:val="Heading3"/>
        <w:jc w:val="left"/>
      </w:pPr>
      <w:r>
        <w:rPr>
          <w:rFonts w:ascii="黑体" w:hAnsi="黑体" w:eastAsia="黑体"/>
          <w:b/>
          <w:color w:val="000000"/>
          <w:sz w:val="22"/>
        </w:rPr>
        <w:t>2.3.1 二维云台作为扩展执行器</w:t>
      </w:r>
      <w:bookmarkEnd w:id="113"/>
    </w:p>
    <w:p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sz w:val="21"/>
        </w:rPr>
        <w:t>在传统灌溉和补光控制基础上，系统引入二维舵机云台。云台既可以作为摄像头或传感器的指向机构，也可用于后续病害图像采集和远程巡检。当前控制命令在既有JSON格式中增加panAngle和tiltAngle字段，实现水平和俯仰轴的独立更新，避免单轴调整时重置另一轴的位置。</w:t>
      </w:r>
    </w:p>
    <w:p>
      <w:bookmarkStart w:id="114" w:name="toc_015"/>
      <w:pPr>
        <w:pStyle w:val="Heading1"/>
        <w:jc w:val="left"/>
      </w:pPr>
      <w:r>
        <w:rPr>
          <w:rFonts w:ascii="黑体" w:hAnsi="黑体" w:eastAsia="黑体"/>
          <w:b/>
          <w:color w:val="000000"/>
          <w:sz w:val="32"/>
        </w:rPr>
        <w:t>3 功能设计</w:t>
      </w:r>
      <w:bookmarkEnd w:id="114"/>
    </w:p>
    <w:p>
      <w:bookmarkStart w:id="115" w:name="toc_016"/>
      <w:pPr>
        <w:pStyle w:val="Heading2"/>
        <w:jc w:val="left"/>
      </w:pPr>
      <w:r>
        <w:rPr>
          <w:rFonts w:ascii="黑体" w:hAnsi="黑体" w:eastAsia="黑体"/>
          <w:b/>
          <w:color w:val="000000"/>
          <w:sz w:val="26"/>
        </w:rPr>
        <w:t>3.1 环境采集与上报</w:t>
      </w:r>
      <w:bookmarkEnd w:id="115"/>
    </w:p>
    <w:p>
      <w:bookmarkStart w:id="116" w:name="toc_017"/>
      <w:pPr>
        <w:pStyle w:val="Heading3"/>
        <w:jc w:val="left"/>
      </w:pPr>
      <w:r>
        <w:rPr>
          <w:rFonts w:ascii="黑体" w:hAnsi="黑体" w:eastAsia="黑体"/>
          <w:b/>
          <w:color w:val="000000"/>
          <w:sz w:val="22"/>
        </w:rPr>
        <w:t>3.1.1 采集对象与处理方式</w:t>
      </w:r>
      <w:bookmarkEnd w:id="116"/>
    </w:p>
    <w:p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sz w:val="21"/>
        </w:rPr>
        <w:t>现场ESP32周期采集土壤湿度、光照、温度和二氧化碳浓度。土壤湿度模块对ADC采样进行平滑和百分比映射；BH1750通过I2C输出光照强度；DS18B20通过OneWire总线获取温度；JW01模块通过串口帧解析二氧化碳浓度。BH1750能够以数字方式给出环境光照数据，适合作为补光判断和环境分析的输入</w:t>
      </w:r>
      <w:hyperlink w:anchor="ref_2" w:history="1">
        <w:r>
          <w:rPr>
            <w:rFonts w:eastAsia="宋体" w:ascii="宋体" w:hAnsi="宋体"/>
            <w:sz w:val="21"/>
            <w:color w:val="0563C1"/>
            <w:u w:val="single"/>
          </w:rPr>
          <w:t>[2]</w:t>
        </w:r>
      </w:hyperlink>
      <w:r>
        <w:rPr>
          <w:rFonts w:ascii="宋体" w:hAnsi="宋体" w:eastAsia="宋体"/>
          <w:sz w:val="21"/>
        </w:rPr>
        <w:t>；DS18B20提供数字温度测量能力，可在潮湿农业环境中作为温度采集元件</w:t>
      </w:r>
      <w:hyperlink w:anchor="ref_3" w:history="1">
        <w:r>
          <w:rPr>
            <w:rFonts w:eastAsia="宋体" w:ascii="宋体" w:hAnsi="宋体"/>
            <w:sz w:val="21"/>
            <w:color w:val="0563C1"/>
            <w:u w:val="single"/>
          </w:rPr>
          <w:t>[3]</w:t>
        </w:r>
      </w:hyperlink>
      <w:r>
        <w:rPr>
          <w:rFonts w:ascii="宋体" w:hAnsi="宋体" w:eastAsia="宋体"/>
          <w:sz w:val="21"/>
        </w:rPr>
        <w:t>。</w:t>
      </w:r>
    </w:p>
    <w:p>
      <w:bookmarkStart w:id="117" w:name="toc_018"/>
      <w:pPr>
        <w:pStyle w:val="Heading2"/>
        <w:jc w:val="left"/>
      </w:pPr>
      <w:r>
        <w:rPr>
          <w:rFonts w:ascii="黑体" w:hAnsi="黑体" w:eastAsia="黑体"/>
          <w:b/>
          <w:color w:val="000000"/>
          <w:sz w:val="26"/>
        </w:rPr>
        <w:t>3.2 远程控制</w:t>
      </w:r>
      <w:bookmarkEnd w:id="117"/>
    </w:p>
    <w:p>
      <w:bookmarkStart w:id="118" w:name="toc_019"/>
      <w:pPr>
        <w:pStyle w:val="Heading3"/>
        <w:jc w:val="left"/>
      </w:pPr>
      <w:r>
        <w:rPr>
          <w:rFonts w:ascii="黑体" w:hAnsi="黑体" w:eastAsia="黑体"/>
          <w:b/>
          <w:color w:val="000000"/>
          <w:sz w:val="22"/>
        </w:rPr>
        <w:t>3.2.1 水泵与补光灯控制</w:t>
      </w:r>
      <w:bookmarkEnd w:id="118"/>
    </w:p>
    <w:p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sz w:val="21"/>
        </w:rPr>
        <w:t>控制主题为farm/test/control_cmd_888。水泵使用waterDemand字段，取值限定为0至100，映射为GPIO26的PWM占空比。补光灯使用lightDemand字段，取值限定为0至90，映射为GPIO14的高有效PWM输出。旧版温度或加热字段仍可被解析以保持兼容，但不会再占用GPIO14，避免功能语义冲突。</w:t>
      </w:r>
    </w:p>
    <w:p>
      <w:bookmarkStart w:id="119" w:name="toc_020"/>
      <w:pPr>
        <w:pStyle w:val="Heading3"/>
        <w:jc w:val="left"/>
      </w:pPr>
      <w:r>
        <w:rPr>
          <w:rFonts w:ascii="黑体" w:hAnsi="黑体" w:eastAsia="黑体"/>
          <w:b/>
          <w:color w:val="000000"/>
          <w:sz w:val="22"/>
        </w:rPr>
        <w:t>3.2.2 云台控制</w:t>
      </w:r>
      <w:bookmarkEnd w:id="119"/>
    </w:p>
    <w:p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sz w:val="21"/>
        </w:rPr>
        <w:t>云台使用panAngle和tiltAngle两个整数字段，分别控制GPIO27和GPIO13。系统启动时将两个轴置于90度；控制值超出0至180度范围时自动钳位。使用50Hz PWM和500至2500微秒脉宽生成SG90舵机控制信号，满足常见舵机的角度定位方式</w:t>
      </w:r>
      <w:hyperlink w:anchor="ref_4" w:history="1">
        <w:r>
          <w:rPr>
            <w:rFonts w:eastAsia="宋体" w:ascii="宋体" w:hAnsi="宋体"/>
            <w:sz w:val="21"/>
            <w:color w:val="0563C1"/>
            <w:u w:val="single"/>
          </w:rPr>
          <w:t>[4]</w:t>
        </w:r>
      </w:hyperlink>
      <w:r>
        <w:rPr>
          <w:rFonts w:ascii="宋体" w:hAnsi="宋体" w:eastAsia="宋体"/>
          <w:sz w:val="21"/>
        </w:rPr>
        <w:t>。</w:t>
      </w:r>
    </w:p>
    <w:p>
      <w:bookmarkStart w:id="120" w:name="toc_021"/>
      <w:pPr>
        <w:pStyle w:val="Heading2"/>
        <w:jc w:val="left"/>
      </w:pPr>
      <w:r>
        <w:rPr>
          <w:rFonts w:ascii="黑体" w:hAnsi="黑体" w:eastAsia="黑体"/>
          <w:b/>
          <w:color w:val="000000"/>
          <w:sz w:val="26"/>
        </w:rPr>
        <w:t>3.3 云端与前端服务</w:t>
      </w:r>
      <w:bookmarkEnd w:id="120"/>
    </w:p>
    <w:p>
      <w:bookmarkStart w:id="121" w:name="toc_022"/>
      <w:pPr>
        <w:pStyle w:val="Heading3"/>
        <w:jc w:val="left"/>
      </w:pPr>
      <w:r>
        <w:rPr>
          <w:rFonts w:ascii="黑体" w:hAnsi="黑体" w:eastAsia="黑体"/>
          <w:b/>
          <w:color w:val="000000"/>
          <w:sz w:val="22"/>
        </w:rPr>
        <w:t>3.3.1 数据展示和分析接口</w:t>
      </w:r>
      <w:bookmarkEnd w:id="121"/>
    </w:p>
    <w:p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sz w:val="21"/>
        </w:rPr>
        <w:t>云端服务负责接收设备遥测、保存历史数据、维护设备在线状态，并向前端提供最新数据、历史趋势、命令状态、天气、病害识别、知识库和对话服务接口。前端不直接连接设备，而是通过REST接口和实时事件读取云端状态。大模型生成的建议只作为候选操作，必须经用户确认或由明确启用的自动化规则转换为设备命令。</w:t>
      </w:r>
    </w:p>
    <w:p>
      <w:bookmarkStart w:id="122" w:name="toc_023"/>
      <w:pPr>
        <w:pStyle w:val="Heading2"/>
        <w:jc w:val="left"/>
      </w:pPr>
      <w:r>
        <w:rPr>
          <w:rFonts w:ascii="黑体" w:hAnsi="黑体" w:eastAsia="黑体"/>
          <w:b/>
          <w:color w:val="000000"/>
          <w:sz w:val="26"/>
        </w:rPr>
        <w:t>3.4 语音与屏幕交互终端</w:t>
      </w:r>
      <w:bookmarkEnd w:id="122"/>
    </w:p>
    <w:p>
      <w:bookmarkStart w:id="123" w:name="toc_024"/>
      <w:pPr>
        <w:pStyle w:val="Heading3"/>
        <w:jc w:val="left"/>
      </w:pPr>
      <w:r>
        <w:rPr>
          <w:rFonts w:ascii="黑体" w:hAnsi="黑体" w:eastAsia="黑体"/>
          <w:b/>
          <w:color w:val="000000"/>
          <w:sz w:val="22"/>
        </w:rPr>
        <w:t>3.4.1 已完成设计与待联调内容</w:t>
      </w:r>
      <w:bookmarkEnd w:id="123"/>
    </w:p>
    <w:p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sz w:val="21"/>
        </w:rPr>
        <w:t>ESP32-C5终端的职责已在系统架构中明确：采集用户语音请求、调用云端大模型服务并将结果显示在屏幕上。该终端不承担现场传感器发布和执行器驱动。当前仓库尚未提供可核验的C5终端源代码，因此本项为已完成的接口与职责设计，后续需要以实际设备协议、网络鉴权和屏幕驱动联调结果作为验收依据。</w:t>
      </w:r>
    </w:p>
    <w:p>
      <w:bookmarkStart w:id="124" w:name="toc_025"/>
      <w:pPr>
        <w:pStyle w:val="Heading1"/>
        <w:jc w:val="left"/>
      </w:pPr>
      <w:r>
        <w:rPr>
          <w:rFonts w:ascii="黑体" w:hAnsi="黑体" w:eastAsia="黑体"/>
          <w:b/>
          <w:color w:val="000000"/>
          <w:sz w:val="32"/>
        </w:rPr>
        <w:t>4 系统实现</w:t>
      </w:r>
      <w:bookmarkEnd w:id="124"/>
    </w:p>
    <w:p>
      <w:bookmarkStart w:id="125" w:name="toc_026"/>
      <w:pPr>
        <w:pStyle w:val="Heading2"/>
        <w:jc w:val="left"/>
      </w:pPr>
      <w:r>
        <w:rPr>
          <w:rFonts w:ascii="黑体" w:hAnsi="黑体" w:eastAsia="黑体"/>
          <w:b/>
          <w:color w:val="000000"/>
          <w:sz w:val="26"/>
        </w:rPr>
        <w:t>4.1 总体架构</w:t>
      </w:r>
      <w:bookmarkEnd w:id="125"/>
    </w:p>
    <w:p>
      <w:bookmarkStart w:id="126" w:name="toc_027"/>
      <w:pPr>
        <w:pStyle w:val="Heading3"/>
        <w:jc w:val="left"/>
      </w:pPr>
      <w:r>
        <w:rPr>
          <w:rFonts w:ascii="黑体" w:hAnsi="黑体" w:eastAsia="黑体"/>
          <w:b/>
          <w:color w:val="000000"/>
          <w:sz w:val="22"/>
        </w:rPr>
        <w:t>4.1.1 分层实现</w:t>
      </w:r>
      <w:bookmarkEnd w:id="126"/>
    </w:p>
    <w:p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sz w:val="21"/>
        </w:rPr>
        <w:t>系统由感知执行层、网络传输层、云端服务层和交互层组成。感知执行层包括传感器、灯光、水泵、二维云台和现场ESP32；网络传输层使用Wi-Fi、TLS和MQTT；云端服务层负责数据、命令、知识库和模型服务；交互层包括Web仪表盘以及规划中的ESP32-C5语音显示终端。各层只通过明确的数据对象和接口协作，降低组件替换对其他部分的影响。</w:t>
      </w:r>
    </w:p>
    <w:p>
      <w:bookmarkStart w:id="127" w:name="toc_028"/>
      <w:pPr>
        <w:pStyle w:val="Heading3"/>
        <w:jc w:val="left"/>
      </w:pPr>
      <w:r>
        <w:rPr>
          <w:rFonts w:ascii="黑体" w:hAnsi="黑体" w:eastAsia="黑体"/>
          <w:b/>
          <w:color w:val="000000"/>
          <w:sz w:val="22"/>
        </w:rPr>
        <w:t>4.1.2 信息流</w:t>
      </w:r>
      <w:bookmarkEnd w:id="127"/>
    </w:p>
    <w:p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sz w:val="21"/>
        </w:rPr>
        <w:t>数据流方向为“传感器-ESP32-MQTT Broker-云端服务-前端/分析服务”；控制流方向为“用户或自动策略-云端服务-MQTT Broker-ESP32-执行器”。云台与水泵、补光灯同属现场执行器，但云台角度使用独立字段表达。命令到达后，嵌入式端只更新消息中实际给出的字段，从而支持单轴调节和局部控制。</w:t>
      </w:r>
    </w:p>
    <w:p>
      <w:bookmarkStart w:id="128" w:name="toc_029"/>
      <w:pPr>
        <w:pStyle w:val="Heading2"/>
        <w:jc w:val="left"/>
      </w:pPr>
      <w:r>
        <w:rPr>
          <w:rFonts w:ascii="黑体" w:hAnsi="黑体" w:eastAsia="黑体"/>
          <w:b/>
          <w:color w:val="000000"/>
          <w:sz w:val="26"/>
        </w:rPr>
        <w:t>4.2 嵌入式硬件与驱动</w:t>
      </w:r>
      <w:bookmarkEnd w:id="128"/>
    </w:p>
    <w:p>
      <w:bookmarkStart w:id="129" w:name="toc_030"/>
      <w:pPr>
        <w:pStyle w:val="Heading3"/>
        <w:jc w:val="left"/>
      </w:pPr>
      <w:r>
        <w:rPr>
          <w:rFonts w:ascii="黑体" w:hAnsi="黑体" w:eastAsia="黑体"/>
          <w:b/>
          <w:color w:val="000000"/>
          <w:sz w:val="22"/>
        </w:rPr>
        <w:t>4.2.1 GPIO与PWM资源</w:t>
      </w:r>
      <w:bookmarkEnd w:id="129"/>
    </w:p>
    <w:p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sz w:val="21"/>
        </w:rPr>
        <w:t>普通ESP32工程中，GPIO26用于水泵PWM，GPIO14用于补光灯PWM，GPIO27用于云台水平舵机，GPIO13用于云台俯仰舵机。水泵和补光灯采用1kHz、8位分辨率的LEDC通道；两个舵机分别使用50Hz、16位分辨率的LEDC通道。Arduino-ESP32提供LEDC配置、引脚绑定和占空比写入接口，适合该类PWM驱动任务</w:t>
      </w:r>
      <w:hyperlink w:anchor="ref_5" w:history="1">
        <w:r>
          <w:rPr>
            <w:rFonts w:eastAsia="宋体" w:ascii="宋体" w:hAnsi="宋体"/>
            <w:sz w:val="21"/>
            <w:color w:val="0563C1"/>
            <w:u w:val="single"/>
          </w:rPr>
          <w:t>[5]</w:t>
        </w:r>
      </w:hyperlink>
      <w:r>
        <w:rPr>
          <w:rFonts w:ascii="宋体" w:hAnsi="宋体" w:eastAsia="宋体"/>
          <w:sz w:val="21"/>
        </w:rPr>
        <w:t>。</w:t>
      </w:r>
    </w:p>
    <w:p>
      <w:bookmarkStart w:id="130" w:name="toc_031"/>
      <w:pPr>
        <w:pStyle w:val="Heading3"/>
        <w:jc w:val="left"/>
      </w:pPr>
      <w:r>
        <w:rPr>
          <w:rFonts w:ascii="黑体" w:hAnsi="黑体" w:eastAsia="黑体"/>
          <w:b/>
          <w:color w:val="000000"/>
          <w:sz w:val="22"/>
        </w:rPr>
        <w:t>4.2.2 云台驱动模块</w:t>
      </w:r>
      <w:bookmarkEnd w:id="130"/>
    </w:p>
    <w:p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sz w:val="21"/>
        </w:rPr>
        <w:t>工程在lib/PanTilt目录中封装PanTilt类，负责初始化两个LED控制通道、角度范围钳位、脉宽换算和角度状态保存。调用方只需传入目标角度，无需重复处理定时器参数。水平方向和俯仰方向分别维护当前角度，便于串口诊断、后续状态上报和故障定位。</w:t>
      </w:r>
    </w:p>
    <w:p>
      <w:bookmarkStart w:id="131" w:name="toc_032"/>
      <w:pPr>
        <w:pStyle w:val="Heading2"/>
        <w:jc w:val="left"/>
      </w:pPr>
      <w:r>
        <w:rPr>
          <w:rFonts w:ascii="黑体" w:hAnsi="黑体" w:eastAsia="黑体"/>
          <w:b/>
          <w:color w:val="000000"/>
          <w:sz w:val="26"/>
        </w:rPr>
        <w:t>4.3 网络通信与消息处理</w:t>
      </w:r>
      <w:bookmarkEnd w:id="131"/>
    </w:p>
    <w:p>
      <w:bookmarkStart w:id="132" w:name="toc_033"/>
      <w:pPr>
        <w:pStyle w:val="Heading3"/>
        <w:jc w:val="left"/>
      </w:pPr>
      <w:r>
        <w:rPr>
          <w:rFonts w:ascii="黑体" w:hAnsi="黑体" w:eastAsia="黑体"/>
          <w:b/>
          <w:color w:val="000000"/>
          <w:sz w:val="22"/>
        </w:rPr>
        <w:t>4.3.1 MQTT连接与安全</w:t>
      </w:r>
      <w:bookmarkEnd w:id="132"/>
    </w:p>
    <w:p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sz w:val="21"/>
        </w:rPr>
        <w:t>ESP32使用WiFiClientSecure建立TLS连接，并使用PubSubClient订阅控制主题、发布环境数据。通信模块采用非阻塞式重连节奏，主循环仍可继续更新传感器和处理执行器。MQTT标准定义了客户端、服务端、主题和发布订阅等基础交互规则</w:t>
      </w:r>
      <w:hyperlink w:anchor="ref_1" w:history="1">
        <w:r>
          <w:rPr>
            <w:rFonts w:eastAsia="宋体" w:ascii="宋体" w:hAnsi="宋体"/>
            <w:sz w:val="21"/>
            <w:color w:val="0563C1"/>
            <w:u w:val="single"/>
          </w:rPr>
          <w:t>[1]</w:t>
        </w:r>
      </w:hyperlink>
      <w:r>
        <w:rPr>
          <w:rFonts w:ascii="宋体" w:hAnsi="宋体" w:eastAsia="宋体"/>
          <w:sz w:val="21"/>
        </w:rPr>
        <w:t>，本系统在其上使用JSON承载业务字段。</w:t>
      </w:r>
    </w:p>
    <w:p>
      <w:bookmarkStart w:id="133" w:name="toc_034"/>
      <w:pPr>
        <w:pStyle w:val="Heading3"/>
        <w:jc w:val="left"/>
      </w:pPr>
      <w:r>
        <w:rPr>
          <w:rFonts w:ascii="黑体" w:hAnsi="黑体" w:eastAsia="黑体"/>
          <w:b/>
          <w:color w:val="000000"/>
          <w:sz w:val="22"/>
        </w:rPr>
        <w:t>4.3.2 控制报文解析</w:t>
      </w:r>
      <w:bookmarkEnd w:id="133"/>
    </w:p>
    <w:p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sz w:val="21"/>
        </w:rPr>
        <w:t>mqtt_client模块使用ArduinoJson解析控制报文，分别记录waterDemand、lightDemand、panAngle和tiltAngle是否出现。解析成功后，将命令缓存并由主循环调用控制处理函数，避免在网络回调中直接执行耗时动作。现有ESP32上报报文仍保留fieldId、moisture、light、temp、co2和timestamp等历史字段；统一契约已经定义迁移后的规范字段和单位，二者的迁移应在云端联调前完成，不能混用。</w:t>
      </w:r>
    </w:p>
    <w:p>
      <w:bookmarkStart w:id="134" w:name="toc_035"/>
      <w:pPr>
        <w:pStyle w:val="Heading2"/>
        <w:jc w:val="left"/>
      </w:pPr>
      <w:r>
        <w:rPr>
          <w:rFonts w:ascii="黑体" w:hAnsi="黑体" w:eastAsia="黑体"/>
          <w:b/>
          <w:color w:val="000000"/>
          <w:sz w:val="26"/>
        </w:rPr>
        <w:t>4.4 软件工程实现</w:t>
      </w:r>
      <w:bookmarkEnd w:id="134"/>
    </w:p>
    <w:p>
      <w:bookmarkStart w:id="135" w:name="toc_036"/>
      <w:pPr>
        <w:pStyle w:val="Heading3"/>
        <w:jc w:val="left"/>
      </w:pPr>
      <w:r>
        <w:rPr>
          <w:rFonts w:ascii="黑体" w:hAnsi="黑体" w:eastAsia="黑体"/>
          <w:b/>
          <w:color w:val="000000"/>
          <w:sz w:val="22"/>
        </w:rPr>
        <w:t>4.4.1 模块化组织</w:t>
      </w:r>
      <w:bookmarkEnd w:id="135"/>
    </w:p>
    <w:p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sz w:val="21"/>
        </w:rPr>
        <w:t>ESP32工程采用PlatformIO和Arduino框架组织。主程序负责启动顺序和循环调度；wifi模块维护网络连接；mqtt模块负责证书、订阅、发布和回调；各传感器与执行器位于独立lib目录。PlatformIO配置文件固定了esp32dev开发板、依赖库和串口参数，使构建环境可被重复复现。JSON解析由ArduinoJson完成</w:t>
      </w:r>
      <w:hyperlink w:anchor="ref_6" w:history="1">
        <w:r>
          <w:rPr>
            <w:rFonts w:eastAsia="宋体" w:ascii="宋体" w:hAnsi="宋体"/>
            <w:sz w:val="21"/>
            <w:color w:val="0563C1"/>
            <w:u w:val="single"/>
          </w:rPr>
          <w:t>[6]</w:t>
        </w:r>
      </w:hyperlink>
      <w:r>
        <w:rPr>
          <w:rFonts w:ascii="宋体" w:hAnsi="宋体" w:eastAsia="宋体"/>
          <w:sz w:val="21"/>
        </w:rPr>
        <w:t>。</w:t>
      </w:r>
    </w:p>
    <w:p>
      <w:bookmarkStart w:id="136" w:name="toc_037"/>
      <w:pPr>
        <w:pStyle w:val="Heading3"/>
        <w:jc w:val="left"/>
      </w:pPr>
      <w:r>
        <w:rPr>
          <w:rFonts w:ascii="黑体" w:hAnsi="黑体" w:eastAsia="黑体"/>
          <w:b/>
          <w:color w:val="000000"/>
          <w:sz w:val="22"/>
        </w:rPr>
        <w:t>4.4.2 构建验证与边界</w:t>
      </w:r>
      <w:bookmarkEnd w:id="136"/>
    </w:p>
    <w:p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sz w:val="21"/>
        </w:rPr>
        <w:t>当前ESP32工程已执行PlatformIO构建并成功通过，验证了主程序、MQTT控制解析和PanTilt模块在编译链接层面的一致性。该结果不等同于现场功能全部验收：水泵和灯光的高低电平逻辑、舵机机械限位、传感器标定、Broker鉴权及云端接口仍需要在接线完成后逐项验证。</w:t>
      </w:r>
    </w:p>
    <w:p>
      <w:bookmarkStart w:id="137" w:name="toc_038"/>
      <w:pPr>
        <w:pStyle w:val="Heading1"/>
        <w:jc w:val="left"/>
      </w:pPr>
      <w:r>
        <w:rPr>
          <w:rFonts w:ascii="黑体" w:hAnsi="黑体" w:eastAsia="黑体"/>
          <w:b/>
          <w:color w:val="000000"/>
          <w:sz w:val="32"/>
        </w:rPr>
        <w:t>5 其他内容</w:t>
      </w:r>
      <w:bookmarkEnd w:id="137"/>
    </w:p>
    <w:p>
      <w:bookmarkStart w:id="138" w:name="toc_039"/>
      <w:pPr>
        <w:pStyle w:val="Heading2"/>
        <w:jc w:val="left"/>
      </w:pPr>
      <w:r>
        <w:rPr>
          <w:rFonts w:ascii="黑体" w:hAnsi="黑体" w:eastAsia="黑体"/>
          <w:b/>
          <w:color w:val="000000"/>
          <w:sz w:val="26"/>
        </w:rPr>
        <w:t>5.1 安全与可靠性设计</w:t>
      </w:r>
      <w:bookmarkEnd w:id="138"/>
    </w:p>
    <w:p>
      <w:bookmarkStart w:id="139" w:name="toc_040"/>
      <w:pPr>
        <w:pStyle w:val="Heading3"/>
        <w:jc w:val="left"/>
      </w:pPr>
      <w:r>
        <w:rPr>
          <w:rFonts w:ascii="黑体" w:hAnsi="黑体" w:eastAsia="黑体"/>
          <w:b/>
          <w:color w:val="000000"/>
          <w:sz w:val="22"/>
        </w:rPr>
        <w:t>5.1.1 电源与执行器保护</w:t>
      </w:r>
      <w:bookmarkEnd w:id="139"/>
    </w:p>
    <w:p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sz w:val="21"/>
        </w:rPr>
        <w:t>舵机独立5V供电并与控制器共地；水泵和补光灯必须经匹配的驱动模块连接，不能由GPIO直接带载。软件侧通过占空比和角度范围限制减少误操作风险。对于网络侧，应将Wi-Fi密码、MQTT账号和密钥从版本库中排除，部署时使用受保护配置，并在凭据曾被提交或暴露时及时轮换。</w:t>
      </w:r>
    </w:p>
    <w:p>
      <w:bookmarkStart w:id="140" w:name="toc_041"/>
      <w:pPr>
        <w:pStyle w:val="Heading2"/>
        <w:jc w:val="left"/>
      </w:pPr>
      <w:r>
        <w:rPr>
          <w:rFonts w:ascii="黑体" w:hAnsi="黑体" w:eastAsia="黑体"/>
          <w:b/>
          <w:color w:val="000000"/>
          <w:sz w:val="26"/>
        </w:rPr>
        <w:t>5.2 可维护性与扩展性</w:t>
      </w:r>
      <w:bookmarkEnd w:id="140"/>
    </w:p>
    <w:p>
      <w:bookmarkStart w:id="141" w:name="toc_042"/>
      <w:pPr>
        <w:pStyle w:val="Heading3"/>
        <w:jc w:val="left"/>
      </w:pPr>
      <w:r>
        <w:rPr>
          <w:rFonts w:ascii="黑体" w:hAnsi="黑体" w:eastAsia="黑体"/>
          <w:b/>
          <w:color w:val="000000"/>
          <w:sz w:val="22"/>
        </w:rPr>
        <w:t>5.2.1 接口演进策略</w:t>
      </w:r>
      <w:bookmarkEnd w:id="141"/>
    </w:p>
    <w:p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sz w:val="21"/>
        </w:rPr>
        <w:t>系统将设备能力、遥测、命令和确认消息分开定义，新增传感器或执行器时应先声明能力，再新增对应字段和取值范围。命令应保留唯一标识、时效和执行结果，云端只有收到设备确认后才标记为已执行。该策略能够减少前端展示状态与现场真实状态不一致的问题。</w:t>
      </w:r>
    </w:p>
    <w:p>
      <w:bookmarkStart w:id="142" w:name="toc_043"/>
      <w:pPr>
        <w:pStyle w:val="Heading2"/>
        <w:jc w:val="left"/>
      </w:pPr>
      <w:r>
        <w:rPr>
          <w:rFonts w:ascii="黑体" w:hAnsi="黑体" w:eastAsia="黑体"/>
          <w:b/>
          <w:color w:val="000000"/>
          <w:sz w:val="26"/>
        </w:rPr>
        <w:t>5.3 后续工作</w:t>
      </w:r>
      <w:bookmarkEnd w:id="142"/>
    </w:p>
    <w:p>
      <w:bookmarkStart w:id="143" w:name="toc_044"/>
      <w:pPr>
        <w:pStyle w:val="Heading3"/>
        <w:jc w:val="left"/>
      </w:pPr>
      <w:r>
        <w:rPr>
          <w:rFonts w:ascii="黑体" w:hAnsi="黑体" w:eastAsia="黑体"/>
          <w:b/>
          <w:color w:val="000000"/>
          <w:sz w:val="22"/>
        </w:rPr>
        <w:t>5.3.1 联调验收重点</w:t>
      </w:r>
      <w:bookmarkEnd w:id="143"/>
    </w:p>
    <w:p>
      <w:pPr>
        <w:pStyle w:val="ListBullet"/>
        <w:spacing w:before="0" w:after="40" w:line="240" w:lineRule="auto"/>
        <w:jc w:val="both"/>
      </w:pPr>
      <w:r>
        <w:rPr>
          <w:rFonts w:ascii="宋体" w:hAnsi="宋体" w:eastAsia="宋体"/>
          <w:sz w:val="21"/>
        </w:rPr>
        <w:t>完成历史ESP32上报字段向统一遥测契约的迁移，并验证单位与时间戳语义。</w:t>
      </w:r>
    </w:p>
    <w:p>
      <w:pPr>
        <w:pStyle w:val="ListBullet"/>
        <w:spacing w:before="0" w:after="40" w:line="240" w:lineRule="auto"/>
        <w:jc w:val="both"/>
      </w:pPr>
      <w:r>
        <w:rPr>
          <w:rFonts w:ascii="宋体" w:hAnsi="宋体" w:eastAsia="宋体"/>
          <w:sz w:val="21"/>
        </w:rPr>
        <w:t>补齐设备命令确认、重复命令抑制和离线状态发布，形成可追溯的控制闭环。</w:t>
      </w:r>
    </w:p>
    <w:p>
      <w:pPr>
        <w:pStyle w:val="ListBullet"/>
        <w:spacing w:before="0" w:after="40" w:line="240" w:lineRule="auto"/>
        <w:jc w:val="both"/>
      </w:pPr>
      <w:r>
        <w:rPr>
          <w:rFonts w:ascii="宋体" w:hAnsi="宋体" w:eastAsia="宋体"/>
          <w:sz w:val="21"/>
        </w:rPr>
        <w:t>完成ESP32-C5语音、云端大模型和屏幕显示的实机联调，并验证网络故障下的提示与恢复。</w:t>
      </w:r>
    </w:p>
    <w:p>
      <w:pPr>
        <w:pStyle w:val="ListBullet"/>
        <w:spacing w:before="0" w:after="40" w:line="240" w:lineRule="auto"/>
        <w:jc w:val="both"/>
      </w:pPr>
      <w:r>
        <w:rPr>
          <w:rFonts w:ascii="宋体" w:hAnsi="宋体" w:eastAsia="宋体"/>
          <w:sz w:val="21"/>
        </w:rPr>
        <w:t>完成传感器标定、舵机机械限位与水泵、灯具驱动板的现场安全测试。</w:t>
      </w:r>
    </w:p>
    <w:p>
      <w:bookmarkStart w:id="144" w:name="toc_045"/>
      <w:pPr>
        <w:pStyle w:val="Heading1"/>
        <w:pageBreakBefore/>
        <w:jc w:val="left"/>
      </w:pPr>
      <w:r>
        <w:rPr>
          <w:rFonts w:ascii="黑体" w:hAnsi="黑体" w:eastAsia="黑体"/>
          <w:b/>
          <w:color w:val="000000"/>
          <w:sz w:val="32"/>
        </w:rPr>
        <w:t>6 参考文献</w:t>
      </w:r>
      <w:bookmarkEnd w:id="144"/>
    </w:p>
    <w:p>
      <w:bookmarkStart w:id="145" w:name="ref_1"/>
      <w:pPr>
        <w:spacing w:before="0" w:after="60" w:line="240" w:lineRule="auto"/>
        <w:ind w:left="420" w:hanging="420"/>
        <w:jc w:val="left"/>
      </w:pPr>
      <w:r>
        <w:rPr>
          <w:rFonts w:ascii="宋体" w:hAnsi="宋体" w:eastAsia="宋体"/>
          <w:sz w:val="19"/>
        </w:rPr>
        <w:t>[1] OASIS. MQTT Version 3.1.1 Plus Errata 01[EB/OL]. 2015-12-10. https://docs.oasis-open.org/mqtt/mqtt/v3.1.1/errata01/os/mqtt-v3.1.1-errata01-os-complete.html.</w:t>
      </w:r>
      <w:bookmarkEnd w:id="145"/>
    </w:p>
    <w:p>
      <w:bookmarkStart w:id="146" w:name="ref_2"/>
      <w:pPr>
        <w:spacing w:before="0" w:after="60" w:line="240" w:lineRule="auto"/>
        <w:ind w:left="420" w:hanging="420"/>
        <w:jc w:val="left"/>
      </w:pPr>
      <w:r>
        <w:rPr>
          <w:rFonts w:ascii="宋体" w:hAnsi="宋体" w:eastAsia="宋体"/>
          <w:sz w:val="19"/>
        </w:rPr>
        <w:t>[2] ROHM Semiconductor. BH1750FVI: Digital 16bit Serial Output Type Ambient Light Sensor IC[EB/OL]. 2011. https://www.rohm.com/products/sensors-mems/ambient-light-sensors/bh1750fvi-product.</w:t>
      </w:r>
      <w:bookmarkEnd w:id="146"/>
    </w:p>
    <w:p>
      <w:bookmarkStart w:id="147" w:name="ref_3"/>
      <w:pPr>
        <w:spacing w:before="0" w:after="60" w:line="240" w:lineRule="auto"/>
        <w:ind w:left="420" w:hanging="420"/>
        <w:jc w:val="left"/>
      </w:pPr>
      <w:r>
        <w:rPr>
          <w:rFonts w:ascii="宋体" w:hAnsi="宋体" w:eastAsia="宋体"/>
          <w:sz w:val="19"/>
        </w:rPr>
        <w:t>[3] Analog Devices. DS18B20: Programmable Resolution 1-Wire Digital Thermometer[EB/OL]. 2025. https://www.analog.com/en/products/ds18b20.html.</w:t>
      </w:r>
      <w:bookmarkEnd w:id="147"/>
    </w:p>
    <w:p>
      <w:bookmarkStart w:id="148" w:name="ref_4"/>
      <w:pPr>
        <w:spacing w:before="0" w:after="60" w:line="240" w:lineRule="auto"/>
        <w:ind w:left="420" w:hanging="420"/>
        <w:jc w:val="left"/>
      </w:pPr>
      <w:r>
        <w:rPr>
          <w:rFonts w:ascii="宋体" w:hAnsi="宋体" w:eastAsia="宋体"/>
          <w:sz w:val="19"/>
        </w:rPr>
        <w:t>[4] TowerPro. SG90 9g Micro Servo Datasheet[EB/OL]. https://components101.com/sites/default/files/component_datasheet/SG90%20Servo%20Motor%20Datasheet.pdf.</w:t>
      </w:r>
      <w:bookmarkEnd w:id="148"/>
    </w:p>
    <w:p>
      <w:bookmarkStart w:id="149" w:name="ref_5"/>
      <w:pPr>
        <w:spacing w:before="0" w:after="60" w:line="240" w:lineRule="auto"/>
        <w:ind w:left="420" w:hanging="420"/>
        <w:jc w:val="left"/>
      </w:pPr>
      <w:r>
        <w:rPr>
          <w:rFonts w:ascii="宋体" w:hAnsi="宋体" w:eastAsia="宋体"/>
          <w:sz w:val="19"/>
        </w:rPr>
        <w:t>[5] Espressif Systems. Arduino-ESP32 LED Control (LEDC) API[EB/OL]. 2026. https://docs.espressif.com/projects/arduino-esp32/en/latest/api/ledc.html.</w:t>
      </w:r>
      <w:bookmarkEnd w:id="149"/>
    </w:p>
    <w:p>
      <w:bookmarkStart w:id="150" w:name="ref_6"/>
      <w:pPr>
        <w:spacing w:before="0" w:after="60" w:line="240" w:lineRule="auto"/>
        <w:ind w:left="420" w:hanging="420"/>
        <w:jc w:val="left"/>
      </w:pPr>
      <w:r>
        <w:rPr>
          <w:rFonts w:ascii="宋体" w:hAnsi="宋体" w:eastAsia="宋体"/>
          <w:sz w:val="19"/>
        </w:rPr>
        <w:t>[6] Blanchon B. ArduinoJson Documentation[EB/OL]. 2026. https://arduinojson.org/.</w:t>
      </w:r>
      <w:bookmarkEnd w:id="150"/>
    </w:p>
    <w:sectPr w:rsidR="00FC693F" w:rsidRPr="0006063C" w:rsidSect="00034616">
      <w:footerReference w:type="default" r:id="rId9"/>
      <w:pgSz w:w="12240" w:h="15840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6"/>
      </w:rPr>
      <w:t>全国大学生物联网设计竞赛设计文档</w:t>
    </w:r>
    <w:r>
      <w:rPr>
        <w:rFonts w:ascii="宋体" w:hAnsi="宋体" w:eastAsia="宋体"/>
        <w:sz w:val="16"/>
      </w:rPr>
      <w:t xml:space="preserve">  第 </w:t>
    </w:r>
    <w:fldSimple w:instr="PAGE"/>
    <w:r>
      <w:rPr>
        <w:rFonts w:ascii="宋体" w:hAnsi="宋体" w:eastAsia="宋体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SmartAgriBrain智慧农业系统</dc:title>
  <dc:subject>全国大学生物联网设计竞赛设计说明书</dc:subject>
  <dc:creator/>
  <cp:keywords>智慧农业, ESP32, MQTT, 环境监测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