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78"/>
        <w:spacing/>
        <w:ind/>
        <w:rPr/>
      </w:pPr>
      <w:r/>
      <w:r/>
    </w:p>
    <w:p>
      <w:pPr>
        <w:pStyle w:val="678"/>
        <w:spacing/>
        <w:ind/>
        <w:rPr/>
      </w:pPr>
      <w:r/>
      <w:r/>
    </w:p>
    <w:p>
      <w:pPr>
        <w:pStyle w:val="678"/>
        <w:spacing/>
        <w:ind/>
        <w:rPr/>
      </w:pPr>
      <w:r/>
      <w:r/>
    </w:p>
    <w:p>
      <w:pPr>
        <w:pStyle w:val="678"/>
        <w:spacing/>
        <w:ind/>
        <w:jc w:val="center"/>
        <w:rPr/>
      </w:pPr>
      <w:r>
        <w:rPr>
          <w:color w:val="1f3a5f"/>
          <w:sz w:val="28"/>
        </w:rPr>
        <w:t xml:space="preserve">Tecnicatura Superior en Ciencia de Datos</w:t>
        <w:br/>
        <w:t xml:space="preserve">e Inteligencia Artificial</w:t>
      </w:r>
      <w:r/>
    </w:p>
    <w:p>
      <w:pPr>
        <w:pStyle w:val="678"/>
        <w:spacing/>
        <w:ind/>
        <w:rPr/>
      </w:pPr>
      <w:r/>
      <w:r/>
    </w:p>
    <w:p>
      <w:pPr>
        <w:pStyle w:val="678"/>
        <w:spacing/>
        <w:ind/>
        <w:jc w:val="center"/>
        <w:rPr/>
      </w:pPr>
      <w:r>
        <w:rPr>
          <w:color w:val="555555"/>
          <w:sz w:val="26"/>
        </w:rPr>
        <w:t xml:space="preserve">Proyecto Integrador</w:t>
      </w:r>
      <w:r/>
    </w:p>
    <w:p>
      <w:pPr>
        <w:pStyle w:val="678"/>
        <w:spacing/>
        <w:ind/>
        <w:jc w:val="center"/>
        <w:rPr/>
      </w:pPr>
      <w:r>
        <mc:AlternateContent>
          <mc:Choice Requires="wpg">
            <w:drawing>
              <wp:inline xmlns:wp="http://schemas.openxmlformats.org/drawingml/2006/wordprocessingDrawing" distT="0" distB="0" distL="0" distR="0">
                <wp:extent cx="729615" cy="7296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11">
                          <a:alphaModFix amt="60000"/>
                        </a:blip>
                        <a:stretch/>
                      </pic:blipFill>
                      <pic:spPr bwMode="auto">
                        <a:xfrm>
                          <a:off x="0" y="0"/>
                          <a:ext cx="729615" cy="7296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7.45pt;height:57.45pt;mso-wrap-distance-left:0.00pt;mso-wrap-distance-top:0.00pt;mso-wrap-distance-right:0.00pt;mso-wrap-distance-bottom:0.00pt;z-index:1;" stroked="false">
                <v:imagedata r:id="rId11" o:title=""/>
                <o:lock v:ext="edit" rotation="t"/>
              </v:shape>
            </w:pict>
          </mc:Fallback>
        </mc:AlternateContent>
      </w:r>
      <w:r/>
    </w:p>
    <w:p>
      <w:pPr>
        <w:pStyle w:val="678"/>
        <w:spacing/>
        <w:ind/>
        <w:jc w:val="center"/>
        <w:rPr/>
      </w:pPr>
      <w:r>
        <w:rPr>
          <w:b/>
          <w:color w:val="1f3a5f"/>
          <w:sz w:val="52"/>
        </w:rPr>
        <w:t xml:space="preserve">Olist E-Commerce</w:t>
      </w:r>
      <w:r/>
    </w:p>
    <w:p>
      <w:pPr>
        <w:pStyle w:val="678"/>
        <w:spacing/>
        <w:ind/>
        <w:jc w:val="center"/>
        <w:rPr/>
      </w:pPr>
      <w:r>
        <w:rPr>
          <w:color w:val="555555"/>
          <w:sz w:val="28"/>
        </w:rPr>
        <w:t xml:space="preserve">Análisis exploratorio, modelado predictivo</w:t>
        <w:br/>
        <w:t xml:space="preserve">y segmentación del marketplace brasileño</w:t>
      </w:r>
      <w:r/>
    </w:p>
    <w:p>
      <w:pPr>
        <w:pStyle w:val="678"/>
        <w:spacing/>
        <w:ind/>
        <w:rPr/>
      </w:pPr>
      <w:r/>
      <w:r/>
    </w:p>
    <w:p>
      <w:pPr>
        <w:pStyle w:val="678"/>
        <w:spacing/>
        <w:ind/>
        <w:rPr/>
      </w:pPr>
      <w:r/>
      <w:r/>
    </w:p>
    <w:p>
      <w:pPr>
        <w:pStyle w:val="678"/>
        <w:spacing/>
        <w:ind/>
        <w:rPr/>
      </w:pPr>
      <w:r/>
      <w:r/>
    </w:p>
    <w:p>
      <w:pPr>
        <w:pStyle w:val="678"/>
        <w:spacing/>
        <w:ind/>
        <w:rPr/>
      </w:pPr>
      <w:r/>
      <w:r/>
    </w:p>
    <w:p>
      <w:pPr>
        <w:pStyle w:val="678"/>
        <w:spacing/>
        <w:ind/>
        <w:rPr/>
      </w:pPr>
      <w:r/>
      <w:r/>
    </w:p>
    <w:p>
      <w:pPr>
        <w:pStyle w:val="678"/>
        <w:spacing/>
        <w:ind/>
        <w:rPr/>
      </w:pPr>
      <w:r/>
      <w:r/>
    </w:p>
    <w:p>
      <w:pPr>
        <w:pStyle w:val="678"/>
        <w:spacing/>
        <w:ind/>
        <w:jc w:val="center"/>
        <w:rPr>
          <w:rFonts w:ascii="Arial" w:hAnsi="Arial"/>
          <w:color w:val="2b2b2b"/>
          <w:sz w:val="22"/>
          <w:szCs w:val="22"/>
          <w:highlight w:val="none"/>
        </w:rPr>
      </w:pPr>
      <w:r>
        <w:rPr>
          <w:b/>
          <w:color w:val="1f3a5f"/>
          <w:sz w:val="22"/>
        </w:rPr>
        <w:t xml:space="preserve">Alumnos: </w:t>
      </w:r>
      <w:r>
        <w:rPr>
          <w:color w:val="2b2b2b"/>
          <w:sz w:val="22"/>
        </w:rPr>
        <w:t xml:space="preserve">Betsabe Mayra Aldana Sandoval</w:t>
      </w:r>
      <w:r>
        <w:rPr>
          <w:rFonts w:ascii="Arial" w:hAnsi="Arial"/>
          <w:color w:val="2b2b2b"/>
          <w:sz w:val="22"/>
          <w:szCs w:val="22"/>
          <w:highlight w:val="none"/>
        </w:rPr>
      </w:r>
    </w:p>
    <w:p>
      <w:pPr>
        <w:pStyle w:val="678"/>
        <w:spacing/>
        <w:ind/>
        <w:jc w:val="center"/>
        <w:rPr>
          <w:rFonts w:ascii="Arial" w:hAnsi="Arial"/>
          <w:color w:val="2b2b2b"/>
          <w:sz w:val="22"/>
          <w:szCs w:val="22"/>
          <w:highlight w:val="none"/>
        </w:rPr>
      </w:pPr>
      <w:r>
        <w:rPr>
          <w:color w:val="2b2b2b"/>
          <w:sz w:val="22"/>
        </w:rPr>
        <w:t xml:space="preserve">Facundo Ikemiya</w:t>
      </w:r>
      <w:r>
        <w:rPr>
          <w:rFonts w:ascii="Arial" w:hAnsi="Arial"/>
          <w:color w:val="2b2b2b"/>
          <w:sz w:val="22"/>
          <w:szCs w:val="22"/>
          <w:highlight w:val="none"/>
        </w:rPr>
      </w:r>
    </w:p>
    <w:p>
      <w:pPr>
        <w:pStyle w:val="678"/>
        <w:spacing/>
        <w:ind/>
        <w:jc w:val="center"/>
        <w:rPr>
          <w:rFonts w:ascii="Arial" w:hAnsi="Arial"/>
          <w:color w:val="2b2b2b"/>
          <w:sz w:val="22"/>
          <w:szCs w:val="22"/>
          <w:highlight w:val="none"/>
        </w:rPr>
      </w:pPr>
      <w:r>
        <w:rPr>
          <w:color w:val="2b2b2b"/>
          <w:sz w:val="22"/>
        </w:rPr>
        <w:t xml:space="preserve">Nicolas Gold</w:t>
      </w:r>
      <w:r>
        <w:rPr>
          <w:rFonts w:ascii="Arial" w:hAnsi="Arial"/>
          <w:color w:val="2b2b2b"/>
          <w:sz w:val="22"/>
          <w:szCs w:val="22"/>
          <w:highlight w:val="none"/>
        </w:rPr>
      </w:r>
    </w:p>
    <w:p>
      <w:pPr>
        <w:pStyle w:val="678"/>
        <w:spacing/>
        <w:ind/>
        <w:jc w:val="center"/>
        <w:rPr/>
      </w:pPr>
      <w:r>
        <w:rPr>
          <w:color w:val="2b2b2b"/>
          <w:sz w:val="22"/>
        </w:rPr>
        <w:t xml:space="preserve">Natalia Nodar Silva</w:t>
      </w:r>
      <w:r/>
    </w:p>
    <w:p>
      <w:pPr>
        <w:pStyle w:val="678"/>
        <w:spacing/>
        <w:ind/>
        <w:jc w:val="center"/>
        <w:rPr/>
      </w:pPr>
      <w:r>
        <w:rPr>
          <w:b/>
          <w:color w:val="1f3a5f"/>
          <w:sz w:val="22"/>
        </w:rPr>
        <w:t xml:space="preserve">Dataset: </w:t>
      </w:r>
      <w:r>
        <w:rPr>
          <w:color w:val="2b2b2b"/>
          <w:sz w:val="22"/>
        </w:rPr>
        <w:t xml:space="preserve">Brazilian E-Commerce Public Dataset by Olist (Kaggle)</w:t>
      </w:r>
      <w:r/>
    </w:p>
    <w:p>
      <w:pPr>
        <w:pStyle w:val="678"/>
        <w:spacing/>
        <w:ind/>
        <w:jc w:val="center"/>
        <w:rPr/>
      </w:pPr>
      <w:r>
        <w:rPr>
          <w:b/>
          <w:color w:val="1f3a5f"/>
          <w:sz w:val="22"/>
        </w:rPr>
        <w:t xml:space="preserve">Período: </w:t>
      </w:r>
      <w:r>
        <w:rPr>
          <w:color w:val="2b2b2b"/>
          <w:sz w:val="22"/>
        </w:rPr>
        <w:t xml:space="preserve">Septiembre 2016 – Septiembre 2018</w:t>
      </w:r>
      <w:r/>
    </w:p>
    <w:p>
      <w:pPr>
        <w:pStyle w:val="678"/>
        <w:spacing/>
        <w:ind/>
        <w:jc w:val="center"/>
        <w:rPr/>
      </w:pPr>
      <w:r>
        <w:rPr>
          <w:b/>
          <w:color w:val="1f3a5f"/>
          <w:sz w:val="22"/>
        </w:rPr>
        <w:t xml:space="preserve">Fecha: </w:t>
      </w:r>
      <w:r>
        <w:rPr>
          <w:color w:val="2b2b2b"/>
          <w:sz w:val="22"/>
        </w:rPr>
        <w:t xml:space="preserve">Octubre 2026</w:t>
      </w:r>
      <w:r/>
    </w:p>
    <w:p>
      <w:pPr>
        <w:pStyle w:val="678"/>
        <w:spacing/>
        <w:ind/>
        <w:rPr/>
      </w:pPr>
      <w:r/>
      <w:r>
        <w:br w:type="page" w:clear="all"/>
      </w:r>
      <w:r/>
    </w:p>
    <w:p>
      <w:pPr>
        <w:pStyle w:val="767"/>
        <w:spacing w:after="200" w:before="0"/>
        <w:ind/>
        <w:jc w:val="left"/>
        <w:rPr/>
      </w:pPr>
      <w:r>
        <w:t xml:space="preserve">Índice</w:t>
      </w:r>
      <w:r/>
    </w:p>
    <w:sdt>
      <w:sdtPr>
        <w15:appearance w15:val="boundingBox"/>
        <w:docPartObj>
          <w:docPartGallery w:val="Table of Contents"/>
          <w:docPartUnique w:val="true"/>
        </w:docPartObj>
        <w:rPr/>
      </w:sdtPr>
      <w:sdtContent>
        <w:p>
          <w:pPr>
            <w:pStyle w:val="732"/>
            <w:tabs>
              <w:tab w:val="clear" w:leader="none" w:pos="720"/>
              <w:tab w:val="right" w:leader="dot" w:pos="9405"/>
            </w:tabs>
            <w:spacing/>
            <w:ind/>
            <w:rPr/>
          </w:pPr>
          <w:r>
            <w:fldChar w:fldCharType="begin"/>
          </w:r>
          <w:r>
            <w:rPr>
              <w:rStyle w:val="724"/>
            </w:rPr>
            <w:instrText xml:space="preserve"> TOC \z \o "1-3" \u \h</w:instrText>
          </w:r>
          <w:r>
            <w:rPr>
              <w:rStyle w:val="724"/>
            </w:rPr>
            <w:fldChar w:fldCharType="separate"/>
          </w:r>
          <w:hyperlink w:tooltip="#__RefHeading___Toc1479_3125598873" w:anchor="__RefHeading___Toc1479_3125598873" w:history="1">
            <w:r>
              <w:rPr>
                <w:rStyle w:val="724"/>
              </w:rPr>
              <w:t xml:space="preserve">1. Introducción</w:t>
              <w:tab/>
              <w:t xml:space="preserve">4</w:t>
            </w:r>
          </w:hyperlink>
          <w:r/>
          <w:r/>
        </w:p>
        <w:p>
          <w:pPr>
            <w:pStyle w:val="733"/>
            <w:tabs>
              <w:tab w:val="clear" w:leader="none" w:pos="720"/>
              <w:tab w:val="right" w:leader="dot" w:pos="9405"/>
            </w:tabs>
            <w:spacing/>
            <w:ind/>
            <w:rPr/>
          </w:pPr>
          <w:r/>
          <w:hyperlink w:tooltip="#__RefHeading___Toc1481_3125598873" w:anchor="__RefHeading___Toc1481_3125598873" w:history="1">
            <w:r>
              <w:rPr>
                <w:rStyle w:val="724"/>
              </w:rPr>
              <w:t xml:space="preserve">1.1 Contexto y problema de negocio</w:t>
              <w:tab/>
              <w:t xml:space="preserve">4</w:t>
            </w:r>
          </w:hyperlink>
          <w:r/>
          <w:r/>
        </w:p>
        <w:p>
          <w:pPr>
            <w:pStyle w:val="733"/>
            <w:tabs>
              <w:tab w:val="clear" w:leader="none" w:pos="720"/>
              <w:tab w:val="right" w:leader="dot" w:pos="9405"/>
            </w:tabs>
            <w:spacing/>
            <w:ind/>
            <w:rPr/>
          </w:pPr>
          <w:r/>
          <w:hyperlink w:tooltip="#__RefHeading___Toc1483_3125598873" w:anchor="__RefHeading___Toc1483_3125598873" w:history="1">
            <w:r>
              <w:rPr>
                <w:rStyle w:val="724"/>
              </w:rPr>
              <w:t xml:space="preserve">1.2 Objetivos del análisis</w:t>
              <w:tab/>
              <w:t xml:space="preserve">4</w:t>
            </w:r>
          </w:hyperlink>
          <w:r/>
          <w:r/>
        </w:p>
        <w:p>
          <w:pPr>
            <w:pStyle w:val="733"/>
            <w:tabs>
              <w:tab w:val="clear" w:leader="none" w:pos="720"/>
              <w:tab w:val="right" w:leader="dot" w:pos="9405"/>
            </w:tabs>
            <w:spacing/>
            <w:ind/>
            <w:rPr/>
          </w:pPr>
          <w:r/>
          <w:hyperlink w:tooltip="#__RefHeading___Toc1485_3125598873" w:anchor="__RefHeading___Toc1485_3125598873" w:history="1">
            <w:r>
              <w:rPr>
                <w:rStyle w:val="724"/>
              </w:rPr>
              <w:t xml:space="preserve">1.3 Alcance y fuente de datos</w:t>
              <w:tab/>
              <w:t xml:space="preserve">4</w:t>
            </w:r>
          </w:hyperlink>
          <w:r/>
          <w:r/>
        </w:p>
        <w:p>
          <w:pPr>
            <w:pStyle w:val="732"/>
            <w:tabs>
              <w:tab w:val="clear" w:leader="none" w:pos="720"/>
              <w:tab w:val="right" w:leader="dot" w:pos="9405"/>
            </w:tabs>
            <w:spacing/>
            <w:ind/>
            <w:rPr/>
          </w:pPr>
          <w:r/>
          <w:hyperlink w:tooltip="#__RefHeading___Toc1487_3125598873" w:anchor="__RefHeading___Toc1487_3125598873" w:history="1">
            <w:r>
              <w:rPr>
                <w:rStyle w:val="724"/>
              </w:rPr>
              <w:t xml:space="preserve">2. Datos y metodología</w:t>
              <w:tab/>
              <w:t xml:space="preserve">5</w:t>
            </w:r>
          </w:hyperlink>
          <w:r/>
          <w:r/>
        </w:p>
        <w:p>
          <w:pPr>
            <w:pStyle w:val="733"/>
            <w:tabs>
              <w:tab w:val="clear" w:leader="none" w:pos="720"/>
              <w:tab w:val="right" w:leader="dot" w:pos="9405"/>
            </w:tabs>
            <w:spacing/>
            <w:ind/>
            <w:rPr/>
          </w:pPr>
          <w:r/>
          <w:hyperlink w:tooltip="#__RefHeading___Toc1489_3125598873" w:anchor="__RefHeading___Toc1489_3125598873" w:history="1">
            <w:r>
              <w:rPr>
                <w:rStyle w:val="724"/>
              </w:rPr>
              <w:t xml:space="preserve">2.1 Unificación e integración de las nueve tablas</w:t>
              <w:tab/>
              <w:t xml:space="preserve">5</w:t>
            </w:r>
          </w:hyperlink>
          <w:r/>
          <w:r/>
        </w:p>
        <w:p>
          <w:pPr>
            <w:pStyle w:val="733"/>
            <w:tabs>
              <w:tab w:val="clear" w:leader="none" w:pos="720"/>
              <w:tab w:val="right" w:leader="dot" w:pos="9405"/>
            </w:tabs>
            <w:spacing/>
            <w:ind/>
            <w:rPr/>
          </w:pPr>
          <w:r/>
          <w:hyperlink w:tooltip="#__RefHeading___Toc1491_3125598873" w:anchor="__RefHeading___Toc1491_3125598873" w:history="1">
            <w:r>
              <w:rPr>
                <w:rStyle w:val="724"/>
              </w:rPr>
              <w:t xml:space="preserve">2.2 Limpieza</w:t>
              <w:tab/>
              <w:t xml:space="preserve">5</w:t>
            </w:r>
          </w:hyperlink>
          <w:r/>
          <w:r/>
        </w:p>
        <w:p>
          <w:pPr>
            <w:pStyle w:val="733"/>
            <w:tabs>
              <w:tab w:val="clear" w:leader="none" w:pos="720"/>
              <w:tab w:val="right" w:leader="dot" w:pos="9405"/>
            </w:tabs>
            <w:spacing/>
            <w:ind/>
            <w:rPr/>
          </w:pPr>
          <w:r/>
          <w:hyperlink w:tooltip="#__RefHeading___Toc1493_3125598873" w:anchor="__RefHeading___Toc1493_3125598873" w:history="1">
            <w:r>
              <w:rPr>
                <w:rStyle w:val="724"/>
              </w:rPr>
              <w:t xml:space="preserve">2.3 Ingeniería de variables</w:t>
              <w:tab/>
              <w:t xml:space="preserve">5</w:t>
            </w:r>
          </w:hyperlink>
          <w:r/>
          <w:r/>
        </w:p>
        <w:p>
          <w:pPr>
            <w:pStyle w:val="733"/>
            <w:tabs>
              <w:tab w:val="clear" w:leader="none" w:pos="720"/>
              <w:tab w:val="right" w:leader="dot" w:pos="9405"/>
            </w:tabs>
            <w:spacing/>
            <w:ind/>
            <w:rPr/>
          </w:pPr>
          <w:r/>
          <w:hyperlink w:tooltip="#__RefHeading___Toc1495_3125598873" w:anchor="__RefHeading___Toc1495_3125598873" w:history="1">
            <w:r>
              <w:rPr>
                <w:rStyle w:val="724"/>
              </w:rPr>
              <w:t xml:space="preserve">2.4 Herramientas y entorno</w:t>
              <w:tab/>
              <w:t xml:space="preserve">6</w:t>
            </w:r>
          </w:hyperlink>
          <w:r/>
          <w:r/>
        </w:p>
        <w:p>
          <w:pPr>
            <w:pStyle w:val="732"/>
            <w:tabs>
              <w:tab w:val="clear" w:leader="none" w:pos="720"/>
              <w:tab w:val="right" w:leader="dot" w:pos="9405"/>
            </w:tabs>
            <w:spacing/>
            <w:ind/>
            <w:rPr/>
          </w:pPr>
          <w:r/>
          <w:hyperlink w:tooltip="#__RefHeading___Toc1497_3125598873" w:anchor="__RefHeading___Toc1497_3125598873" w:history="1">
            <w:r>
              <w:rPr>
                <w:rStyle w:val="724"/>
              </w:rPr>
              <w:t xml:space="preserve">3. Análisis exploratorio</w:t>
              <w:tab/>
              <w:t xml:space="preserve">6</w:t>
            </w:r>
          </w:hyperlink>
          <w:r/>
          <w:r/>
        </w:p>
        <w:p>
          <w:pPr>
            <w:pStyle w:val="733"/>
            <w:tabs>
              <w:tab w:val="clear" w:leader="none" w:pos="720"/>
              <w:tab w:val="right" w:leader="dot" w:pos="9405"/>
            </w:tabs>
            <w:spacing/>
            <w:ind/>
            <w:rPr/>
          </w:pPr>
          <w:r/>
          <w:hyperlink w:tooltip="#__RefHeading___Toc1499_3125598873" w:anchor="__RefHeading___Toc1499_3125598873" w:history="1">
            <w:r>
              <w:rPr>
                <w:rStyle w:val="724"/>
              </w:rPr>
              <w:t xml:space="preserve">3.1 Evolución y composición del negocio</w:t>
              <w:tab/>
              <w:t xml:space="preserve">6</w:t>
            </w:r>
          </w:hyperlink>
          <w:r/>
          <w:r/>
        </w:p>
        <w:p>
          <w:pPr>
            <w:pStyle w:val="733"/>
            <w:tabs>
              <w:tab w:val="clear" w:leader="none" w:pos="720"/>
              <w:tab w:val="right" w:leader="dot" w:pos="9405"/>
            </w:tabs>
            <w:spacing/>
            <w:ind/>
            <w:rPr/>
          </w:pPr>
          <w:r/>
          <w:hyperlink w:tooltip="#__RefHeading___Toc1501_3125598873" w:anchor="__RefHeading___Toc1501_3125598873" w:history="1">
            <w:r>
              <w:rPr>
                <w:rStyle w:val="724"/>
              </w:rPr>
              <w:t xml:space="preserve">3.2 Logística y satisfacción</w:t>
              <w:tab/>
              <w:t xml:space="preserve">9</w:t>
            </w:r>
          </w:hyperlink>
          <w:r/>
          <w:r/>
        </w:p>
        <w:p>
          <w:pPr>
            <w:pStyle w:val="733"/>
            <w:tabs>
              <w:tab w:val="clear" w:leader="none" w:pos="720"/>
              <w:tab w:val="right" w:leader="dot" w:pos="9405"/>
            </w:tabs>
            <w:spacing/>
            <w:ind/>
            <w:rPr/>
          </w:pPr>
          <w:r/>
          <w:hyperlink w:tooltip="#__RefHeading___Toc1503_3125598873" w:anchor="__RefHeading___Toc1503_3125598873" w:history="1">
            <w:r>
              <w:rPr>
                <w:rStyle w:val="724"/>
              </w:rPr>
              <w:t xml:space="preserve">3.3 Relaciones entre variables numéricas</w:t>
              <w:tab/>
              <w:t xml:space="preserve">10</w:t>
            </w:r>
          </w:hyperlink>
          <w:r/>
          <w:r/>
        </w:p>
        <w:p>
          <w:pPr>
            <w:pStyle w:val="733"/>
            <w:tabs>
              <w:tab w:val="clear" w:leader="none" w:pos="720"/>
              <w:tab w:val="right" w:leader="dot" w:pos="9405"/>
            </w:tabs>
            <w:spacing/>
            <w:ind/>
            <w:rPr/>
          </w:pPr>
          <w:r/>
          <w:hyperlink w:tooltip="#__RefHeading___Toc1505_3125598873" w:anchor="__RefHeading___Toc1505_3125598873" w:history="1">
            <w:r>
              <w:rPr>
                <w:rStyle w:val="724"/>
              </w:rPr>
              <w:t xml:space="preserve">3.4 Dimensión geográfica</w:t>
              <w:tab/>
              <w:t xml:space="preserve">11</w:t>
            </w:r>
          </w:hyperlink>
          <w:r/>
          <w:r/>
        </w:p>
        <w:p>
          <w:pPr>
            <w:pStyle w:val="733"/>
            <w:tabs>
              <w:tab w:val="clear" w:leader="none" w:pos="720"/>
              <w:tab w:val="right" w:leader="dot" w:pos="9405"/>
            </w:tabs>
            <w:spacing/>
            <w:ind/>
            <w:rPr/>
          </w:pPr>
          <w:r/>
          <w:hyperlink w:tooltip="#__RefHeading___Toc1507_3125598873" w:anchor="__RefHeading___Toc1507_3125598873" w:history="1">
            <w:r>
              <w:rPr>
                <w:rStyle w:val="724"/>
              </w:rPr>
              <w:t xml:space="preserve">3.5 Análisis textual de las reseñas</w:t>
              <w:tab/>
              <w:t xml:space="preserve">12</w:t>
            </w:r>
          </w:hyperlink>
          <w:r/>
          <w:r/>
        </w:p>
        <w:p>
          <w:pPr>
            <w:pStyle w:val="733"/>
            <w:tabs>
              <w:tab w:val="clear" w:leader="none" w:pos="720"/>
              <w:tab w:val="right" w:leader="dot" w:pos="9405"/>
            </w:tabs>
            <w:spacing/>
            <w:ind/>
            <w:rPr/>
          </w:pPr>
          <w:r/>
          <w:hyperlink w:tooltip="#__RefHeading___Toc1509_3125598873" w:anchor="__RefHeading___Toc1509_3125598873" w:history="1">
            <w:r>
              <w:rPr>
                <w:rStyle w:val="724"/>
              </w:rPr>
              <w:t xml:space="preserve">3.6 Sentimiento de las reseñas con un modelo multilingüe</w:t>
              <w:tab/>
              <w:t xml:space="preserve">12</w:t>
            </w:r>
          </w:hyperlink>
          <w:r/>
          <w:r/>
        </w:p>
        <w:p>
          <w:pPr>
            <w:pStyle w:val="733"/>
            <w:tabs>
              <w:tab w:val="clear" w:leader="none" w:pos="720"/>
              <w:tab w:val="right" w:leader="dot" w:pos="9405"/>
            </w:tabs>
            <w:spacing/>
            <w:ind/>
            <w:rPr/>
          </w:pPr>
          <w:r/>
          <w:hyperlink w:tooltip="#__RefHeading___Toc1511_3125598873" w:anchor="__RefHeading___Toc1511_3125598873" w:history="1">
            <w:r>
              <w:rPr>
                <w:rStyle w:val="724"/>
              </w:rPr>
              <w:t xml:space="preserve">3.7 Comparación con un clasificador propio (TF-IDF + Regresión Logística)</w:t>
              <w:tab/>
              <w:t xml:space="preserve">13</w:t>
            </w:r>
          </w:hyperlink>
          <w:r/>
          <w:r/>
        </w:p>
        <w:p>
          <w:pPr>
            <w:pStyle w:val="732"/>
            <w:tabs>
              <w:tab w:val="clear" w:leader="none" w:pos="720"/>
              <w:tab w:val="right" w:leader="dot" w:pos="9405"/>
            </w:tabs>
            <w:spacing/>
            <w:ind/>
            <w:rPr/>
          </w:pPr>
          <w:r/>
          <w:hyperlink w:tooltip="#__RefHeading___Toc1513_3125598873" w:anchor="__RefHeading___Toc1513_3125598873" w:history="1">
            <w:r>
              <w:rPr>
                <w:rStyle w:val="724"/>
              </w:rPr>
              <w:t xml:space="preserve">4. Contraste de hipótesis</w:t>
              <w:tab/>
              <w:t xml:space="preserve">15</w:t>
            </w:r>
          </w:hyperlink>
          <w:r/>
          <w:r/>
        </w:p>
        <w:p>
          <w:pPr>
            <w:pStyle w:val="733"/>
            <w:tabs>
              <w:tab w:val="clear" w:leader="none" w:pos="720"/>
              <w:tab w:val="right" w:leader="dot" w:pos="9405"/>
            </w:tabs>
            <w:spacing/>
            <w:ind/>
            <w:rPr/>
          </w:pPr>
          <w:r/>
          <w:hyperlink w:tooltip="#__RefHeading___Toc1515_3125598873" w:anchor="__RefHeading___Toc1515_3125598873" w:history="1">
            <w:r>
              <w:rPr>
                <w:rStyle w:val="724"/>
              </w:rPr>
              <w:t xml:space="preserve">4.1 H1 — La demora reduce la satisfacción</w:t>
              <w:tab/>
              <w:t xml:space="preserve">15</w:t>
            </w:r>
          </w:hyperlink>
          <w:r/>
          <w:r/>
        </w:p>
        <w:p>
          <w:pPr>
            <w:pStyle w:val="733"/>
            <w:tabs>
              <w:tab w:val="clear" w:leader="none" w:pos="720"/>
              <w:tab w:val="right" w:leader="dot" w:pos="9405"/>
            </w:tabs>
            <w:spacing/>
            <w:ind/>
            <w:rPr/>
          </w:pPr>
          <w:r/>
          <w:hyperlink w:tooltip="#__RefHeading___Toc1517_3125598873" w:anchor="__RefHeading___Toc1517_3125598873" w:history="1">
            <w:r>
              <w:rPr>
                <w:rStyle w:val="724"/>
              </w:rPr>
              <w:t xml:space="preserve">4.2 H2 — Las reseñas negativas hablan de demoras</w:t>
              <w:tab/>
              <w:t xml:space="preserve">15</w:t>
            </w:r>
          </w:hyperlink>
          <w:r/>
          <w:r/>
        </w:p>
        <w:p>
          <w:pPr>
            <w:pStyle w:val="733"/>
            <w:tabs>
              <w:tab w:val="clear" w:leader="none" w:pos="720"/>
              <w:tab w:val="right" w:leader="dot" w:pos="9405"/>
            </w:tabs>
            <w:spacing/>
            <w:ind/>
            <w:rPr/>
          </w:pPr>
          <w:r/>
          <w:hyperlink w:tooltip="#__RefHeading___Toc1519_3125598873" w:anchor="__RefHeading___Toc1519_3125598873" w:history="1">
            <w:r>
              <w:rPr>
                <w:rStyle w:val="724"/>
              </w:rPr>
              <w:t xml:space="preserve">4.3 H3 — Fuera del Sudeste, más tiempo y más flete</w:t>
              <w:tab/>
              <w:t xml:space="preserve">15</w:t>
            </w:r>
          </w:hyperlink>
          <w:r/>
          <w:r/>
        </w:p>
        <w:p>
          <w:pPr>
            <w:pStyle w:val="733"/>
            <w:tabs>
              <w:tab w:val="clear" w:leader="none" w:pos="720"/>
              <w:tab w:val="right" w:leader="dot" w:pos="9405"/>
            </w:tabs>
            <w:spacing/>
            <w:ind/>
            <w:rPr/>
          </w:pPr>
          <w:r/>
          <w:hyperlink w:tooltip="#__RefHeading___Toc1521_3125598873" w:anchor="__RefHeading___Toc1521_3125598873" w:history="1">
            <w:r>
              <w:rPr>
                <w:rStyle w:val="724"/>
              </w:rPr>
              <w:t xml:space="preserve">4.4 Hipótesis adicional — Mayor distancia implica mayor tiempo</w:t>
              <w:tab/>
              <w:t xml:space="preserve">16</w:t>
            </w:r>
          </w:hyperlink>
          <w:r/>
          <w:r/>
        </w:p>
        <w:p>
          <w:pPr>
            <w:pStyle w:val="733"/>
            <w:tabs>
              <w:tab w:val="clear" w:leader="none" w:pos="720"/>
              <w:tab w:val="right" w:leader="dot" w:pos="9405"/>
            </w:tabs>
            <w:spacing/>
            <w:ind/>
            <w:rPr/>
          </w:pPr>
          <w:r/>
          <w:hyperlink w:tooltip="#__RefHeading___Toc1523_3125598873" w:anchor="__RefHeading___Toc1523_3125598873" w:history="1">
            <w:r>
              <w:rPr>
                <w:rStyle w:val="724"/>
              </w:rPr>
              <w:t xml:space="preserve">4.5 Resumen de resultados</w:t>
              <w:tab/>
              <w:t xml:space="preserve">16</w:t>
            </w:r>
          </w:hyperlink>
          <w:r/>
          <w:r/>
        </w:p>
        <w:p>
          <w:pPr>
            <w:pStyle w:val="732"/>
            <w:tabs>
              <w:tab w:val="clear" w:leader="none" w:pos="720"/>
              <w:tab w:val="right" w:leader="dot" w:pos="9405"/>
            </w:tabs>
            <w:spacing/>
            <w:ind/>
            <w:rPr/>
          </w:pPr>
          <w:r/>
          <w:hyperlink w:tooltip="#__RefHeading___Toc1525_3125598873" w:anchor="__RefHeading___Toc1525_3125598873" w:history="1">
            <w:r>
              <w:rPr>
                <w:rStyle w:val="724"/>
              </w:rPr>
              <w:t xml:space="preserve">5. Modelado predictivo</w:t>
              <w:tab/>
              <w:t xml:space="preserve">16</w:t>
            </w:r>
          </w:hyperlink>
          <w:r/>
          <w:r/>
        </w:p>
        <w:p>
          <w:pPr>
            <w:pStyle w:val="733"/>
            <w:tabs>
              <w:tab w:val="clear" w:leader="none" w:pos="720"/>
              <w:tab w:val="right" w:leader="dot" w:pos="9405"/>
            </w:tabs>
            <w:spacing/>
            <w:ind/>
            <w:rPr/>
          </w:pPr>
          <w:r/>
          <w:hyperlink w:tooltip="#__RefHeading___Toc1527_3125598873" w:anchor="__RefHeading___Toc1527_3125598873" w:history="1">
            <w:r>
              <w:rPr>
                <w:rStyle w:val="724"/>
              </w:rPr>
              <w:t xml:space="preserve">5.1 Clasificación de la reseña</w:t>
              <w:tab/>
              <w:t xml:space="preserve">16</w:t>
            </w:r>
          </w:hyperlink>
          <w:r/>
          <w:r/>
        </w:p>
        <w:p>
          <w:pPr>
            <w:pStyle w:val="734"/>
            <w:tabs>
              <w:tab w:val="clear" w:leader="none" w:pos="720"/>
              <w:tab w:val="right" w:leader="dot" w:pos="9405"/>
            </w:tabs>
            <w:spacing/>
            <w:ind/>
            <w:rPr/>
          </w:pPr>
          <w:r/>
          <w:hyperlink w:tooltip="#__RefHeading___Toc1529_3125598873" w:anchor="__RefHeading___Toc1529_3125598873" w:history="1">
            <w:r>
              <w:rPr>
                <w:rStyle w:val="724"/>
              </w:rPr>
              <w:t xml:space="preserve">5.1.1 Diseño del problema</w:t>
              <w:tab/>
              <w:t xml:space="preserve">16</w:t>
            </w:r>
          </w:hyperlink>
          <w:r/>
          <w:r/>
        </w:p>
        <w:p>
          <w:pPr>
            <w:pStyle w:val="734"/>
            <w:tabs>
              <w:tab w:val="clear" w:leader="none" w:pos="720"/>
              <w:tab w:val="right" w:leader="dot" w:pos="9405"/>
            </w:tabs>
            <w:spacing/>
            <w:ind/>
            <w:rPr/>
          </w:pPr>
          <w:r/>
          <w:hyperlink w:tooltip="#__RefHeading___Toc1531_3125598873" w:anchor="__RefHeading___Toc1531_3125598873" w:history="1">
            <w:r>
              <w:rPr>
                <w:rStyle w:val="724"/>
              </w:rPr>
              <w:t xml:space="preserve">5.1.2 Separación de datos e historial del vendedor</w:t>
              <w:tab/>
              <w:t xml:space="preserve">17</w:t>
            </w:r>
          </w:hyperlink>
          <w:r/>
          <w:r/>
        </w:p>
        <w:p>
          <w:pPr>
            <w:pStyle w:val="734"/>
            <w:tabs>
              <w:tab w:val="clear" w:leader="none" w:pos="720"/>
              <w:tab w:val="right" w:leader="dot" w:pos="9405"/>
            </w:tabs>
            <w:spacing/>
            <w:ind/>
            <w:rPr/>
          </w:pPr>
          <w:r/>
          <w:hyperlink w:tooltip="#__RefHeading___Toc1533_3125598873" w:anchor="__RefHeading___Toc1533_3125598873" w:history="1">
            <w:r>
              <w:rPr>
                <w:rStyle w:val="724"/>
              </w:rPr>
              <w:t xml:space="preserve">5.1.3 Entrenamiento y evaluación</w:t>
              <w:tab/>
              <w:t xml:space="preserve">17</w:t>
            </w:r>
          </w:hyperlink>
          <w:r/>
          <w:r/>
        </w:p>
        <w:p>
          <w:pPr>
            <w:pStyle w:val="734"/>
            <w:tabs>
              <w:tab w:val="clear" w:leader="none" w:pos="720"/>
              <w:tab w:val="right" w:leader="dot" w:pos="9405"/>
            </w:tabs>
            <w:spacing/>
            <w:ind/>
            <w:rPr/>
          </w:pPr>
          <w:r/>
          <w:hyperlink w:tooltip="#__RefHeading___Toc1535_3125598873" w:anchor="__RefHeading___Toc1535_3125598873" w:history="1">
            <w:r>
              <w:rPr>
                <w:rStyle w:val="724"/>
              </w:rPr>
              <w:t xml:space="preserve">5.1.4 Variables más influyentes</w:t>
              <w:tab/>
              <w:t xml:space="preserve">19</w:t>
            </w:r>
          </w:hyperlink>
          <w:r/>
          <w:r/>
        </w:p>
        <w:p>
          <w:pPr>
            <w:pStyle w:val="734"/>
            <w:tabs>
              <w:tab w:val="clear" w:leader="none" w:pos="720"/>
              <w:tab w:val="right" w:leader="dot" w:pos="9405"/>
            </w:tabs>
            <w:spacing/>
            <w:ind/>
            <w:rPr/>
          </w:pPr>
          <w:r/>
          <w:hyperlink w:tooltip="#__RefHeading___Toc1537_3125598873" w:anchor="__RefHeading___Toc1537_3125598873" w:history="1">
            <w:r>
              <w:rPr>
                <w:rStyle w:val="724"/>
              </w:rPr>
              <w:t xml:space="preserve">5.1.5 Valor operativo del modelo</w:t>
              <w:tab/>
              <w:t xml:space="preserve">19</w:t>
            </w:r>
          </w:hyperlink>
          <w:r/>
          <w:r/>
        </w:p>
        <w:p>
          <w:pPr>
            <w:pStyle w:val="733"/>
            <w:tabs>
              <w:tab w:val="clear" w:leader="none" w:pos="720"/>
              <w:tab w:val="right" w:leader="dot" w:pos="9405"/>
            </w:tabs>
            <w:spacing/>
            <w:ind/>
            <w:rPr/>
          </w:pPr>
          <w:r/>
          <w:hyperlink w:tooltip="#__RefHeading___Toc1539_3125598873" w:anchor="__RefHeading___Toc1539_3125598873" w:history="1">
            <w:r>
              <w:rPr>
                <w:rStyle w:val="724"/>
              </w:rPr>
              <w:t xml:space="preserve">5.2 Segmentación de vendedores</w:t>
              <w:tab/>
              <w:t xml:space="preserve">20</w:t>
            </w:r>
          </w:hyperlink>
          <w:r/>
          <w:r/>
        </w:p>
        <w:p>
          <w:pPr>
            <w:pStyle w:val="734"/>
            <w:tabs>
              <w:tab w:val="clear" w:leader="none" w:pos="720"/>
              <w:tab w:val="right" w:leader="dot" w:pos="9405"/>
            </w:tabs>
            <w:spacing/>
            <w:ind/>
            <w:rPr/>
          </w:pPr>
          <w:r/>
          <w:hyperlink w:tooltip="#__RefHeading___Toc1541_3125598873" w:anchor="__RefHeading___Toc1541_3125598873" w:history="1">
            <w:r>
              <w:rPr>
                <w:rStyle w:val="724"/>
              </w:rPr>
              <w:t xml:space="preserve">5.2.1 Diseño y selección del número de segmentos</w:t>
              <w:tab/>
              <w:t xml:space="preserve">20</w:t>
            </w:r>
          </w:hyperlink>
          <w:r/>
          <w:r/>
        </w:p>
        <w:p>
          <w:pPr>
            <w:pStyle w:val="734"/>
            <w:tabs>
              <w:tab w:val="clear" w:leader="none" w:pos="720"/>
              <w:tab w:val="right" w:leader="dot" w:pos="9405"/>
            </w:tabs>
            <w:spacing/>
            <w:ind/>
            <w:rPr/>
          </w:pPr>
          <w:r/>
          <w:hyperlink w:tooltip="#__RefHeading___Toc1543_3125598873" w:anchor="__RefHeading___Toc1543_3125598873" w:history="1">
            <w:r>
              <w:rPr>
                <w:rStyle w:val="724"/>
              </w:rPr>
              <w:t xml:space="preserve">5.2.2 Perfil de los tres segmentos</w:t>
              <w:tab/>
              <w:t xml:space="preserve">21</w:t>
            </w:r>
          </w:hyperlink>
          <w:r/>
          <w:r/>
        </w:p>
        <w:p>
          <w:pPr>
            <w:pStyle w:val="732"/>
            <w:tabs>
              <w:tab w:val="clear" w:leader="none" w:pos="720"/>
              <w:tab w:val="right" w:leader="dot" w:pos="9405"/>
            </w:tabs>
            <w:spacing/>
            <w:ind/>
            <w:rPr/>
          </w:pPr>
          <w:r/>
          <w:hyperlink w:tooltip="#__RefHeading___Toc1545_3125598873" w:anchor="__RefHeading___Toc1545_3125598873" w:history="1">
            <w:r>
              <w:rPr>
                <w:rStyle w:val="724"/>
              </w:rPr>
              <w:t xml:space="preserve">6. Conclusiones y oportunidades de negocio</w:t>
              <w:tab/>
              <w:t xml:space="preserve">23</w:t>
            </w:r>
          </w:hyperlink>
          <w:r/>
          <w:r/>
        </w:p>
        <w:p>
          <w:pPr>
            <w:pStyle w:val="733"/>
            <w:tabs>
              <w:tab w:val="clear" w:leader="none" w:pos="720"/>
              <w:tab w:val="right" w:leader="dot" w:pos="9405"/>
            </w:tabs>
            <w:spacing/>
            <w:ind/>
            <w:rPr/>
          </w:pPr>
          <w:r/>
          <w:hyperlink w:tooltip="#__RefHeading___Toc1547_3125598873" w:anchor="__RefHeading___Toc1547_3125598873" w:history="1">
            <w:r>
              <w:rPr>
                <w:rStyle w:val="724"/>
              </w:rPr>
              <w:t xml:space="preserve">6.1 La logística es el problema central de la experiencia</w:t>
              <w:tab/>
              <w:t xml:space="preserve">23</w:t>
            </w:r>
          </w:hyperlink>
          <w:r/>
          <w:r/>
        </w:p>
        <w:p>
          <w:pPr>
            <w:pStyle w:val="733"/>
            <w:tabs>
              <w:tab w:val="clear" w:leader="none" w:pos="720"/>
              <w:tab w:val="right" w:leader="dot" w:pos="9405"/>
            </w:tabs>
            <w:spacing/>
            <w:ind/>
            <w:rPr/>
          </w:pPr>
          <w:r/>
          <w:hyperlink w:tooltip="#__RefHeading___Toc1549_3125598873" w:anchor="__RefHeading___Toc1549_3125598873" w:history="1">
            <w:r>
              <w:rPr>
                <w:rStyle w:val="724"/>
              </w:rPr>
              <w:t xml:space="preserve">6.2 La brecha geográfica es real y costosa</w:t>
              <w:tab/>
              <w:t xml:space="preserve">23</w:t>
            </w:r>
          </w:hyperlink>
          <w:r/>
          <w:r/>
        </w:p>
        <w:p>
          <w:pPr>
            <w:pStyle w:val="733"/>
            <w:tabs>
              <w:tab w:val="clear" w:leader="none" w:pos="720"/>
              <w:tab w:val="right" w:leader="dot" w:pos="9405"/>
            </w:tabs>
            <w:spacing/>
            <w:ind/>
            <w:rPr/>
          </w:pPr>
          <w:r/>
          <w:hyperlink w:tooltip="#__RefHeading___Toc1551_3125598873" w:anchor="__RefHeading___Toc1551_3125598873" w:history="1">
            <w:r>
              <w:rPr>
                <w:rStyle w:val="724"/>
              </w:rPr>
              <w:t xml:space="preserve">6.3 Se puede anticipar una mala reseña antes de la entrega</w:t>
              <w:tab/>
              <w:t xml:space="preserve">23</w:t>
            </w:r>
          </w:hyperlink>
          <w:r/>
          <w:r/>
        </w:p>
        <w:p>
          <w:pPr>
            <w:pStyle w:val="733"/>
            <w:tabs>
              <w:tab w:val="clear" w:leader="none" w:pos="720"/>
              <w:tab w:val="right" w:leader="dot" w:pos="9405"/>
            </w:tabs>
            <w:spacing/>
            <w:ind/>
            <w:rPr/>
          </w:pPr>
          <w:r/>
          <w:hyperlink w:tooltip="#__RefHeading___Toc1553_3125598873" w:anchor="__RefHeading___Toc1553_3125598873" w:history="1">
            <w:r>
              <w:rPr>
                <w:rStyle w:val="724"/>
              </w:rPr>
              <w:t xml:space="preserve">6.4 Los vendedores no son homogéneos</w:t>
              <w:tab/>
              <w:t xml:space="preserve">23</w:t>
            </w:r>
          </w:hyperlink>
          <w:r/>
          <w:r/>
        </w:p>
        <w:p>
          <w:pPr>
            <w:pStyle w:val="733"/>
            <w:tabs>
              <w:tab w:val="clear" w:leader="none" w:pos="720"/>
              <w:tab w:val="right" w:leader="dot" w:pos="9405"/>
            </w:tabs>
            <w:spacing/>
            <w:ind/>
            <w:rPr/>
          </w:pPr>
          <w:r/>
          <w:hyperlink w:tooltip="#__RefHeading___Toc1555_3125598873" w:anchor="__RefHeading___Toc1555_3125598873" w:history="1">
            <w:r>
              <w:rPr>
                <w:rStyle w:val="724"/>
              </w:rPr>
              <w:t xml:space="preserve">6.5 El negocio se apoya en un grupo de categorías de precio medio</w:t>
              <w:tab/>
              <w:t xml:space="preserve">24</w:t>
            </w:r>
          </w:hyperlink>
          <w:r/>
          <w:r/>
        </w:p>
        <w:p>
          <w:pPr>
            <w:pStyle w:val="733"/>
            <w:tabs>
              <w:tab w:val="clear" w:leader="none" w:pos="720"/>
              <w:tab w:val="right" w:leader="dot" w:pos="9405"/>
            </w:tabs>
            <w:spacing/>
            <w:ind/>
            <w:rPr/>
          </w:pPr>
          <w:r/>
          <w:hyperlink w:tooltip="#__RefHeading___Toc1557_3125598873" w:anchor="__RefHeading___Toc1557_3125598873" w:history="1">
            <w:r>
              <w:rPr>
                <w:rStyle w:val="724"/>
              </w:rPr>
              <w:t xml:space="preserve">6.6 Los comentarios se entienden mejor con un modelo propio</w:t>
              <w:tab/>
              <w:t xml:space="preserve">24</w:t>
            </w:r>
          </w:hyperlink>
          <w:r/>
          <w:r/>
        </w:p>
        <w:p>
          <w:pPr>
            <w:pStyle w:val="732"/>
            <w:tabs>
              <w:tab w:val="clear" w:leader="none" w:pos="720"/>
              <w:tab w:val="right" w:leader="dot" w:pos="9405"/>
            </w:tabs>
            <w:spacing/>
            <w:ind/>
            <w:rPr/>
          </w:pPr>
          <w:r/>
          <w:hyperlink w:tooltip="#__RefHeading___Toc1559_3125598873" w:anchor="__RefHeading___Toc1559_3125598873" w:history="1">
            <w:r>
              <w:rPr>
                <w:rStyle w:val="724"/>
              </w:rPr>
              <w:t xml:space="preserve">7. Trabajo futuro</w:t>
              <w:tab/>
              <w:t xml:space="preserve">24</w:t>
            </w:r>
          </w:hyperlink>
          <w:r/>
          <w:r/>
        </w:p>
        <w:p>
          <w:pPr>
            <w:pStyle w:val="732"/>
            <w:tabs>
              <w:tab w:val="clear" w:leader="none" w:pos="720"/>
              <w:tab w:val="right" w:leader="dot" w:pos="9405"/>
            </w:tabs>
            <w:spacing/>
            <w:ind/>
            <w:rPr/>
          </w:pPr>
          <w:r/>
          <w:hyperlink w:tooltip="#__RefHeading___Toc1561_3125598873" w:anchor="__RefHeading___Toc1561_3125598873" w:history="1">
            <w:r>
              <w:rPr>
                <w:rStyle w:val="724"/>
              </w:rPr>
              <w:t xml:space="preserve">8. Limitaciones</w:t>
              <w:tab/>
              <w:t xml:space="preserve">25</w:t>
            </w:r>
          </w:hyperlink>
          <w:r/>
          <w:r/>
        </w:p>
        <w:p>
          <w:pPr>
            <w:pStyle w:val="732"/>
            <w:tabs>
              <w:tab w:val="clear" w:leader="none" w:pos="720"/>
              <w:tab w:val="right" w:leader="dot" w:pos="9405"/>
            </w:tabs>
            <w:spacing/>
            <w:ind/>
            <w:rPr/>
          </w:pPr>
          <w:r/>
          <w:hyperlink w:tooltip="#__RefHeading___Toc1563_3125598873" w:anchor="__RefHeading___Toc1563_3125598873" w:history="1">
            <w:r>
              <w:rPr>
                <w:rStyle w:val="724"/>
              </w:rPr>
              <w:t xml:space="preserve">9. Glosario</w:t>
              <w:tab/>
              <w:t xml:space="preserve">25</w:t>
            </w:r>
          </w:hyperlink>
          <w:r/>
          <w:r/>
        </w:p>
        <w:p>
          <w:pPr>
            <w:pStyle w:val="732"/>
            <w:tabs>
              <w:tab w:val="clear" w:leader="none" w:pos="720"/>
              <w:tab w:val="right" w:leader="dot" w:pos="9405"/>
            </w:tabs>
            <w:spacing/>
            <w:ind/>
            <w:rPr/>
          </w:pPr>
          <w:r/>
          <w:hyperlink w:tooltip="#__RefHeading___Toc1565_3125598873" w:anchor="__RefHeading___Toc1565_3125598873" w:history="1">
            <w:r>
              <w:rPr>
                <w:rStyle w:val="724"/>
              </w:rPr>
              <w:t xml:space="preserve">10. Reproducibilidad</w:t>
              <w:tab/>
              <w:t xml:space="preserve">26</w:t>
            </w:r>
          </w:hyperlink>
          <w:r>
            <w:rPr>
              <w:rStyle w:val="724"/>
            </w:rPr>
            <w:fldChar w:fldCharType="end"/>
          </w:r>
          <w:r/>
        </w:p>
      </w:sdtContent>
    </w:sdt>
    <w:p>
      <w:pPr>
        <w:pStyle w:val="678"/>
        <w:widowControl w:val="true"/>
        <w:bidi w:val="false"/>
        <w:spacing w:after="160" w:before="0" w:line="276" w:lineRule="auto"/>
        <w:ind/>
        <w:jc w:val="left"/>
        <w:rPr>
          <w:rFonts w:ascii="Arial" w:hAnsi="Arial"/>
          <w:color w:val="2b2b2b"/>
          <w:sz w:val="22"/>
        </w:rPr>
      </w:pPr>
      <w:r>
        <w:rPr>
          <w:color w:val="2b2b2b"/>
          <w:sz w:val="22"/>
        </w:rPr>
      </w:r>
      <w:r>
        <w:br w:type="page" w:clear="all"/>
      </w:r>
      <w:r>
        <w:rPr>
          <w:rFonts w:ascii="Arial" w:hAnsi="Arial"/>
          <w:color w:val="2b2b2b"/>
          <w:sz w:val="22"/>
        </w:rPr>
      </w:r>
    </w:p>
    <w:p>
      <w:pPr>
        <w:pStyle w:val="679"/>
        <w:spacing w:after="120" w:before="0"/>
        <w:ind/>
        <w:rPr/>
      </w:pPr>
      <w:r/>
      <w:bookmarkStart w:id="0" w:name="__RefHeading___Toc1479_3125598873"/>
      <w:r/>
      <w:bookmarkEnd w:id="0"/>
      <w:r>
        <w:t xml:space="preserve">1. Introducción</w:t>
      </w:r>
      <w:r/>
    </w:p>
    <w:p>
      <w:pPr>
        <w:pStyle w:val="680"/>
        <w:spacing/>
        <w:ind/>
        <w:rPr/>
      </w:pPr>
      <w:r/>
      <w:bookmarkStart w:id="1" w:name="__RefHeading___Toc1481_3125598873"/>
      <w:r/>
      <w:bookmarkEnd w:id="1"/>
      <w:r>
        <w:t xml:space="preserve">1.1 Contexto y problema de negocio</w:t>
      </w:r>
      <w:r/>
    </w:p>
    <w:p>
      <w:pPr>
        <w:pStyle w:val="678"/>
        <w:spacing/>
        <w:ind/>
        <w:rPr/>
      </w:pPr>
      <w:r>
        <w:t xml:space="preserve">Olist es un marketplace brasileño que conecta a miles de pequeños y medianos comercios con compradores de todo el país, coordinando la publicación, la venta y el envío de los productos a través de una plataforma integrada. A diferencia de </w:t>
      </w:r>
      <w:r>
        <w:t xml:space="preserve">los modelos de comercio electrónico tradicional, en los que un único vendedor gestiona su propia logística, en Olist coexisten miles de vendedores con capacidades operativas muy dispares, lo que genera una fuerte heterogeneidad en la experiencia de compra.</w:t>
      </w:r>
      <w:r/>
    </w:p>
    <w:p>
      <w:pPr>
        <w:pStyle w:val="678"/>
        <w:spacing/>
        <w:ind/>
        <w:rPr/>
      </w:pPr>
      <w:r>
        <w:t xml:space="preserve">En este escenario, la satisfacción del cliente —medida a través de las reseñas que deja después de recibir el producto— se conv</w:t>
      </w:r>
      <w:r>
        <w:t xml:space="preserve">ierte en la métrica central del negocio: un marketplace cuya reputación cae pierde compradores y, con ellos, vendedores. Comprender qué factores explican las reseñas negativas y dónde se concentran los problemas es, por lo tanto, una necesidad estratégica.</w:t>
      </w:r>
      <w:r/>
    </w:p>
    <w:p>
      <w:pPr>
        <w:pStyle w:val="680"/>
        <w:spacing/>
        <w:ind/>
        <w:rPr/>
      </w:pPr>
      <w:r/>
      <w:bookmarkStart w:id="2" w:name="__RefHeading___Toc1483_3125598873"/>
      <w:r/>
      <w:bookmarkEnd w:id="2"/>
      <w:r>
        <w:t xml:space="preserve">1.2 Objetivos del análisis</w:t>
      </w:r>
      <w:r/>
    </w:p>
    <w:p>
      <w:pPr>
        <w:pStyle w:val="678"/>
        <w:spacing/>
        <w:ind/>
        <w:rPr/>
      </w:pPr>
      <w:r>
        <w:t xml:space="preserve">El presente trabajo se propone tres objetivos principales. En primer lugar, explorar y descr</w:t>
      </w:r>
      <w:r>
        <w:t xml:space="preserve">ibir el comportamiento del marketplace a partir de los datos públicos de Olist, con foco en la relación entre logística, geografía y satisfacción del cliente. En segundo lugar, contrastar formalmente cuatro hipótesis de negocio mediante tests estadísticos </w:t>
      </w:r>
      <w:r>
        <w:t xml:space="preserve">no paramétricos. En tercer lugar, construir dos modelos analíticos: un clasificador que anticipe si una compra terminará en reseña negativa usando solamente información disponible al momento de la compra, y una segmentación de vendedores que permita identi</w:t>
      </w:r>
      <w:r>
        <w:t xml:space="preserve">ficar grupos de riesgo prioritario. Como complemento, se incorporó procesamiento de lenguaje natural sobre los comentarios de las reseñas: análisis de vocabulario, medición de sentimiento con un modelo preentrenado y comparación con un clasificador propio.</w:t>
      </w:r>
      <w:r/>
    </w:p>
    <w:p>
      <w:pPr>
        <w:pStyle w:val="678"/>
        <w:spacing/>
        <w:ind/>
        <w:rPr/>
      </w:pPr>
      <w:r>
        <w:t xml:space="preserve">Adicionalmente, se desarrolló un dashboard interactivo en Streamlit que presenta los resultados del análisis, incluye una pestaña dedicada a los comentarios de los clientes y permite predecir el riesgo de una compra nueva sin reentrenar el modelo.</w:t>
      </w:r>
      <w:r/>
    </w:p>
    <w:p>
      <w:pPr>
        <w:pStyle w:val="680"/>
        <w:spacing/>
        <w:ind/>
        <w:rPr/>
      </w:pPr>
      <w:r/>
      <w:bookmarkStart w:id="3" w:name="__RefHeading___Toc1485_3125598873"/>
      <w:r/>
      <w:bookmarkEnd w:id="3"/>
      <w:r>
        <w:t xml:space="preserve">1.3 Alcance y fuente de datos</w:t>
      </w:r>
      <w:r/>
    </w:p>
    <w:p>
      <w:pPr>
        <w:pStyle w:val="678"/>
        <w:spacing/>
        <w:ind/>
        <w:rPr/>
      </w:pPr>
      <w:r>
        <w:t xml:space="preserve">El análisis se basa en el dataset público «Brazilian E-Commerce Public Dataset by Olist», disponible en Kaggle. El dataset contiene informaci</w:t>
      </w:r>
      <w:r>
        <w:t xml:space="preserve">ón de aproximadamente 100.000 pedidos realizados entre septiembre de 2016 y septiembre de 2018, distribuida en nueve tablas relacionales que cubren pedidos, ítems, pagos, reseñas, clientes, productos, vendedores, geolocalización y traducción de categorías.</w:t>
      </w:r>
      <w:r/>
    </w:p>
    <w:p>
      <w:pPr>
        <w:pStyle w:val="678"/>
        <w:spacing/>
        <w:ind/>
        <w:rPr/>
      </w:pPr>
      <w:r>
        <w:t xml:space="preserve">Todos los datos son anónimos; los identificadores de clientes y vendedores están encriptados y las coordenadas geográficas se refieren al centroide del código postal, no a direcciones reales.</w:t>
      </w:r>
      <w:r/>
    </w:p>
    <w:p>
      <w:pPr>
        <w:pStyle w:val="679"/>
        <w:spacing/>
        <w:ind/>
        <w:rPr/>
      </w:pPr>
      <w:r/>
      <w:bookmarkStart w:id="4" w:name="__RefHeading___Toc1487_3125598873"/>
      <w:r/>
      <w:bookmarkEnd w:id="4"/>
      <w:r>
        <w:t xml:space="preserve">2. Datos y metodología</w:t>
      </w:r>
      <w:r/>
    </w:p>
    <w:p>
      <w:pPr>
        <w:pStyle w:val="678"/>
        <w:spacing/>
        <w:ind/>
        <w:rPr/>
      </w:pPr>
      <w:r>
        <w:t xml:space="preserve">El proyecto se organi</w:t>
      </w:r>
      <w:r>
        <w:t xml:space="preserve">za como un pipeline reproducible de notebooks Jupyter numerados del 00 al 11. Cada notebook consume el artefacto que generó el anterior y documenta, antes de cada bloque de código, qué se hace y para qué. A continuación se describe cada etapa del pipeline.</w:t>
      </w:r>
      <w:r/>
    </w:p>
    <w:p>
      <w:pPr>
        <w:pStyle w:val="680"/>
        <w:spacing/>
        <w:ind/>
        <w:rPr/>
      </w:pPr>
      <w:r/>
      <w:bookmarkStart w:id="5" w:name="__RefHeading___Toc1489_3125598873"/>
      <w:r/>
      <w:bookmarkEnd w:id="5"/>
      <w:r>
        <w:t xml:space="preserve">2.1 Unificación e integración de las nueve tablas</w:t>
      </w:r>
      <w:r/>
    </w:p>
    <w:p>
      <w:pPr>
        <w:pStyle w:val="678"/>
        <w:spacing/>
        <w:ind/>
        <w:rPr/>
      </w:pPr>
      <w:r>
        <w:t xml:space="preserve">Las</w:t>
      </w:r>
      <w:r>
        <w:t xml:space="preserve"> nueve tablas originales se integran en un único dataset con granularidad de ítem de pedido (cada fila representa un producto dentro de un pedido), mediante una cadena de left joins sobre la tabla de ítems. Para evitar la duplicación de filas, las tablas d</w:t>
      </w:r>
      <w:r>
        <w:t xml:space="preserve">e pagos y reseñas se agregan previamente a nivel de pedido: los pagos se resumen en el monto total (suma), las cuotas máximas y el medio de pago principal (moda); las reseñas se reducen a la última reseña por pedido, conservando el puntaje y el comentario.</w:t>
      </w:r>
      <w:r/>
    </w:p>
    <w:p>
      <w:pPr>
        <w:pStyle w:val="678"/>
        <w:spacing/>
        <w:ind/>
        <w:rPr/>
      </w:pPr>
      <w:r>
        <w:t xml:space="preserve">La geolocalización se incorpora promediando las coordenadas por</w:t>
      </w:r>
      <w:r>
        <w:t xml:space="preserve"> código postal y uniendo el resultado dos veces: una como latitud y longitud del cliente y otra como latitud y longitud del vendedor. El dataset unificado resulta en 112.650 filas y 39 columnas, con la combinación order_id + order_item_id como clave única.</w:t>
      </w:r>
      <w:r/>
    </w:p>
    <w:p>
      <w:pPr>
        <w:pStyle w:val="680"/>
        <w:spacing/>
        <w:ind/>
        <w:rPr/>
      </w:pPr>
      <w:r/>
      <w:bookmarkStart w:id="6" w:name="__RefHeading___Toc1491_3125598873"/>
      <w:r/>
      <w:bookmarkEnd w:id="6"/>
      <w:r>
        <w:t xml:space="preserve">2.2 Limpieza</w:t>
      </w:r>
      <w:r/>
    </w:p>
    <w:p>
      <w:pPr>
        <w:pStyle w:val="678"/>
        <w:spacing/>
        <w:ind/>
        <w:rPr/>
      </w:pPr>
      <w:r>
        <w:t xml:space="preserve">El proceso de limpieza sigue un principio conservador: no se inventan ni se borran datos. Se verificó la ausencia de duplicados exactos (ninguno encontrado). Se conv</w:t>
      </w:r>
      <w:r>
        <w:t xml:space="preserve">irtieron las seis columnas de fecha a formato datetime. Se reemplazaron las categorías de producto faltantes (1.627 registros) por la etiqueta «sin categoría». Se creó la variable tiene_comentario para marcar los ítems cuya reseña incluye texto escrito (el</w:t>
      </w:r>
      <w:r>
        <w:t xml:space="preserve"> 42,1 % del total). Se anularon las coordenadas geográficas fuera del rango válido de Brasil (9 del lado del cliente), conservando las filas afectadas. Se calculó la cantidad de ítems por pedido y se eliminaron siete columnas redundantes o ya consolidadas.</w:t>
      </w:r>
      <w:r/>
    </w:p>
    <w:p>
      <w:pPr>
        <w:pStyle w:val="678"/>
        <w:spacing/>
        <w:ind/>
        <w:rPr/>
      </w:pPr>
      <w:r>
        <w:t xml:space="preserve">El dataset limpio resultante contiene 112.650 filas y 34 columnas, y se guarda como artefacto intermedio del pipeline.</w:t>
      </w:r>
      <w:r/>
    </w:p>
    <w:p>
      <w:pPr>
        <w:pStyle w:val="680"/>
        <w:spacing/>
        <w:ind/>
        <w:rPr/>
      </w:pPr>
      <w:r/>
      <w:bookmarkStart w:id="7" w:name="__RefHeading___Toc1493_3125598873"/>
      <w:r/>
      <w:bookmarkEnd w:id="7"/>
      <w:r>
        <w:t xml:space="preserve">2.3 Ingeniería de variables</w:t>
      </w:r>
      <w:r/>
    </w:p>
    <w:p>
      <w:pPr>
        <w:pStyle w:val="678"/>
        <w:spacing/>
        <w:ind/>
        <w:rPr/>
      </w:pPr>
      <w:r>
        <w:t xml:space="preserve">Sobre el dataset limpio se construyen nueve variables nuevas, diseñadas para habilitar tanto el análisis exploratorio como el modelado:</w:t>
      </w:r>
      <w:r/>
    </w:p>
    <w:tbl>
      <w:tblPr>
        <w:tblStyle w:val="895"/>
        <w:jc w:val="center"/>
        <w:tblInd w:w="0" w:type="dxa"/>
        <w:tblW w:w="9406" w:type="dxa"/>
        <w:tblCellMar>
          <w:left w:w="108" w:type="dxa"/>
          <w:top w:w="0" w:type="dxa"/>
          <w:right w:w="108" w:type="dxa"/>
          <w:bottom w:w="0" w:type="dxa"/>
        </w:tblCellMar>
        <w:tblBorders/>
        <w:tblLayout w:type="fixed"/>
        <w:tblLook w:val="04A0" w:firstRow="1" w:lastRow="0" w:firstColumn="1" w:lastColumn="0" w:noHBand="0" w:noVBand="1"/>
      </w:tblPr>
      <w:tblGrid>
        <w:gridCol w:w="4703"/>
        <w:gridCol w:w="4702"/>
      </w:tblGrid>
      <w:tr>
        <w:trPr/>
        <w:tc>
          <w:tcPr>
            <w:shd w:val="clear" w:color="auto" w:fill="1f3a5f"/>
            <w:tcBorders/>
            <w:tcW w:w="4703"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Variable</w:t>
            </w:r>
            <w:r>
              <w:rPr>
                <w:szCs w:val="22"/>
                <w:lang w:val="en-US" w:eastAsia="en-US" w:bidi="ar-SA"/>
              </w:rPr>
            </w:r>
          </w:p>
        </w:tc>
        <w:tc>
          <w:tcPr>
            <w:shd w:val="clear" w:color="auto" w:fill="1f3a5f"/>
            <w:tcBorders/>
            <w:tcW w:w="4702"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Definición</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tiempo_entrega_dias</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Días entre la compra y la entrega real</w:t>
            </w:r>
            <w:r>
              <w:rPr>
                <w:szCs w:val="22"/>
                <w:lang w:val="en-US" w:eastAsia="en-US" w:bidi="ar-SA"/>
              </w:rPr>
            </w:r>
          </w:p>
        </w:tc>
      </w:tr>
      <w:tr>
        <w:trPr/>
        <w:tc>
          <w:tcPr>
            <w:shd w:val="clear" w:color="auto" w:fill="f0f2f5"/>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dias_vs_estimado</w:t>
            </w:r>
            <w:r>
              <w:rPr>
                <w:szCs w:val="22"/>
                <w:lang w:val="en-US" w:eastAsia="en-US" w:bidi="ar-SA"/>
              </w:rPr>
            </w:r>
          </w:p>
        </w:tc>
        <w:tc>
          <w:tcPr>
            <w:shd w:val="clear" w:color="auto" w:fill="f0f2f5"/>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Días entre la entrega real y la fecha estimada (positivo = tarde)</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envio_demorado</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 si la entrega fue posterior a la estimada, 0 si fue a tiempo, NaN si no fue entregado</w:t>
            </w:r>
            <w:r>
              <w:rPr>
                <w:szCs w:val="22"/>
                <w:lang w:val="en-US" w:eastAsia="en-US" w:bidi="ar-SA"/>
              </w:rPr>
            </w:r>
          </w:p>
        </w:tc>
      </w:tr>
      <w:tr>
        <w:trPr/>
        <w:tc>
          <w:tcPr>
            <w:shd w:val="clear" w:color="auto" w:fill="f0f2f5"/>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flete_ratio</w:t>
            </w:r>
            <w:r>
              <w:rPr>
                <w:szCs w:val="22"/>
                <w:lang w:val="en-US" w:eastAsia="en-US" w:bidi="ar-SA"/>
              </w:rPr>
            </w:r>
          </w:p>
        </w:tc>
        <w:tc>
          <w:tcPr>
            <w:shd w:val="clear" w:color="auto" w:fill="f0f2f5"/>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Costo del flete / precio del producto</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reseña_positiva</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 si el puntaje es 4-5 ★, 0 si es 1-2 ★; el puntaje 3 (neutral) se excluye</w:t>
            </w:r>
            <w:r>
              <w:rPr>
                <w:szCs w:val="22"/>
                <w:lang w:val="en-US" w:eastAsia="en-US" w:bidi="ar-SA"/>
              </w:rPr>
            </w:r>
          </w:p>
        </w:tc>
      </w:tr>
      <w:tr>
        <w:trPr/>
        <w:tc>
          <w:tcPr>
            <w:shd w:val="clear" w:color="auto" w:fill="f0f2f5"/>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region_sudeste</w:t>
            </w:r>
            <w:r>
              <w:rPr>
                <w:szCs w:val="22"/>
                <w:lang w:val="en-US" w:eastAsia="en-US" w:bidi="ar-SA"/>
              </w:rPr>
            </w:r>
          </w:p>
        </w:tc>
        <w:tc>
          <w:tcPr>
            <w:shd w:val="clear" w:color="auto" w:fill="f0f2f5"/>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«Sudeste» si el cliente está en SP, RJ, MG o ES; «Resto del país» en caso contrario</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mes_compra</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Mes de la compra, normalizado al primer día</w:t>
            </w:r>
            <w:r>
              <w:rPr>
                <w:szCs w:val="22"/>
                <w:lang w:val="en-US" w:eastAsia="en-US" w:bidi="ar-SA"/>
              </w:rPr>
            </w:r>
          </w:p>
        </w:tc>
      </w:tr>
      <w:tr>
        <w:trPr/>
        <w:tc>
          <w:tcPr>
            <w:shd w:val="clear" w:color="auto" w:fill="f0f2f5"/>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distancia_km</w:t>
            </w:r>
            <w:r>
              <w:rPr>
                <w:szCs w:val="22"/>
                <w:lang w:val="en-US" w:eastAsia="en-US" w:bidi="ar-SA"/>
              </w:rPr>
            </w:r>
          </w:p>
        </w:tc>
        <w:tc>
          <w:tcPr>
            <w:shd w:val="clear" w:color="auto" w:fill="f0f2f5"/>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Distancia geodésica cliente-vendedor, calculada con la fórmula de Haversine (R = 6.371 km)</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volumen_cm3</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Largo × alto × ancho del producto (cm³)</w:t>
            </w:r>
            <w:r>
              <w:rPr>
                <w:szCs w:val="22"/>
                <w:lang w:val="en-US" w:eastAsia="en-US" w:bidi="ar-SA"/>
              </w:rPr>
            </w:r>
          </w:p>
        </w:tc>
      </w:tr>
    </w:tbl>
    <w:p>
      <w:pPr>
        <w:pStyle w:val="678"/>
        <w:spacing/>
        <w:ind/>
        <w:rPr/>
      </w:pPr>
      <w:r>
        <w:t xml:space="preserve">El dataset r</w:t>
      </w:r>
      <w:r>
        <w:t xml:space="preserve">esultante contiene 112.650 filas y 43 columnas. Los valores nulos se mantienen deliberadamente en los casos en que la información no existe (pedidos no entregados, coordenadas ausentes, reseñas neutrales): imputarlos distorsionaría las métricas de negocio.</w:t>
      </w:r>
      <w:r/>
    </w:p>
    <w:p>
      <w:pPr>
        <w:pStyle w:val="680"/>
        <w:spacing/>
        <w:ind/>
        <w:rPr/>
      </w:pPr>
      <w:r/>
      <w:bookmarkStart w:id="8" w:name="__RefHeading___Toc1495_3125598873"/>
      <w:r/>
      <w:bookmarkEnd w:id="8"/>
      <w:r>
        <w:t xml:space="preserve">2.4 Herramientas y entorno</w:t>
      </w:r>
      <w:r/>
    </w:p>
    <w:p>
      <w:pPr>
        <w:pStyle w:val="678"/>
        <w:spacing/>
        <w:ind/>
        <w:rPr/>
      </w:pPr>
      <w:r>
        <w:t xml:space="preserve">Todo el análisis se realizó en Python 3 con las bibliotecas pandas, NumPy, Matplotlib, Seaborn, Plotly, SciPy, scikit-learn y LightGBM. Para el análisis de texto se usaron además NLTK,</w:t>
      </w:r>
      <w:r>
        <w:t xml:space="preserve"> WordCloud y, en un entorno aparte, PyTorch y Transformers (Hugging Face) para ejecutar el modelo de sentimiento preentrenado. El dashboard interactivo se desarrolló en Streamlit. El modelo final se serializa con joblib para su consumo sin reentrenamiento.</w:t>
      </w:r>
      <w:r/>
    </w:p>
    <w:p>
      <w:pPr>
        <w:pStyle w:val="679"/>
        <w:spacing/>
        <w:ind/>
        <w:rPr/>
      </w:pPr>
      <w:r/>
      <w:bookmarkStart w:id="9" w:name="__RefHeading___Toc1497_3125598873"/>
      <w:r/>
      <w:bookmarkEnd w:id="9"/>
      <w:r>
        <w:t xml:space="preserve">3. Análisis exploratorio</w:t>
      </w:r>
      <w:r/>
    </w:p>
    <w:p>
      <w:pPr>
        <w:pStyle w:val="678"/>
        <w:spacing/>
        <w:ind/>
        <w:rPr/>
      </w:pPr>
      <w:r>
        <w:t xml:space="preserve">El análisis exploratorio recorre cuatro ejes: la evolución y composición del negocio, la logística y la satisfacción, la dimensión geográfica y el contenido textual de las reseñas.</w:t>
      </w:r>
      <w:r/>
    </w:p>
    <w:p>
      <w:pPr>
        <w:pStyle w:val="680"/>
        <w:spacing/>
        <w:ind/>
        <w:rPr/>
      </w:pPr>
      <w:r/>
      <w:bookmarkStart w:id="10" w:name="__RefHeading___Toc1499_3125598873"/>
      <w:r/>
      <w:bookmarkEnd w:id="10"/>
      <w:r>
        <w:t xml:space="preserve">3.1 Evolución y composición del negocio</w:t>
      </w:r>
      <w:r/>
    </w:p>
    <w:p>
      <w:pPr>
        <w:pStyle w:val="678"/>
        <w:spacing/>
        <w:ind/>
        <w:rPr/>
      </w:pPr>
      <w:r>
        <w:t xml:space="preserve">El volumen de pedidos creció de manera sostenida desde finales de 2016 hasta un pico de</w:t>
      </w:r>
      <w:r>
        <w:t xml:space="preserve"> aproximadamente 7.450 pedidos mensuales en noviembre de 2017, coincidiendo con el Black Friday. A partir de enero de 2018 la tendencia se estabiliza en torno a los 6.500 pedidos mensuales, lo que sugiere una meseta de madurez dentro del período observado.</w:t>
      </w:r>
      <w:r/>
    </w:p>
    <w:p>
      <w:pPr>
        <w:pStyle w:val="678"/>
        <w:spacing/>
        <w:ind/>
        <w:jc w:val="center"/>
        <w:rPr/>
      </w:pPr>
      <w:r>
        <mc:AlternateContent>
          <mc:Choice Requires="wpg">
            <w:drawing>
              <wp:inline xmlns:wp="http://schemas.openxmlformats.org/drawingml/2006/wordprocessingDrawing" distT="0" distB="0" distL="0" distR="0">
                <wp:extent cx="5303520" cy="212915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pic:cNvPicPr>
                        <pic:nvPr/>
                      </pic:nvPicPr>
                      <pic:blipFill rotWithShape="1">
                        <a:blip r:embed="rId12"/>
                        <a:stretch/>
                      </pic:blipFill>
                      <pic:spPr bwMode="auto">
                        <a:xfrm>
                          <a:off x="0" y="0"/>
                          <a:ext cx="5303520" cy="21291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7.60pt;height:167.65pt;mso-wrap-distance-left:0.00pt;mso-wrap-distance-top:0.00pt;mso-wrap-distance-right:0.00pt;mso-wrap-distance-bottom:0.00pt;z-index:1;" stroked="false">
                <v:imagedata r:id="rId12" o:title=""/>
                <o:lock v:ext="edit" rotation="t"/>
              </v:shape>
            </w:pict>
          </mc:Fallback>
        </mc:AlternateContent>
      </w:r>
      <w:r/>
    </w:p>
    <w:p>
      <w:pPr>
        <w:pStyle w:val="678"/>
        <w:spacing w:after="280" w:before="0"/>
        <w:ind/>
        <w:jc w:val="center"/>
        <w:rPr/>
      </w:pPr>
      <w:r>
        <w:rPr>
          <w:i/>
          <w:color w:val="555555"/>
          <w:sz w:val="18"/>
        </w:rPr>
        <w:t xml:space="preserve">Figura 1. Cantidad de pedidos únicos por mes (sept. 2016 – sept. 2018).</w:t>
      </w:r>
      <w:r/>
    </w:p>
    <w:p>
      <w:pPr>
        <w:pStyle w:val="678"/>
        <w:spacing/>
        <w:ind/>
        <w:rPr/>
      </w:pPr>
      <w:r>
        <w:t xml:space="preserve">La distribución de las reseñas está fuertemente sesgada</w:t>
      </w:r>
      <w:r>
        <w:t xml:space="preserve"> hacia la calificación máxima: el 56 % de los ítems calificados recibe 5 estrellas y el 75 % recibe 4 o 5 estrellas. Sin embargo, las reseñas negativas (1-2 estrellas) representan el 16 % del total, una proporción no despreciable que justifica su análisis.</w:t>
      </w:r>
      <w:r/>
    </w:p>
    <w:p>
      <w:pPr>
        <w:pStyle w:val="678"/>
        <w:spacing/>
        <w:ind/>
        <w:jc w:val="center"/>
        <w:rPr/>
      </w:pPr>
      <w:r>
        <mc:AlternateContent>
          <mc:Choice Requires="wpg">
            <w:drawing>
              <wp:inline xmlns:wp="http://schemas.openxmlformats.org/drawingml/2006/wordprocessingDrawing" distT="0" distB="0" distL="0" distR="0">
                <wp:extent cx="3657600" cy="232664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pic:cNvPicPr>
                        <pic:nvPr/>
                      </pic:nvPicPr>
                      <pic:blipFill rotWithShape="1">
                        <a:blip r:embed="rId13"/>
                        <a:stretch/>
                      </pic:blipFill>
                      <pic:spPr bwMode="auto">
                        <a:xfrm>
                          <a:off x="0" y="0"/>
                          <a:ext cx="3657600" cy="23266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8.00pt;height:183.20pt;mso-wrap-distance-left:0.00pt;mso-wrap-distance-top:0.00pt;mso-wrap-distance-right:0.00pt;mso-wrap-distance-bottom:0.00pt;z-index:1;" stroked="false">
                <v:imagedata r:id="rId13" o:title=""/>
                <o:lock v:ext="edit" rotation="t"/>
              </v:shape>
            </w:pict>
          </mc:Fallback>
        </mc:AlternateContent>
      </w:r>
      <w:r/>
    </w:p>
    <w:p>
      <w:pPr>
        <w:pStyle w:val="678"/>
        <w:spacing w:after="280" w:before="0"/>
        <w:ind/>
        <w:jc w:val="center"/>
        <w:rPr/>
      </w:pPr>
      <w:r>
        <w:rPr>
          <w:i/>
          <w:color w:val="555555"/>
          <w:sz w:val="18"/>
        </w:rPr>
        <w:t xml:space="preserve">Figura 2. Distribución de las calificaciones (review_score).</w:t>
      </w:r>
      <w:r/>
    </w:p>
    <w:p>
      <w:pPr>
        <w:pStyle w:val="678"/>
        <w:spacing/>
        <w:ind/>
        <w:rPr/>
      </w:pPr>
      <w:r>
        <w:t xml:space="preserve">La categoría con mayor volumen de ítems vendidos es «cama, baño y mesa» (11.115 ítems), seguida por «salud y belleza» y «dep</w:t>
      </w:r>
      <w:r>
        <w:t xml:space="preserve">ortes y ocio». Sin embargo, las categorías líderes en volumen no coinciden necesariamente con las líderes en facturación: las cinco categorías de mayor facturación concentran el 39,7 % del total, lo que indica una distribución razonablemente diversificada.</w:t>
      </w:r>
      <w:r/>
    </w:p>
    <w:p>
      <w:pPr>
        <w:pStyle w:val="678"/>
        <w:spacing/>
        <w:ind/>
        <w:jc w:val="center"/>
        <w:rPr/>
      </w:pPr>
      <w:r>
        <mc:AlternateContent>
          <mc:Choice Requires="wpg">
            <w:drawing>
              <wp:inline xmlns:wp="http://schemas.openxmlformats.org/drawingml/2006/wordprocessingDrawing" distT="0" distB="0" distL="0" distR="0">
                <wp:extent cx="5303520" cy="319151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pic:cNvPicPr>
                        <pic:nvPr/>
                      </pic:nvPicPr>
                      <pic:blipFill rotWithShape="1">
                        <a:blip r:embed="rId14"/>
                        <a:stretch/>
                      </pic:blipFill>
                      <pic:spPr bwMode="auto">
                        <a:xfrm>
                          <a:off x="0" y="0"/>
                          <a:ext cx="5303520" cy="3191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7.60pt;height:251.30pt;mso-wrap-distance-left:0.00pt;mso-wrap-distance-top:0.00pt;mso-wrap-distance-right:0.00pt;mso-wrap-distance-bottom:0.00pt;z-index:1;" stroked="false">
                <v:imagedata r:id="rId14" o:title=""/>
                <o:lock v:ext="edit" rotation="t"/>
              </v:shape>
            </w:pict>
          </mc:Fallback>
        </mc:AlternateContent>
      </w:r>
      <w:r/>
    </w:p>
    <w:p>
      <w:pPr>
        <w:pStyle w:val="678"/>
        <w:spacing w:after="280" w:before="0"/>
        <w:ind/>
        <w:jc w:val="center"/>
        <w:rPr/>
      </w:pPr>
      <w:r>
        <w:rPr>
          <w:i/>
          <w:color w:val="555555"/>
          <w:sz w:val="18"/>
        </w:rPr>
        <w:t xml:space="preserve">Figura 3. Las diez categorías con mayor volumen de ítems vendidos.</w:t>
      </w:r>
      <w:r/>
    </w:p>
    <w:p>
      <w:pPr>
        <w:pStyle w:val="678"/>
        <w:spacing/>
        <w:ind/>
        <w:jc w:val="center"/>
        <w:rPr/>
      </w:pPr>
      <w:r>
        <mc:AlternateContent>
          <mc:Choice Requires="wpg">
            <w:drawing>
              <wp:inline xmlns:wp="http://schemas.openxmlformats.org/drawingml/2006/wordprocessingDrawing" distT="0" distB="0" distL="0" distR="0">
                <wp:extent cx="5303520" cy="2389505"/>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pic:cNvPicPr>
                        <pic:nvPr/>
                      </pic:nvPicPr>
                      <pic:blipFill rotWithShape="1">
                        <a:blip r:embed="rId15"/>
                        <a:stretch/>
                      </pic:blipFill>
                      <pic:spPr bwMode="auto">
                        <a:xfrm>
                          <a:off x="0" y="0"/>
                          <a:ext cx="5303520" cy="23895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7.60pt;height:188.15pt;mso-wrap-distance-left:0.00pt;mso-wrap-distance-top:0.00pt;mso-wrap-distance-right:0.00pt;mso-wrap-distance-bottom:0.00pt;z-index:1;" stroked="false">
                <v:imagedata r:id="rId15" o:title=""/>
                <o:lock v:ext="edit" rotation="t"/>
              </v:shape>
            </w:pict>
          </mc:Fallback>
        </mc:AlternateContent>
      </w:r>
      <w:r/>
    </w:p>
    <w:p>
      <w:pPr>
        <w:pStyle w:val="678"/>
        <w:spacing w:after="280" w:before="0"/>
        <w:ind/>
        <w:jc w:val="center"/>
        <w:rPr/>
      </w:pPr>
      <w:r>
        <w:rPr>
          <w:i/>
          <w:color w:val="555555"/>
          <w:sz w:val="18"/>
        </w:rPr>
        <w:t xml:space="preserve">Figura 4. Diagrama de Pareto de la facturación por categoría (top 15).</w:t>
      </w:r>
      <w:r/>
    </w:p>
    <w:p>
      <w:pPr>
        <w:pStyle w:val="678"/>
        <w:spacing/>
        <w:ind/>
        <w:rPr/>
      </w:pPr>
      <w:r>
        <w:t xml:space="preserve">En cuanto a los medios de pago, la tarjeta de crédito domina con el 76 % d</w:t>
      </w:r>
      <w:r>
        <w:t xml:space="preserve">e los pedidos, seguida por el boleto bancario con el 20 %. La mediana de cuotas elegidas es de 1, pero la distribución tiene una cola larga hacia los pagos en 10 y 12 cuotas, lo que sugiere que una fracción de las compras financia productos de ticket alto.</w:t>
      </w:r>
      <w:r/>
    </w:p>
    <w:p>
      <w:pPr>
        <w:pStyle w:val="678"/>
        <w:spacing/>
        <w:ind/>
        <w:jc w:val="center"/>
        <w:rPr/>
      </w:pPr>
      <w:r>
        <mc:AlternateContent>
          <mc:Choice Requires="wpg">
            <w:drawing>
              <wp:inline xmlns:wp="http://schemas.openxmlformats.org/drawingml/2006/wordprocessingDrawing" distT="0" distB="0" distL="0" distR="0">
                <wp:extent cx="5303520" cy="2605405"/>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pic:cNvPicPr>
                        <pic:nvPr/>
                      </pic:nvPicPr>
                      <pic:blipFill rotWithShape="1">
                        <a:blip r:embed="rId16"/>
                        <a:stretch/>
                      </pic:blipFill>
                      <pic:spPr bwMode="auto">
                        <a:xfrm>
                          <a:off x="0" y="0"/>
                          <a:ext cx="5303520" cy="2605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7.60pt;height:205.15pt;mso-wrap-distance-left:0.00pt;mso-wrap-distance-top:0.00pt;mso-wrap-distance-right:0.00pt;mso-wrap-distance-bottom:0.00pt;z-index:1;" stroked="false">
                <v:imagedata r:id="rId16" o:title=""/>
                <o:lock v:ext="edit" rotation="t"/>
              </v:shape>
            </w:pict>
          </mc:Fallback>
        </mc:AlternateContent>
      </w:r>
      <w:r/>
    </w:p>
    <w:p>
      <w:pPr>
        <w:pStyle w:val="678"/>
        <w:spacing w:after="280" w:before="0"/>
        <w:ind/>
        <w:jc w:val="center"/>
        <w:rPr/>
      </w:pPr>
      <w:r>
        <w:rPr>
          <w:i/>
          <w:color w:val="555555"/>
          <w:sz w:val="18"/>
        </w:rPr>
        <w:t xml:space="preserve">Figura 5. Medio de pago principal y distribución de cuotas elegidas.</w:t>
      </w:r>
      <w:r/>
    </w:p>
    <w:p>
      <w:pPr>
        <w:pStyle w:val="680"/>
        <w:spacing/>
        <w:ind/>
        <w:rPr/>
      </w:pPr>
      <w:r/>
      <w:bookmarkStart w:id="11" w:name="__RefHeading___Toc1501_3125598873"/>
      <w:r/>
      <w:bookmarkEnd w:id="11"/>
      <w:r>
        <w:t xml:space="preserve">3.2 Logística y satisfacción</w:t>
      </w:r>
      <w:r/>
    </w:p>
    <w:p>
      <w:pPr>
        <w:pStyle w:val="678"/>
        <w:spacing/>
        <w:ind/>
        <w:rPr/>
      </w:pPr>
      <w:r>
        <w:t xml:space="preserve">El tiempo de entrega promedio es de 12 días, con una mediana de 10 días. La distribución presenta una cola derecha pronunciada: aunque la gran mayoría de los pedidos se entrega en menos de 20 días, existen casos extremos qu</w:t>
      </w:r>
      <w:r>
        <w:t xml:space="preserve">e superan los 60 días. La variable dias_vs_estimado muestra que, en promedio, Olist entrega 12 días antes de la fecha prometida; las estimaciones son deliberadamente conservadoras, lo que amortigua el impacto de los atrasos sobre la percepción del cliente.</w:t>
      </w:r>
      <w:r/>
    </w:p>
    <w:p>
      <w:pPr>
        <w:pStyle w:val="678"/>
        <w:spacing/>
        <w:ind/>
        <w:jc w:val="center"/>
        <w:rPr/>
      </w:pPr>
      <w:r>
        <mc:AlternateContent>
          <mc:Choice Requires="wpg">
            <w:drawing>
              <wp:inline xmlns:wp="http://schemas.openxmlformats.org/drawingml/2006/wordprocessingDrawing" distT="0" distB="0" distL="0" distR="0">
                <wp:extent cx="5303520" cy="1947545"/>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pic:cNvPicPr>
                        <pic:nvPr/>
                      </pic:nvPicPr>
                      <pic:blipFill rotWithShape="1">
                        <a:blip r:embed="rId17"/>
                        <a:stretch/>
                      </pic:blipFill>
                      <pic:spPr bwMode="auto">
                        <a:xfrm>
                          <a:off x="0" y="0"/>
                          <a:ext cx="5303520" cy="1947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7.60pt;height:153.35pt;mso-wrap-distance-left:0.00pt;mso-wrap-distance-top:0.00pt;mso-wrap-distance-right:0.00pt;mso-wrap-distance-bottom:0.00pt;z-index:1;" stroked="false">
                <v:imagedata r:id="rId17" o:title=""/>
                <o:lock v:ext="edit" rotation="t"/>
              </v:shape>
            </w:pict>
          </mc:Fallback>
        </mc:AlternateContent>
      </w:r>
      <w:r/>
    </w:p>
    <w:p>
      <w:pPr>
        <w:pStyle w:val="678"/>
        <w:spacing w:after="280" w:before="0"/>
        <w:ind/>
        <w:jc w:val="center"/>
        <w:rPr/>
      </w:pPr>
      <w:r>
        <w:rPr>
          <w:i/>
          <w:color w:val="555555"/>
          <w:sz w:val="18"/>
        </w:rPr>
        <w:t xml:space="preserve">Figura 6. Distribución del tiempo de entrega y de la desviación respecto de la fecha estimada.</w:t>
      </w:r>
      <w:r/>
    </w:p>
    <w:p>
      <w:pPr>
        <w:pStyle w:val="678"/>
        <w:spacing/>
        <w:ind/>
        <w:rPr/>
      </w:pPr>
      <w:r>
        <w:t xml:space="preserve">A pesar de ese colchón, el 7,9 % de los pedidos entregados llega después de la fecha estimada. La consecuenci</w:t>
      </w:r>
      <w:r>
        <w:t xml:space="preserve">a sobre la satisfacción es drástica: los pedidos entregados a tiempo tienen una calificación promedio de 4,21 estrellas (mediana 5), mientras que los demorados caen a 2,55 estrellas (mediana 2). El boxplot de la Figura 7 ilustra la magnitud de esta brecha.</w:t>
      </w:r>
      <w:r/>
    </w:p>
    <w:p>
      <w:pPr>
        <w:pStyle w:val="678"/>
        <w:spacing/>
        <w:ind/>
        <w:jc w:val="center"/>
        <w:rPr/>
      </w:pPr>
      <w:r>
        <mc:AlternateContent>
          <mc:Choice Requires="wpg">
            <w:drawing>
              <wp:inline xmlns:wp="http://schemas.openxmlformats.org/drawingml/2006/wordprocessingDrawing" distT="0" distB="0" distL="0" distR="0">
                <wp:extent cx="3840480" cy="2437765"/>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pic:cNvPicPr>
                        <pic:nvPr/>
                      </pic:nvPicPr>
                      <pic:blipFill rotWithShape="1">
                        <a:blip r:embed="rId18"/>
                        <a:stretch/>
                      </pic:blipFill>
                      <pic:spPr bwMode="auto">
                        <a:xfrm>
                          <a:off x="0" y="0"/>
                          <a:ext cx="3840480" cy="24377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02.40pt;height:191.95pt;mso-wrap-distance-left:0.00pt;mso-wrap-distance-top:0.00pt;mso-wrap-distance-right:0.00pt;mso-wrap-distance-bottom:0.00pt;z-index:1;" stroked="false">
                <v:imagedata r:id="rId18" o:title=""/>
                <o:lock v:ext="edit" rotation="t"/>
              </v:shape>
            </w:pict>
          </mc:Fallback>
        </mc:AlternateContent>
      </w:r>
      <w:r/>
    </w:p>
    <w:p>
      <w:pPr>
        <w:pStyle w:val="678"/>
        <w:spacing w:after="280" w:before="0"/>
        <w:ind/>
        <w:jc w:val="center"/>
        <w:rPr/>
      </w:pPr>
      <w:r>
        <w:rPr>
          <w:i/>
          <w:color w:val="555555"/>
          <w:sz w:val="18"/>
        </w:rPr>
        <w:t xml:space="preserve">Figura 7. Calificación según cumplimiento del plazo de entrega.</w:t>
      </w:r>
      <w:r/>
    </w:p>
    <w:p>
      <w:pPr>
        <w:pStyle w:val="678"/>
        <w:spacing/>
        <w:ind/>
        <w:rPr/>
      </w:pPr>
      <w:r>
        <w:t xml:space="preserve">Las categorías con mayor proporción de envíos demora</w:t>
      </w:r>
      <w:r>
        <w:t xml:space="preserve">dos (entre aquellas con al menos 30 pedidos) son «muebles, colchones y tapicería» (13,5 %), «audio» (12,7 %) y «moda playa» (12,6 %). Estas categorías no son las de mayor volumen, lo que sugiere problemas logísticos específicos más que un efecto de escala.</w:t>
      </w:r>
      <w:r/>
    </w:p>
    <w:p>
      <w:pPr>
        <w:pStyle w:val="678"/>
        <w:spacing/>
        <w:ind/>
        <w:jc w:val="center"/>
        <w:rPr/>
      </w:pPr>
      <w:r>
        <mc:AlternateContent>
          <mc:Choice Requires="wpg">
            <w:drawing>
              <wp:inline xmlns:wp="http://schemas.openxmlformats.org/drawingml/2006/wordprocessingDrawing" distT="0" distB="0" distL="0" distR="0">
                <wp:extent cx="5303520" cy="317563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pic:cNvPicPr>
                        <pic:nvPr/>
                      </pic:nvPicPr>
                      <pic:blipFill rotWithShape="1">
                        <a:blip r:embed="rId19"/>
                        <a:stretch/>
                      </pic:blipFill>
                      <pic:spPr bwMode="auto">
                        <a:xfrm>
                          <a:off x="0" y="0"/>
                          <a:ext cx="5303520" cy="3175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7.60pt;height:250.05pt;mso-wrap-distance-left:0.00pt;mso-wrap-distance-top:0.00pt;mso-wrap-distance-right:0.00pt;mso-wrap-distance-bottom:0.00pt;z-index:1;" stroked="false">
                <v:imagedata r:id="rId19" o:title=""/>
                <o:lock v:ext="edit" rotation="t"/>
              </v:shape>
            </w:pict>
          </mc:Fallback>
        </mc:AlternateContent>
      </w:r>
      <w:r/>
    </w:p>
    <w:p>
      <w:pPr>
        <w:pStyle w:val="678"/>
        <w:spacing w:after="280" w:before="0"/>
        <w:ind/>
        <w:jc w:val="center"/>
        <w:rPr/>
      </w:pPr>
      <w:r>
        <w:rPr>
          <w:i/>
          <w:color w:val="555555"/>
          <w:sz w:val="18"/>
        </w:rPr>
        <w:t xml:space="preserve">Figura 8. Las diez categorías con mayor porcentaje de envíos demorados (≥ 30 pedidos).</w:t>
      </w:r>
      <w:r/>
    </w:p>
    <w:p>
      <w:pPr>
        <w:pStyle w:val="680"/>
        <w:spacing/>
        <w:ind/>
        <w:rPr/>
      </w:pPr>
      <w:r/>
      <w:bookmarkStart w:id="12" w:name="__RefHeading___Toc1503_3125598873"/>
      <w:r/>
      <w:bookmarkEnd w:id="12"/>
      <w:r>
        <w:t xml:space="preserve">3.3 Relaciones entre variables numéricas</w:t>
      </w:r>
      <w:r/>
    </w:p>
    <w:p>
      <w:pPr>
        <w:pStyle w:val="678"/>
        <w:spacing/>
        <w:ind/>
        <w:rPr/>
      </w:pPr>
      <w:r>
        <w:t xml:space="preserve">La matriz de correlación de Pearson entre las variables numéricas clave revela varios patrones relevantes. El tiempo de entrega se </w:t>
      </w:r>
      <w:r>
        <w:t xml:space="preserve">correlaciona fuertemente con la desviación respecto de la fecha estimada (r = 0,60) y con la distancia cliente-vendedor (r = 0,39). El peso y el volumen del producto están altamente correlacionados entre sí (r = 0,80), y ambos se asocian al costo de flete </w:t>
      </w:r>
      <w:r>
        <w:t xml:space="preserve">(r = 0,59 y r = 0,61 respectivamente), pero su relación con el tiempo de entrega es débil (r &lt; 0,10). La calificación presenta una correlación negativa moderada con el tiempo de entrega (r = −0,30) y con la desviación respecto de la estimación (r = −0,23).</w:t>
      </w:r>
      <w:r/>
    </w:p>
    <w:p>
      <w:pPr>
        <w:pStyle w:val="678"/>
        <w:spacing/>
        <w:ind/>
        <w:jc w:val="center"/>
        <w:rPr/>
      </w:pPr>
      <w:r>
        <mc:AlternateContent>
          <mc:Choice Requires="wpg">
            <w:drawing>
              <wp:inline xmlns:wp="http://schemas.openxmlformats.org/drawingml/2006/wordprocessingDrawing" distT="0" distB="0" distL="0" distR="0">
                <wp:extent cx="5303520" cy="194754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pic:cNvPicPr>
                        <pic:nvPr/>
                      </pic:nvPicPr>
                      <pic:blipFill rotWithShape="1">
                        <a:blip r:embed="rId20"/>
                        <a:stretch/>
                      </pic:blipFill>
                      <pic:spPr bwMode="auto">
                        <a:xfrm>
                          <a:off x="0" y="0"/>
                          <a:ext cx="5303520" cy="19475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7.60pt;height:153.35pt;mso-wrap-distance-left:0.00pt;mso-wrap-distance-top:0.00pt;mso-wrap-distance-right:0.00pt;mso-wrap-distance-bottom:0.00pt;z-index:1;" stroked="false">
                <v:imagedata r:id="rId20" o:title=""/>
                <o:lock v:ext="edit" rotation="t"/>
              </v:shape>
            </w:pict>
          </mc:Fallback>
        </mc:AlternateContent>
      </w:r>
      <w:r/>
    </w:p>
    <w:p>
      <w:pPr>
        <w:pStyle w:val="678"/>
        <w:spacing w:after="280" w:before="0"/>
        <w:ind/>
        <w:jc w:val="center"/>
        <w:rPr/>
      </w:pPr>
      <w:r>
        <w:rPr>
          <w:i/>
          <w:color w:val="555555"/>
          <w:sz w:val="18"/>
        </w:rPr>
        <w:t xml:space="preserve">Figura 9. Matriz de correlación de Pearson entre las variables numéricas principales.</w:t>
      </w:r>
      <w:r/>
    </w:p>
    <w:p>
      <w:pPr>
        <w:pStyle w:val="680"/>
        <w:spacing/>
        <w:ind/>
        <w:rPr/>
      </w:pPr>
      <w:r/>
      <w:bookmarkStart w:id="13" w:name="__RefHeading___Toc1505_3125598873"/>
      <w:r/>
      <w:bookmarkEnd w:id="13"/>
      <w:r>
        <w:t xml:space="preserve">3.4 Dimensión geográfica</w:t>
      </w:r>
      <w:r/>
    </w:p>
    <w:p>
      <w:pPr>
        <w:pStyle w:val="678"/>
        <w:spacing/>
        <w:ind/>
        <w:rPr/>
      </w:pPr>
      <w:r>
        <w:t xml:space="preserve">Los clientes se concentran en el eje Sudeste-Sur </w:t>
      </w:r>
      <w:r>
        <w:t xml:space="preserve">del país, con São Paulo, Río de Janeiro y Minas Gerais como los tres estados dominantes. La distancia mediana entre cliente y vendedor es de 432 km, consistente con las dimensiones continentales de Brasil y con la concentración de vendedores en el Sudeste.</w:t>
      </w:r>
      <w:r/>
    </w:p>
    <w:p>
      <w:pPr>
        <w:pStyle w:val="678"/>
        <w:spacing/>
        <w:ind/>
        <w:rPr/>
      </w:pPr>
      <w:r>
        <w:t xml:space="preserve">La </w:t>
      </w:r>
      <w:r>
        <w:t xml:space="preserve">comparación entre las dos regiones (Sudeste vs. resto del país) muestra una brecha logística significativa: los clientes fuera del Sudeste esperan en promedio 15,9 días por su entrega frente a 10,2 días en el Sudeste, pagan un flete promedio de R$ 25,7 fre</w:t>
      </w:r>
      <w:r>
        <w:t xml:space="preserve">nte a R$ 17,4, y sufren una tasa de demora del 9 % frente al 7 %. Sin embargo, el gasto promedio por ítem es similar o incluso superior fuera del Sudeste (R$ 133,5 vs. R$ 114,8): la periferia geográfica paga más flete y espera más por un ticket comparable.</w:t>
      </w:r>
      <w:r/>
    </w:p>
    <w:p>
      <w:pPr>
        <w:pStyle w:val="678"/>
        <w:spacing/>
        <w:ind/>
        <w:rPr/>
      </w:pPr>
      <w:r/>
      <w:r/>
    </w:p>
    <w:tbl>
      <w:tblPr>
        <w:tblStyle w:val="895"/>
        <w:jc w:val="center"/>
        <w:tblInd w:w="0" w:type="dxa"/>
        <w:tblW w:w="9404" w:type="dxa"/>
        <w:tblCellMar>
          <w:left w:w="108" w:type="dxa"/>
          <w:top w:w="0" w:type="dxa"/>
          <w:right w:w="108" w:type="dxa"/>
          <w:bottom w:w="0" w:type="dxa"/>
        </w:tblCellMar>
        <w:tblBorders/>
        <w:tblLayout w:type="fixed"/>
        <w:tblLook w:val="04A0" w:firstRow="1" w:lastRow="0" w:firstColumn="1" w:lastColumn="0" w:noHBand="0" w:noVBand="1"/>
      </w:tblPr>
      <w:tblGrid>
        <w:gridCol w:w="2351"/>
        <w:gridCol w:w="2351"/>
        <w:gridCol w:w="2351"/>
        <w:gridCol w:w="2350"/>
      </w:tblGrid>
      <w:tr>
        <w:trPr/>
        <w:tc>
          <w:tcPr>
            <w:shd w:val="clear" w:color="auto" w:fill="1f3a5f"/>
            <w:tcBorders/>
            <w:tcW w:w="2351"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Estado</w:t>
            </w:r>
            <w:r>
              <w:rPr>
                <w:szCs w:val="22"/>
                <w:lang w:val="en-US" w:eastAsia="en-US" w:bidi="ar-SA"/>
              </w:rPr>
            </w:r>
          </w:p>
        </w:tc>
        <w:tc>
          <w:tcPr>
            <w:shd w:val="clear" w:color="auto" w:fill="1f3a5f"/>
            <w:tcBorders/>
            <w:tcW w:w="2351"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Pedidos</w:t>
            </w:r>
            <w:r>
              <w:rPr>
                <w:szCs w:val="22"/>
                <w:lang w:val="en-US" w:eastAsia="en-US" w:bidi="ar-SA"/>
              </w:rPr>
            </w:r>
          </w:p>
        </w:tc>
        <w:tc>
          <w:tcPr>
            <w:shd w:val="clear" w:color="auto" w:fill="1f3a5f"/>
            <w:tcBorders/>
            <w:tcW w:w="2351"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Reseña prom.</w:t>
            </w:r>
            <w:r>
              <w:rPr>
                <w:szCs w:val="22"/>
                <w:lang w:val="en-US" w:eastAsia="en-US" w:bidi="ar-SA"/>
              </w:rPr>
            </w:r>
          </w:p>
        </w:tc>
        <w:tc>
          <w:tcPr>
            <w:shd w:val="clear" w:color="auto" w:fill="1f3a5f"/>
            <w:tcBorders/>
            <w:tcW w:w="2350"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 demorado</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SP</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41.375</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4,13</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6 %</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RJ</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12.762</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3,81</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13 %</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MG</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11.544</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4,09</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5 %</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RS</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5.432</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4,05</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7 %</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PR</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4.998</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4,11</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5 %</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SC</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3.612</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4,00</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10 %</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BA</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3.358</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3,82</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14 %</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DF</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2.125</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4,00</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7 %</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ES</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2.025</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3,99</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12 %</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GO</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2.007</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3,99</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8 %</w:t>
            </w:r>
            <w:r>
              <w:rPr>
                <w:szCs w:val="22"/>
                <w:lang w:val="en-US" w:eastAsia="en-US" w:bidi="ar-SA"/>
              </w:rPr>
            </w:r>
          </w:p>
        </w:tc>
      </w:tr>
    </w:tbl>
    <w:p>
      <w:pPr>
        <w:pStyle w:val="678"/>
        <w:spacing w:after="280" w:before="0"/>
        <w:ind/>
        <w:jc w:val="center"/>
        <w:rPr/>
      </w:pPr>
      <w:r>
        <w:rPr>
          <w:i/>
          <w:color w:val="555555"/>
          <w:sz w:val="18"/>
        </w:rPr>
        <w:t xml:space="preserve">Tabla 1. Los diez estados con mayor volumen de pedidos.</w:t>
      </w:r>
      <w:r/>
    </w:p>
    <w:p>
      <w:pPr>
        <w:pStyle w:val="678"/>
        <w:spacing/>
        <w:ind/>
        <w:rPr/>
      </w:pPr>
      <w:r>
        <w:t xml:space="preserve">Cabe señalar</w:t>
      </w:r>
      <w:r>
        <w:t xml:space="preserve"> que la brecha no es uniforme dentro del Sudeste: Río de Janeiro presenta una tasa de demora del 13 % y Espírito Santo del 12 %, ambas superiores al promedio general, lo que indica que la partición Sudeste/resto es una simplificación útil pero no perfecta.</w:t>
      </w:r>
      <w:r/>
    </w:p>
    <w:p>
      <w:pPr>
        <w:pStyle w:val="680"/>
        <w:spacing/>
        <w:ind/>
        <w:rPr/>
      </w:pPr>
      <w:r/>
      <w:bookmarkStart w:id="14" w:name="__RefHeading___Toc1507_3125598873"/>
      <w:r/>
      <w:bookmarkEnd w:id="14"/>
      <w:r>
        <w:t xml:space="preserve">3.5 Análisis textual de las reseñas</w:t>
      </w:r>
      <w:r/>
    </w:p>
    <w:p>
      <w:pPr>
        <w:pStyle w:val="678"/>
        <w:spacing/>
        <w:ind/>
        <w:rPr/>
      </w:pPr>
      <w:r>
        <w:t xml:space="preserve">El 42,1 % de los ítems calificados incluye un comentario escrito en p</w:t>
      </w:r>
      <w:r>
        <w:t xml:space="preserve">ortugués. Se procesaron los textos eliminando acentos, caracteres no alfabéticos y stopwords del portugués (207 términos de la lista de NLTK), y se construyeron nubes de palabras separadas para las reseñas negativas (puntaje 1-2) y positivas (puntaje 4-5).</w:t>
      </w:r>
      <w:r/>
    </w:p>
    <w:p>
      <w:pPr>
        <w:pStyle w:val="678"/>
        <w:spacing/>
        <w:ind/>
        <w:rPr/>
      </w:pPr>
      <w:r>
        <w:t xml:space="preserve">En el vocabulario de las reseñas negativas tienen mucho peso los términos asociados al proceso de entrega: «recebi» (r</w:t>
      </w:r>
      <w:r>
        <w:t xml:space="preserve">ecibí), «entregue» (entregado), «ainda» (todavía), «entrega», «chegou» (llegó) y «prazo» (plazo), muchas veces en frases como «ainda não recebi». Pero el producto también aparece: «produto» es la segunda palabra más frecuente y «veio» (vino, en referencia </w:t>
      </w:r>
      <w:r>
        <w:t xml:space="preserve">a lo que llegó), la quinta. La logística es la fuente de queja más visible, aunque no la única. En contraste, las reseñas positivas se caracterizan por palabras de satisfacción: «excelente», «qualidade» (calidad), «bom» (bueno), «recomendo» (recomiendo), «</w:t>
      </w:r>
      <w:r>
        <w:t xml:space="preserve">perfeito» (perfecto), «gostei» (me gustó), junto con referencias a una entrega exitosa: «chegou», «prazo», «rápido», «dentro» (dentro del plazo). Esta evidencia cualitativa refuerza la hipótesis de que la logística tiene un peso central en la satisfacción.</w:t>
      </w:r>
      <w:r/>
    </w:p>
    <w:p>
      <w:pPr>
        <w:pStyle w:val="678"/>
        <w:spacing/>
        <w:ind/>
        <w:jc w:val="center"/>
        <w:rPr/>
      </w:pPr>
      <w:r>
        <mc:AlternateContent>
          <mc:Choice Requires="wpg">
            <w:drawing>
              <wp:inline xmlns:wp="http://schemas.openxmlformats.org/drawingml/2006/wordprocessingDrawing" distT="0" distB="0" distL="0" distR="0">
                <wp:extent cx="5486400" cy="1811020"/>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pic:cNvPicPr>
                        <pic:nvPr/>
                      </pic:nvPicPr>
                      <pic:blipFill rotWithShape="1">
                        <a:blip r:embed="rId21"/>
                        <a:stretch/>
                      </pic:blipFill>
                      <pic:spPr bwMode="auto">
                        <a:xfrm>
                          <a:off x="0" y="0"/>
                          <a:ext cx="5486400" cy="1811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32.00pt;height:142.60pt;mso-wrap-distance-left:0.00pt;mso-wrap-distance-top:0.00pt;mso-wrap-distance-right:0.00pt;mso-wrap-distance-bottom:0.00pt;z-index:1;" stroked="false">
                <v:imagedata r:id="rId21" o:title=""/>
                <o:lock v:ext="edit" rotation="t"/>
              </v:shape>
            </w:pict>
          </mc:Fallback>
        </mc:AlternateContent>
      </w:r>
      <w:r/>
    </w:p>
    <w:p>
      <w:pPr>
        <w:pStyle w:val="678"/>
        <w:spacing w:after="280" w:before="0"/>
        <w:ind/>
        <w:jc w:val="center"/>
        <w:rPr/>
      </w:pPr>
      <w:r>
        <w:rPr>
          <w:i/>
          <w:color w:val="555555"/>
          <w:sz w:val="18"/>
        </w:rPr>
        <w:t xml:space="preserve">Figura 10. Nubes de palabras de las reseñas negativas (izquierda) y positivas (derecha).</w:t>
      </w:r>
      <w:r/>
    </w:p>
    <w:p>
      <w:pPr>
        <w:pStyle w:val="680"/>
        <w:spacing/>
        <w:ind/>
        <w:rPr/>
      </w:pPr>
      <w:r/>
      <w:bookmarkStart w:id="15" w:name="__RefHeading___Toc1509_3125598873"/>
      <w:r/>
      <w:bookmarkEnd w:id="15"/>
      <w:r>
        <w:t xml:space="preserve">3.6 Sentimiento de las reseñas con un modelo multilingüe</w:t>
      </w:r>
      <w:r/>
    </w:p>
    <w:p>
      <w:pPr>
        <w:pStyle w:val="678"/>
        <w:spacing/>
        <w:ind/>
        <w:rPr/>
      </w:pPr>
      <w:r>
        <w:t xml:space="preserve">Para ir más allá del carácter descriptivo de las nubes de palabras, se aplicó un clasificador de sentimiento preentrenado, descargado de </w:t>
      </w:r>
      <w:r>
        <w:t xml:space="preserve">Hugging Face (tabularisai/multilingual-sentiment-analysis, basado en DistilBERT multilingüe, ~0,1B de parámetros), que asigna cada comentario a una de cinco clases: muy negativo, negativo, neutral, positivo y muy positivo. El modelo se ejecutó de forma loc</w:t>
      </w:r>
      <w:r>
        <w:t xml:space="preserve">al sobre CPU, sin GPU ni servicios pagos. Como el dataset unificado tiene una fila por ítem, los pedidos con varios productos repetían su reseña; antes del análisis se dejó una sola fila por reseña, con lo que quedaron 40.285 reseñas únicas con comentario.</w:t>
      </w:r>
      <w:r/>
    </w:p>
    <w:p>
      <w:pPr>
        <w:pStyle w:val="678"/>
        <w:spacing/>
        <w:ind/>
        <w:rPr/>
      </w:pPr>
      <w:r>
        <w:t xml:space="preserve">La distribución resultante es 46,1 % positiva, 21,9 % neutral y 31,9 % negativa. El modelo casi no utiliza las clases extremas (s</w:t>
      </w:r>
      <w:r>
        <w:t xml:space="preserve">olo el 10,7 % de las reseñas cae en «muy negativo» o «muy positivo»), por lo que el análisis se resume en tres polaridades. Agrupado así, el tono del texto coincide con las estrellas en el 62,0 % de las reseñas, y en el 84,8 % si se consideran solo las que</w:t>
      </w:r>
      <w:r>
        <w:t xml:space="preserve"> tienen un polo claro tanto en el texto como en la calificación (excluyendo el tono neutral y las reseñas de 3 estrellas). El modelo capta bien la dirección del sentimiento, aunque clasifica como neutral a una parte importante de las reseñas de 1 estrella.</w:t>
      </w:r>
      <w:r/>
    </w:p>
    <w:p>
      <w:pPr>
        <w:pStyle w:val="678"/>
        <w:spacing/>
        <w:ind/>
        <w:rPr/>
      </w:pPr>
      <w:r>
        <w:t xml:space="preserve">Se detectaron 4.367 discrepancias: 3.636 reseñas de 4-5 estrellas con texto negativo y 731 de 1-2 estrellas con texto positivo. Una muestra al azar indica que n</w:t>
      </w:r>
      <w:r>
        <w:t xml:space="preserve">o todas son reales. Entre las de buena calificación aparecen quejas genuinas (el costo del envío, la falta de seguimiento, un producto de otra marca), mientras que entre las de baja calificación predominan los errores del modelo, que no interpreta correcta</w:t>
      </w:r>
      <w:r>
        <w:t xml:space="preserve">mente frases como «ainda não recebi» (todavía no recibí). Por eso las discrepancias se tratan como casos a revisar y no como clientes insatisfechos confirmados. Para estimar la proporción real se dejó preparada una muestra de 60 casos para revisión manual.</w:t>
      </w:r>
      <w:r/>
    </w:p>
    <w:p>
      <w:pPr>
        <w:pStyle w:val="678"/>
        <w:spacing/>
        <w:ind/>
        <w:rPr/>
      </w:pPr>
      <w:r>
        <w:t xml:space="preserve">Cabe aclarar que esta variable</w:t>
      </w:r>
      <w:r>
        <w:t xml:space="preserve"> de sentimiento se usa exclusivamente como capa descriptiva para el informe y el dashboard, y no se incorpora al modelo predictivo de la sección 5: la reseña es un dato posterior a la compra y utilizarla como predictor constituiría una fuga de información.</w:t>
      </w:r>
      <w:r/>
    </w:p>
    <w:p>
      <w:pPr>
        <w:pStyle w:val="678"/>
        <w:spacing/>
        <w:ind/>
        <w:jc w:val="center"/>
        <w:rPr/>
      </w:pPr>
      <w:r>
        <mc:AlternateContent>
          <mc:Choice Requires="wpg">
            <w:drawing>
              <wp:inline xmlns:wp="http://schemas.openxmlformats.org/drawingml/2006/wordprocessingDrawing" distT="0" distB="0" distL="0" distR="0">
                <wp:extent cx="5120640" cy="2895600"/>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pic:cNvPicPr>
                        <pic:nvPr/>
                      </pic:nvPicPr>
                      <pic:blipFill rotWithShape="1">
                        <a:blip r:embed="rId22"/>
                        <a:stretch/>
                      </pic:blipFill>
                      <pic:spPr bwMode="auto">
                        <a:xfrm>
                          <a:off x="0" y="0"/>
                          <a:ext cx="5120640" cy="2895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3.20pt;height:228.00pt;mso-wrap-distance-left:0.00pt;mso-wrap-distance-top:0.00pt;mso-wrap-distance-right:0.00pt;mso-wrap-distance-bottom:0.00pt;z-index:1;" stroked="false">
                <v:imagedata r:id="rId22" o:title=""/>
                <o:lock v:ext="edit" rotation="t"/>
              </v:shape>
            </w:pict>
          </mc:Fallback>
        </mc:AlternateContent>
      </w:r>
      <w:r/>
    </w:p>
    <w:p>
      <w:pPr>
        <w:pStyle w:val="678"/>
        <w:spacing w:after="280" w:before="0"/>
        <w:ind/>
        <w:jc w:val="center"/>
        <w:rPr/>
      </w:pPr>
      <w:r>
        <w:rPr>
          <w:i/>
          <w:color w:val="555555"/>
          <w:sz w:val="18"/>
        </w:rPr>
        <w:t xml:space="preserve">Figura 10b. Sentimiento del texto (modelo preentrenado) frente a las estrellas reales; cada columna suma 100 %.</w:t>
      </w:r>
      <w:r/>
    </w:p>
    <w:p>
      <w:pPr>
        <w:pStyle w:val="680"/>
        <w:spacing/>
        <w:ind/>
        <w:rPr/>
      </w:pPr>
      <w:r/>
      <w:bookmarkStart w:id="16" w:name="__RefHeading___Toc1511_3125598873"/>
      <w:r/>
      <w:bookmarkEnd w:id="16"/>
      <w:r>
        <w:t xml:space="preserve">3.7 Comparación con un clasificador propio (TF-IDF + Regresión Logística)</w:t>
      </w:r>
      <w:r/>
    </w:p>
    <w:p>
      <w:pPr>
        <w:pStyle w:val="678"/>
        <w:spacing/>
        <w:ind/>
        <w:rPr/>
      </w:pPr>
      <w:r>
        <w:t xml:space="preserve">Dado que las reseñas ya cuentan con una etiqueta (las estrellas), se entrenó además un clasificador propio para contrastar al modelo preentrenado. Cada come</w:t>
      </w:r>
      <w:r>
        <w:t xml:space="preserve">ntario se representó con TF-IDF, que pondera cada término según su frecuencia en la reseña y su rareza en el conjunto, usando palabras sueltas y bigramas (pares de palabras, para captar expresiones como «não recomendo» o «antes do prazo»). Sobre esa repres</w:t>
      </w:r>
      <w:r>
        <w:t xml:space="preserve">entación se entrenó una regresión logística que predice la polaridad de las estrellas: negativa (1-2), neutral (3) o positiva (4-5). Se usó una partición 80/20 estratificada y class_weight = balanced, ya que solo cerca del 9 % de las reseñas son neutrales.</w:t>
      </w:r>
      <w:r/>
    </w:p>
    <w:p>
      <w:pPr>
        <w:pStyle w:val="678"/>
        <w:spacing/>
        <w:ind/>
        <w:rPr/>
      </w:pPr>
      <w:r>
        <w:t xml:space="preserve">Ambos modelos se evaluaron sobre las mismas 8.057 reseñas de prueba, que el clasificador propio no vio durante el entrenamiento. Los resultados se resumen en la Tabla 1b.</w:t>
      </w:r>
      <w:r/>
    </w:p>
    <w:tbl>
      <w:tblPr>
        <w:tblStyle w:val="895"/>
        <w:jc w:val="center"/>
        <w:tblInd w:w="0" w:type="dxa"/>
        <w:tblW w:w="9408" w:type="dxa"/>
        <w:tblCellMar>
          <w:left w:w="108" w:type="dxa"/>
          <w:top w:w="0" w:type="dxa"/>
          <w:right w:w="108" w:type="dxa"/>
          <w:bottom w:w="0" w:type="dxa"/>
        </w:tblCellMar>
        <w:tblBorders/>
        <w:tblLayout w:type="fixed"/>
        <w:tblLook w:val="04A0" w:firstRow="1" w:lastRow="0" w:firstColumn="1" w:lastColumn="0" w:noHBand="0" w:noVBand="1"/>
      </w:tblPr>
      <w:tblGrid>
        <w:gridCol w:w="1568"/>
        <w:gridCol w:w="1567"/>
        <w:gridCol w:w="1569"/>
        <w:gridCol w:w="1568"/>
        <w:gridCol w:w="1567"/>
        <w:gridCol w:w="1568"/>
      </w:tblGrid>
      <w:tr>
        <w:trPr/>
        <w:tc>
          <w:tcPr>
            <w:shd w:val="clear" w:color="auto" w:fill="1f3a5f"/>
            <w:tcBorders/>
            <w:tcW w:w="1568"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Modelo</w:t>
            </w:r>
            <w:r>
              <w:rPr>
                <w:szCs w:val="22"/>
                <w:lang w:val="en-US" w:eastAsia="en-US" w:bidi="ar-SA"/>
              </w:rPr>
            </w:r>
          </w:p>
        </w:tc>
        <w:tc>
          <w:tcPr>
            <w:shd w:val="clear" w:color="auto" w:fill="1f3a5f"/>
            <w:tcBorders/>
            <w:tcW w:w="1567"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Accuracy</w:t>
            </w:r>
            <w:r>
              <w:rPr>
                <w:szCs w:val="22"/>
                <w:lang w:val="en-US" w:eastAsia="en-US" w:bidi="ar-SA"/>
              </w:rPr>
            </w:r>
          </w:p>
        </w:tc>
        <w:tc>
          <w:tcPr>
            <w:shd w:val="clear" w:color="auto" w:fill="1f3a5f"/>
            <w:tcBorders/>
            <w:tcW w:w="1569"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F1 macro</w:t>
            </w:r>
            <w:r>
              <w:rPr>
                <w:szCs w:val="22"/>
                <w:lang w:val="en-US" w:eastAsia="en-US" w:bidi="ar-SA"/>
              </w:rPr>
            </w:r>
          </w:p>
        </w:tc>
        <w:tc>
          <w:tcPr>
            <w:shd w:val="clear" w:color="auto" w:fill="1f3a5f"/>
            <w:tcBorders/>
            <w:tcW w:w="1568"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Recall negativas</w:t>
            </w:r>
            <w:r>
              <w:rPr>
                <w:szCs w:val="22"/>
                <w:lang w:val="en-US" w:eastAsia="en-US" w:bidi="ar-SA"/>
              </w:rPr>
            </w:r>
          </w:p>
        </w:tc>
        <w:tc>
          <w:tcPr>
            <w:shd w:val="clear" w:color="auto" w:fill="1f3a5f"/>
            <w:tcBorders/>
            <w:tcW w:w="1567"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Recall neutrales</w:t>
            </w:r>
            <w:r>
              <w:rPr>
                <w:szCs w:val="22"/>
                <w:lang w:val="en-US" w:eastAsia="en-US" w:bidi="ar-SA"/>
              </w:rPr>
            </w:r>
          </w:p>
        </w:tc>
        <w:tc>
          <w:tcPr>
            <w:shd w:val="clear" w:color="auto" w:fill="1f3a5f"/>
            <w:tcBorders/>
            <w:tcW w:w="1568"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Recall positivas</w:t>
            </w:r>
            <w:r>
              <w:rPr>
                <w:szCs w:val="22"/>
                <w:lang w:val="en-US" w:eastAsia="en-US" w:bidi="ar-SA"/>
              </w:rPr>
            </w:r>
          </w:p>
        </w:tc>
      </w:tr>
      <w:tr>
        <w:trPr/>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Preentrenado (Hugging Face)</w:t>
            </w:r>
            <w:r>
              <w:rPr>
                <w:szCs w:val="22"/>
                <w:lang w:val="en-US" w:eastAsia="en-US" w:bidi="ar-SA"/>
              </w:rPr>
            </w:r>
          </w:p>
        </w:tc>
        <w:tc>
          <w:tcPr>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0,62</w:t>
            </w:r>
            <w:r>
              <w:rPr>
                <w:szCs w:val="22"/>
                <w:lang w:val="en-US" w:eastAsia="en-US" w:bidi="ar-SA"/>
              </w:rPr>
            </w:r>
          </w:p>
        </w:tc>
        <w:tc>
          <w:tcPr>
            <w:tcBorders/>
            <w:tcW w:w="1569"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0,49</w:t>
            </w:r>
            <w:r>
              <w:rPr>
                <w:szCs w:val="22"/>
                <w:lang w:val="en-US" w:eastAsia="en-US" w:bidi="ar-SA"/>
              </w:rPr>
            </w:r>
          </w:p>
        </w:tc>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68 %</w:t>
            </w:r>
            <w:r>
              <w:rPr>
                <w:szCs w:val="22"/>
                <w:lang w:val="en-US" w:eastAsia="en-US" w:bidi="ar-SA"/>
              </w:rPr>
            </w:r>
          </w:p>
        </w:tc>
        <w:tc>
          <w:tcPr>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20 %</w:t>
            </w:r>
            <w:r>
              <w:rPr>
                <w:szCs w:val="22"/>
                <w:lang w:val="en-US" w:eastAsia="en-US" w:bidi="ar-SA"/>
              </w:rPr>
            </w:r>
          </w:p>
        </w:tc>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64 %</w:t>
            </w:r>
            <w:r>
              <w:rPr>
                <w:szCs w:val="22"/>
                <w:lang w:val="en-US" w:eastAsia="en-US" w:bidi="ar-SA"/>
              </w:rPr>
            </w:r>
          </w:p>
        </w:tc>
      </w:tr>
      <w:tr>
        <w:trPr/>
        <w:tc>
          <w:tcPr>
            <w:shd w:val="clear" w:color="auto" w:fill="f0f2f5"/>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Propio (TF-IDF + Reg. Logística)</w:t>
            </w:r>
            <w:r>
              <w:rPr>
                <w:szCs w:val="22"/>
                <w:lang w:val="en-US" w:eastAsia="en-US" w:bidi="ar-SA"/>
              </w:rPr>
            </w:r>
          </w:p>
        </w:tc>
        <w:tc>
          <w:tcPr>
            <w:shd w:val="clear" w:color="auto" w:fill="f0f2f5"/>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0,80</w:t>
            </w:r>
            <w:r>
              <w:rPr>
                <w:szCs w:val="22"/>
                <w:lang w:val="en-US" w:eastAsia="en-US" w:bidi="ar-SA"/>
              </w:rPr>
            </w:r>
          </w:p>
        </w:tc>
        <w:tc>
          <w:tcPr>
            <w:shd w:val="clear" w:color="auto" w:fill="f0f2f5"/>
            <w:tcBorders/>
            <w:tcW w:w="1569"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0,67</w:t>
            </w:r>
            <w:r>
              <w:rPr>
                <w:szCs w:val="22"/>
                <w:lang w:val="en-US" w:eastAsia="en-US" w:bidi="ar-SA"/>
              </w:rPr>
            </w:r>
          </w:p>
        </w:tc>
        <w:tc>
          <w:tcPr>
            <w:shd w:val="clear" w:color="auto" w:fill="f0f2f5"/>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81 %</w:t>
            </w:r>
            <w:r>
              <w:rPr>
                <w:szCs w:val="22"/>
                <w:lang w:val="en-US" w:eastAsia="en-US" w:bidi="ar-SA"/>
              </w:rPr>
            </w:r>
          </w:p>
        </w:tc>
        <w:tc>
          <w:tcPr>
            <w:shd w:val="clear" w:color="auto" w:fill="f0f2f5"/>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43 %</w:t>
            </w:r>
            <w:r>
              <w:rPr>
                <w:szCs w:val="22"/>
                <w:lang w:val="en-US" w:eastAsia="en-US" w:bidi="ar-SA"/>
              </w:rPr>
            </w:r>
          </w:p>
        </w:tc>
        <w:tc>
          <w:tcPr>
            <w:shd w:val="clear" w:color="auto" w:fill="f0f2f5"/>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84 %</w:t>
            </w:r>
            <w:r>
              <w:rPr>
                <w:szCs w:val="22"/>
                <w:lang w:val="en-US" w:eastAsia="en-US" w:bidi="ar-SA"/>
              </w:rPr>
            </w:r>
          </w:p>
        </w:tc>
      </w:tr>
    </w:tbl>
    <w:p>
      <w:pPr>
        <w:pStyle w:val="678"/>
        <w:spacing w:after="280" w:before="0"/>
        <w:ind/>
        <w:jc w:val="center"/>
        <w:rPr/>
      </w:pPr>
      <w:r>
        <w:rPr>
          <w:i/>
          <w:color w:val="555555"/>
          <w:sz w:val="18"/>
        </w:rPr>
        <w:t xml:space="preserve">Tabla 1b. Clasificación de la polaridad de las reseñas: modelo preentrenado frente a modelo propio, sobre el mismo conjunto de prueba.</w:t>
      </w:r>
      <w:r/>
    </w:p>
    <w:p>
      <w:pPr>
        <w:pStyle w:val="678"/>
        <w:spacing/>
        <w:ind/>
        <w:rPr/>
      </w:pPr>
      <w:r>
        <w:t xml:space="preserve">El modelo propio, mucho más simple, supera al preentrenado en todas las métricas: 0,80 frente a 0,62 de accuracy y 0,67 frente a 0,49 de F1 macro. La explicación es que aprendió del vocabulario real de los clientes de Olist, mientras que el preentrenado</w:t>
      </w:r>
      <w:r>
        <w:t xml:space="preserve"> fue entrenado con datos sintéticos generados por un LLM. Un ejemplo claro: el modelo propio reconoce que «chegou antes do prazo» (llegó antes de lo previsto) es un elogio, mientras que el preentrenado suele clasificarlo como neutral o negativo. A ambos le</w:t>
      </w:r>
      <w:r>
        <w:t xml:space="preserve">s cuesta la clase neutral, porque las reseñas de 3 estrellas suelen combinar un elogio y una queja en el mismo comentario. Como contrapartida, el modelo propio tiende a dudar con reseñas positivas muy breves («Boa», «Bom atendimento»), que manda a neutral.</w:t>
      </w:r>
      <w:r/>
    </w:p>
    <w:p>
      <w:pPr>
        <w:pStyle w:val="678"/>
        <w:spacing/>
        <w:ind/>
        <w:jc w:val="center"/>
        <w:rPr/>
      </w:pPr>
      <w:r>
        <mc:AlternateContent>
          <mc:Choice Requires="wpg">
            <w:drawing>
              <wp:inline xmlns:wp="http://schemas.openxmlformats.org/drawingml/2006/wordprocessingDrawing" distT="0" distB="0" distL="0" distR="0">
                <wp:extent cx="5486400" cy="193484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pic:cNvPicPr>
                        <pic:nvPr/>
                      </pic:nvPicPr>
                      <pic:blipFill rotWithShape="1">
                        <a:blip r:embed="rId23"/>
                        <a:stretch/>
                      </pic:blipFill>
                      <pic:spPr bwMode="auto">
                        <a:xfrm>
                          <a:off x="0" y="0"/>
                          <a:ext cx="5486400" cy="1934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2.00pt;height:152.35pt;mso-wrap-distance-left:0.00pt;mso-wrap-distance-top:0.00pt;mso-wrap-distance-right:0.00pt;mso-wrap-distance-bottom:0.00pt;z-index:1;" stroked="false">
                <v:imagedata r:id="rId23" o:title=""/>
                <o:lock v:ext="edit" rotation="t"/>
              </v:shape>
            </w:pict>
          </mc:Fallback>
        </mc:AlternateContent>
      </w:r>
      <w:r/>
    </w:p>
    <w:p>
      <w:pPr>
        <w:pStyle w:val="678"/>
        <w:spacing w:after="280" w:before="0"/>
        <w:ind/>
        <w:jc w:val="center"/>
        <w:rPr/>
      </w:pPr>
      <w:r>
        <w:rPr>
          <w:i/>
          <w:color w:val="555555"/>
          <w:sz w:val="18"/>
        </w:rPr>
        <w:t xml:space="preserve">Figura 10c. Matrices de confusión del modelo preentrenado (izquierda) y del modelo propio (derecha); cada fila suma 100 %.</w:t>
      </w:r>
      <w:r/>
    </w:p>
    <w:p>
      <w:pPr>
        <w:pStyle w:val="678"/>
        <w:spacing/>
        <w:ind/>
        <w:rPr/>
      </w:pPr>
      <w:r>
        <w:t xml:space="preserve">Por ser lineal, el modelo propio es además interpretable: sus c</w:t>
      </w:r>
      <w:r>
        <w:t xml:space="preserve">oeficientes muestran qué términos empujan una reseña hacia cada polaridad. En las negativas pesan la negación y el arrepentimiento de la compra («não recomendo», «não gostei», «péssimo», «dinheiro», «paguei», «cancelar»); en las positivas, los elogios y la</w:t>
      </w:r>
      <w:r>
        <w:t xml:space="preserve"> rapidez de la entrega («rápido», «antes do (prazo)», «perfeito», «amei»). La lección metodológica es que un modelo más grande no es automáticamente mejor: cuando se dispone de etiquetas propias, un modelo base bien construido es la referencia obligatoria.</w:t>
      </w:r>
      <w:r/>
    </w:p>
    <w:p>
      <w:pPr>
        <w:pStyle w:val="678"/>
        <w:spacing/>
        <w:ind/>
        <w:rPr/>
      </w:pPr>
      <w:r>
        <w:t xml:space="preserve">Este resultado no debe compararse con el del clasificador de la sección 5. Aqu</w:t>
      </w:r>
      <w:r>
        <w:t xml:space="preserve">el predice la reseña al momento de la compra, sin conocer el texto, y por eso su tarea es mucho más difícil; este lee la opinión ya escrita por el cliente. El primero sirve para anticipar; el segundo, para describir y entender lo que expresan los clientes.</w:t>
      </w:r>
      <w:r/>
    </w:p>
    <w:p>
      <w:pPr>
        <w:pStyle w:val="679"/>
        <w:spacing/>
        <w:ind/>
        <w:rPr/>
      </w:pPr>
      <w:r/>
      <w:bookmarkStart w:id="17" w:name="__RefHeading___Toc1513_3125598873"/>
      <w:r/>
      <w:bookmarkEnd w:id="17"/>
      <w:r>
        <w:t xml:space="preserve">4. Contraste de hipótesis</w:t>
      </w:r>
      <w:r/>
    </w:p>
    <w:p>
      <w:pPr>
        <w:pStyle w:val="678"/>
        <w:spacing/>
        <w:ind/>
        <w:rPr/>
      </w:pPr>
      <w:r>
        <w:t xml:space="preserve">Las observaciones del análisis exploratorio se sometieron a tests estadísticos formales para separar los hallazgos significativos del ruido. Se eligieron tests no paramétricos porque las variables involucradas (calificaciones ordinales, tiempos con</w:t>
      </w:r>
      <w:r>
        <w:t xml:space="preserve"> distribución sesgada) no cumplen los supuestos de normalidad y homocedasticidad que requieren los tests clásicos. Todas las pruebas se realizaron con un nivel de significancia α = 0,05 y alternativas de una cola, en la dirección indicada por la hipótesis.</w:t>
      </w:r>
      <w:r/>
    </w:p>
    <w:p>
      <w:pPr>
        <w:pStyle w:val="680"/>
        <w:spacing/>
        <w:ind/>
        <w:rPr/>
      </w:pPr>
      <w:r/>
      <w:bookmarkStart w:id="18" w:name="__RefHeading___Toc1515_3125598873"/>
      <w:r/>
      <w:bookmarkEnd w:id="18"/>
      <w:r>
        <w:t xml:space="preserve">4.1 H1 — La demora reduce la satisfacción</w:t>
      </w:r>
      <w:r/>
    </w:p>
    <w:p>
      <w:pPr>
        <w:pStyle w:val="678"/>
        <w:spacing/>
        <w:ind/>
        <w:rPr/>
      </w:pPr>
      <w:r>
        <w:t xml:space="preserve">Se comparó la distribución de calificaciones entre los pedidos entregados a tiempo (n = 100.849, media = 4,21) y los demorados (n = 8.520, media = 2,55) mediante la prueba de Mann-W</w:t>
      </w:r>
      <w:r>
        <w:t xml:space="preserve">hitney U con alternativa «a tiempo &gt; demorado». El estadístico U resultó 657.453.250 con un p-valor prácticamente igual a cero. La hipótesis se confirma: la diferencia de satisfacción entre ambos grupos es estadísticamente significativa y de gran magnitud.</w:t>
      </w:r>
      <w:r/>
    </w:p>
    <w:p>
      <w:pPr>
        <w:pStyle w:val="680"/>
        <w:spacing/>
        <w:ind/>
        <w:rPr/>
      </w:pPr>
      <w:r/>
      <w:bookmarkStart w:id="19" w:name="__RefHeading___Toc1517_3125598873"/>
      <w:r/>
      <w:bookmarkEnd w:id="19"/>
      <w:r>
        <w:t xml:space="preserve">4.2 H2 — Las reseñas negativas hablan de demoras</w:t>
      </w:r>
      <w:r/>
    </w:p>
    <w:p>
      <w:pPr>
        <w:pStyle w:val="678"/>
        <w:spacing/>
        <w:ind/>
        <w:rPr/>
      </w:pPr>
      <w:r>
        <w:t xml:space="preserve">Esta hipótesis se evaluó de forma cualitativa a partir de la evidencia producida en el análisis textual (sección 3.5). El rank</w:t>
      </w:r>
      <w:r>
        <w:t xml:space="preserve">ing de los quince términos más frecuentes en las reseñas negativas muestra que los primeros lugares están ocupados por palabras directamente relacionadas con el proceso de entrega y la falta de cumplimiento del plazo. La hipótesis se considera evidenciada.</w:t>
      </w:r>
      <w:r/>
    </w:p>
    <w:p>
      <w:pPr>
        <w:pStyle w:val="678"/>
        <w:spacing/>
        <w:ind/>
        <w:rPr/>
      </w:pPr>
      <w:r>
        <w:t xml:space="preserve">El clasificador propio de la sección 3.7 agrega un matiz: los términos que más empujan una reseña hacia la polaridad negativa expresan sobre todo ins</w:t>
      </w:r>
      <w:r>
        <w:t xml:space="preserve">atisfacción y arrepentimiento de la compra («não recomendo», «dinheiro», «cancelar»), mientras que la rapidez de la entrega aparece con fuerza en las reseñas positivas. La logística está en el centro de la conversación, pero no es la única fuente de queja.</w:t>
      </w:r>
      <w:r/>
    </w:p>
    <w:p>
      <w:pPr>
        <w:pStyle w:val="680"/>
        <w:spacing/>
        <w:ind/>
        <w:rPr/>
      </w:pPr>
      <w:r/>
      <w:bookmarkStart w:id="20" w:name="__RefHeading___Toc1519_3125598873"/>
      <w:r/>
      <w:bookmarkEnd w:id="20"/>
      <w:r>
        <w:t xml:space="preserve">4.3 H3 — Fuera del Sudeste, más tiempo y más flete</w:t>
      </w:r>
      <w:r/>
    </w:p>
    <w:p>
      <w:pPr>
        <w:pStyle w:val="678"/>
        <w:spacing/>
        <w:ind/>
        <w:rPr/>
      </w:pPr>
      <w:r>
        <w:t xml:space="preserve">Se comparó el tiempo de entrega entre los clientes del Sudeste (n = 75.731, media = 10,2 días) y los del resto del país (n = 34.465, media = 15,9 días) mediante Mann-Whitney U con</w:t>
      </w:r>
      <w:r>
        <w:t xml:space="preserve"> alternativa «Sudeste &lt; resto». El p-valor resultó prácticamente cero. Adicionalmente, el flete promedio en el Sudeste es de R$ 17,4 frente a R$ 25,7 en el resto. La hipótesis se confirma: la ventaja logística del Sudeste es estadísticamente significativa.</w:t>
      </w:r>
      <w:r/>
    </w:p>
    <w:p>
      <w:pPr>
        <w:pStyle w:val="680"/>
        <w:spacing/>
        <w:ind/>
        <w:rPr/>
      </w:pPr>
      <w:r/>
      <w:bookmarkStart w:id="21" w:name="__RefHeading___Toc1521_3125598873"/>
      <w:r/>
      <w:bookmarkEnd w:id="21"/>
      <w:r>
        <w:t xml:space="preserve">4.4 Hipótesis adicional — Mayor distancia implica mayor tiempo</w:t>
      </w:r>
      <w:r/>
    </w:p>
    <w:p>
      <w:pPr>
        <w:pStyle w:val="678"/>
        <w:spacing/>
        <w:ind/>
        <w:rPr/>
      </w:pPr>
      <w:r>
        <w:t xml:space="preserve">Se calculó la correlación de Spearm</w:t>
      </w:r>
      <w:r>
        <w:t xml:space="preserve">an entre la distancia cliente-vendedor y el tiempo de entrega, obteniendo un coeficiente ρ = 0,54 con p-valor prácticamente cero. La relación es positiva, monotónica y estadísticamente significativa: cada kilómetro adicional se asocia a más días de espera.</w:t>
      </w:r>
      <w:r/>
    </w:p>
    <w:p>
      <w:pPr>
        <w:pStyle w:val="680"/>
        <w:spacing/>
        <w:ind/>
        <w:rPr/>
      </w:pPr>
      <w:r/>
      <w:bookmarkStart w:id="22" w:name="__RefHeading___Toc1523_3125598873"/>
      <w:r/>
      <w:bookmarkEnd w:id="22"/>
      <w:r>
        <w:t xml:space="preserve">4.5 Resumen de resultados</w:t>
      </w:r>
      <w:r/>
    </w:p>
    <w:tbl>
      <w:tblPr>
        <w:tblStyle w:val="895"/>
        <w:jc w:val="center"/>
        <w:tblInd w:w="0" w:type="dxa"/>
        <w:tblW w:w="9404" w:type="dxa"/>
        <w:tblCellMar>
          <w:left w:w="108" w:type="dxa"/>
          <w:top w:w="0" w:type="dxa"/>
          <w:right w:w="108" w:type="dxa"/>
          <w:bottom w:w="0" w:type="dxa"/>
        </w:tblCellMar>
        <w:tblBorders/>
        <w:tblLayout w:type="fixed"/>
        <w:tblLook w:val="04A0" w:firstRow="1" w:lastRow="0" w:firstColumn="1" w:lastColumn="0" w:noHBand="0" w:noVBand="1"/>
      </w:tblPr>
      <w:tblGrid>
        <w:gridCol w:w="2351"/>
        <w:gridCol w:w="2351"/>
        <w:gridCol w:w="2351"/>
        <w:gridCol w:w="2350"/>
      </w:tblGrid>
      <w:tr>
        <w:trPr/>
        <w:tc>
          <w:tcPr>
            <w:shd w:val="clear" w:color="auto" w:fill="1f3a5f"/>
            <w:tcBorders/>
            <w:tcW w:w="2351"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Hipótesis</w:t>
            </w:r>
            <w:r>
              <w:rPr>
                <w:szCs w:val="22"/>
                <w:lang w:val="en-US" w:eastAsia="en-US" w:bidi="ar-SA"/>
              </w:rPr>
            </w:r>
          </w:p>
        </w:tc>
        <w:tc>
          <w:tcPr>
            <w:shd w:val="clear" w:color="auto" w:fill="1f3a5f"/>
            <w:tcBorders/>
            <w:tcW w:w="2351"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Test</w:t>
            </w:r>
            <w:r>
              <w:rPr>
                <w:szCs w:val="22"/>
                <w:lang w:val="en-US" w:eastAsia="en-US" w:bidi="ar-SA"/>
              </w:rPr>
            </w:r>
          </w:p>
        </w:tc>
        <w:tc>
          <w:tcPr>
            <w:shd w:val="clear" w:color="auto" w:fill="1f3a5f"/>
            <w:tcBorders/>
            <w:tcW w:w="2351"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p-valor</w:t>
            </w:r>
            <w:r>
              <w:rPr>
                <w:szCs w:val="22"/>
                <w:lang w:val="en-US" w:eastAsia="en-US" w:bidi="ar-SA"/>
              </w:rPr>
            </w:r>
          </w:p>
        </w:tc>
        <w:tc>
          <w:tcPr>
            <w:shd w:val="clear" w:color="auto" w:fill="1f3a5f"/>
            <w:tcBorders/>
            <w:tcW w:w="2350"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Veredicto</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H1 — La demora reduce la satisfacción</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Mann-Whitney U</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 </w:t>
            </w:r>
            <w:r>
              <w:rPr>
                <w:color w:val="2b2b2b"/>
                <w:sz w:val="18"/>
                <w:szCs w:val="22"/>
                <w:lang w:val="en-US" w:eastAsia="en-US" w:bidi="ar-SA"/>
              </w:rPr>
              <w:t xml:space="preserve">0</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Confirmada</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H2 — Las reseñas negativas hablan de demoras</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Cualitativo (NLP)</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Evidenciada</w:t>
            </w:r>
            <w:r>
              <w:rPr>
                <w:szCs w:val="22"/>
                <w:lang w:val="en-US" w:eastAsia="en-US" w:bidi="ar-SA"/>
              </w:rPr>
            </w:r>
          </w:p>
        </w:tc>
      </w:tr>
      <w:tr>
        <w:trPr/>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H3 — Fuera del Sudeste: más días y flete</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Mann-Whitney U</w:t>
            </w:r>
            <w:r>
              <w:rPr>
                <w:szCs w:val="22"/>
                <w:lang w:val="en-US" w:eastAsia="en-US" w:bidi="ar-SA"/>
              </w:rPr>
            </w:r>
          </w:p>
        </w:tc>
        <w:tc>
          <w:tcPr>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 </w:t>
            </w:r>
            <w:r>
              <w:rPr>
                <w:color w:val="2b2b2b"/>
                <w:sz w:val="18"/>
                <w:szCs w:val="22"/>
                <w:lang w:val="en-US" w:eastAsia="en-US" w:bidi="ar-SA"/>
              </w:rPr>
              <w:t xml:space="preserve">0</w:t>
            </w:r>
            <w:r>
              <w:rPr>
                <w:szCs w:val="22"/>
                <w:lang w:val="en-US" w:eastAsia="en-US" w:bidi="ar-SA"/>
              </w:rPr>
            </w:r>
          </w:p>
        </w:tc>
        <w:tc>
          <w:tcPr>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Confirmada</w:t>
            </w:r>
            <w:r>
              <w:rPr>
                <w:szCs w:val="22"/>
                <w:lang w:val="en-US" w:eastAsia="en-US" w:bidi="ar-SA"/>
              </w:rPr>
            </w:r>
          </w:p>
        </w:tc>
      </w:tr>
      <w:tr>
        <w:trPr/>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Adicional — Más km ⇒ más días</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Spearman</w:t>
            </w:r>
            <w:r>
              <w:rPr>
                <w:szCs w:val="22"/>
                <w:lang w:val="en-US" w:eastAsia="en-US" w:bidi="ar-SA"/>
              </w:rPr>
            </w:r>
          </w:p>
        </w:tc>
        <w:tc>
          <w:tcPr>
            <w:shd w:val="clear" w:color="auto" w:fill="f0f2f5"/>
            <w:tcBorders/>
            <w:tcW w:w="2351"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 </w:t>
            </w:r>
            <w:r>
              <w:rPr>
                <w:color w:val="2b2b2b"/>
                <w:sz w:val="18"/>
                <w:szCs w:val="22"/>
                <w:lang w:val="en-US" w:eastAsia="en-US" w:bidi="ar-SA"/>
              </w:rPr>
              <w:t xml:space="preserve">0</w:t>
            </w:r>
            <w:r>
              <w:rPr>
                <w:szCs w:val="22"/>
                <w:lang w:val="en-US" w:eastAsia="en-US" w:bidi="ar-SA"/>
              </w:rPr>
            </w:r>
          </w:p>
        </w:tc>
        <w:tc>
          <w:tcPr>
            <w:shd w:val="clear" w:color="auto" w:fill="f0f2f5"/>
            <w:tcBorders/>
            <w:tcW w:w="2350"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Confirmada</w:t>
            </w:r>
            <w:r>
              <w:rPr>
                <w:szCs w:val="22"/>
                <w:lang w:val="en-US" w:eastAsia="en-US" w:bidi="ar-SA"/>
              </w:rPr>
            </w:r>
          </w:p>
        </w:tc>
      </w:tr>
    </w:tbl>
    <w:p>
      <w:pPr>
        <w:pStyle w:val="678"/>
        <w:spacing w:after="280" w:before="0"/>
        <w:ind/>
        <w:jc w:val="center"/>
        <w:rPr/>
      </w:pPr>
      <w:r>
        <w:rPr>
          <w:i/>
          <w:color w:val="555555"/>
          <w:sz w:val="18"/>
        </w:rPr>
        <w:t xml:space="preserve">Tabla 2. Resumen del contraste de hipótesis.</w:t>
      </w:r>
      <w:r/>
    </w:p>
    <w:p>
      <w:pPr>
        <w:pStyle w:val="678"/>
        <w:spacing/>
        <w:ind/>
        <w:rPr/>
      </w:pPr>
      <w:r>
        <w:t xml:space="preserve">Es importante notar que los tests se ejecutaron a nivel de ítem de pedido, de modo que los ítems de un mismo pedido multipedido no son estrictamente independientes. Esta limitación, habitual en datos transaccionales, se discute en la sección 8.</w:t>
      </w:r>
      <w:r/>
    </w:p>
    <w:p>
      <w:pPr>
        <w:pStyle w:val="679"/>
        <w:spacing/>
        <w:ind/>
        <w:rPr/>
      </w:pPr>
      <w:r/>
      <w:bookmarkStart w:id="23" w:name="__RefHeading___Toc1525_3125598873"/>
      <w:r/>
      <w:bookmarkEnd w:id="23"/>
      <w:r>
        <w:t xml:space="preserve">5. Modelado predictivo</w:t>
      </w:r>
      <w:r/>
    </w:p>
    <w:p>
      <w:pPr>
        <w:pStyle w:val="680"/>
        <w:spacing/>
        <w:ind/>
        <w:rPr/>
      </w:pPr>
      <w:r/>
      <w:bookmarkStart w:id="24" w:name="__RefHeading___Toc1527_3125598873"/>
      <w:r/>
      <w:bookmarkEnd w:id="24"/>
      <w:r>
        <w:t xml:space="preserve">5.1 Clasificación de la reseña</w:t>
      </w:r>
      <w:r/>
    </w:p>
    <w:p>
      <w:pPr>
        <w:pStyle w:val="681"/>
        <w:spacing/>
        <w:ind/>
        <w:rPr/>
      </w:pPr>
      <w:r/>
      <w:bookmarkStart w:id="25" w:name="__RefHeading___Toc1529_3125598873"/>
      <w:r/>
      <w:bookmarkEnd w:id="25"/>
      <w:r>
        <w:t xml:space="preserve">5.1.1 Diseño del problema</w:t>
      </w:r>
      <w:r/>
    </w:p>
    <w:p>
      <w:pPr>
        <w:pStyle w:val="678"/>
        <w:spacing/>
        <w:ind/>
        <w:rPr/>
      </w:pPr>
      <w:r>
        <w:t xml:space="preserve">El objetivo es anticipar si una compra terminará en reseña positiva (4-5 estrellas) o negativa (1-2 estrellas) utilizando exclusivamente información disponible al momento de la compra. Las res</w:t>
      </w:r>
      <w:r>
        <w:t xml:space="preserve">eñas neutrales (3 estrellas) se excluyen del target para obtener un problema de clasificación binaria más nítido. El dataset etiquetado contiene 84.347 reseñas positivas y 17.986 negativas (proporción 82 %/18 %), lo que configura un problema desbalanceado.</w:t>
      </w:r>
      <w:r/>
    </w:p>
    <w:p>
      <w:pPr>
        <w:pStyle w:val="678"/>
        <w:spacing/>
        <w:ind/>
        <w:rPr/>
      </w:pPr>
      <w:r>
        <w:t xml:space="preserve">Se utilizan 117 variables agrupadas en cinco bloques: numéricas base (distancia, volu</w:t>
      </w:r>
      <w:r>
        <w:t xml:space="preserve">men, peso, precio, flete, ratio de flete, ítems por pedido, cuotas), historial del vendedor (porcentaje de demora, cantidad de pedidos, reseña promedio, categorías), temporales (mes, día de la semana, temporada alta), geográficas (mismo estado) y categóric</w:t>
      </w:r>
      <w:r>
        <w:t xml:space="preserve">as codificadas mediante one-hot (categoría de producto, región, medio de pago, estado del cliente). Las variables post-compra —texto de la reseña, calificación, demora real y fechas de entrega— se excluyen explícitamente para evitar la fuga de información.</w:t>
      </w:r>
      <w:r/>
    </w:p>
    <w:p>
      <w:pPr>
        <w:pStyle w:val="681"/>
        <w:spacing/>
        <w:ind/>
        <w:rPr/>
      </w:pPr>
      <w:r/>
      <w:bookmarkStart w:id="26" w:name="__RefHeading___Toc1531_3125598873"/>
      <w:r/>
      <w:bookmarkEnd w:id="26"/>
      <w:r>
        <w:t xml:space="preserve">5.1.2 Separación de datos e historial del vendedor</w:t>
      </w:r>
      <w:r/>
    </w:p>
    <w:p>
      <w:pPr>
        <w:pStyle w:val="678"/>
        <w:spacing/>
        <w:ind/>
        <w:rPr/>
      </w:pPr>
      <w:r>
        <w:t xml:space="preserve">El dataset se</w:t>
      </w:r>
      <w:r>
        <w:t xml:space="preserve"> dividió en entrenamiento (76.749 filas, 75 %) y prueba (25.584 filas, 25 %) mediante un split estratificado por el target. A partir de las filas de entrenamiento se calcularon cuatro variables de historial del vendedor: porcentaje de demora, cantidad de p</w:t>
      </w:r>
      <w:r>
        <w:t xml:space="preserve">edidos, reseña promedio y cantidad de categorías. Los vendedores que solo aparecen en el conjunto de prueba reciben el promedio global del entrenamiento. Este diseño garantiza que el historial no filtre información del propio pedido que se quiere predecir.</w:t>
      </w:r>
      <w:r/>
    </w:p>
    <w:p>
      <w:pPr>
        <w:pStyle w:val="681"/>
        <w:spacing/>
        <w:ind/>
        <w:rPr/>
      </w:pPr>
      <w:r/>
      <w:bookmarkStart w:id="27" w:name="__RefHeading___Toc1533_3125598873"/>
      <w:r/>
      <w:bookmarkEnd w:id="27"/>
      <w:r>
        <w:t xml:space="preserve">5.1.3 Entrenamiento y evaluación</w:t>
      </w:r>
      <w:r/>
    </w:p>
    <w:p>
      <w:pPr>
        <w:pStyle w:val="678"/>
        <w:spacing/>
        <w:ind/>
        <w:rPr/>
      </w:pPr>
      <w:r>
        <w:t xml:space="preserve">Se entrenó </w:t>
      </w:r>
      <w:r>
        <w:t xml:space="preserve">un modelo LightGBM con 300 árboles, learning rate de 0,05, 31 hojas por árbol y class_weight = balanced para compensar el desbalance de clases. La evaluación se realizó sobre el conjunto de prueba, priorizando las métricas que pesan por igual ambas clases.</w:t>
      </w:r>
      <w:r/>
    </w:p>
    <w:tbl>
      <w:tblPr>
        <w:tblStyle w:val="895"/>
        <w:jc w:val="center"/>
        <w:tblInd w:w="0" w:type="dxa"/>
        <w:tblW w:w="9406" w:type="dxa"/>
        <w:tblCellMar>
          <w:left w:w="108" w:type="dxa"/>
          <w:top w:w="0" w:type="dxa"/>
          <w:right w:w="108" w:type="dxa"/>
          <w:bottom w:w="0" w:type="dxa"/>
        </w:tblCellMar>
        <w:tblBorders/>
        <w:tblLayout w:type="fixed"/>
        <w:tblLook w:val="04A0" w:firstRow="1" w:lastRow="0" w:firstColumn="1" w:lastColumn="0" w:noHBand="0" w:noVBand="1"/>
      </w:tblPr>
      <w:tblGrid>
        <w:gridCol w:w="4703"/>
        <w:gridCol w:w="4702"/>
      </w:tblGrid>
      <w:tr>
        <w:trPr/>
        <w:tc>
          <w:tcPr>
            <w:shd w:val="clear" w:color="auto" w:fill="1f3a5f"/>
            <w:tcBorders/>
            <w:tcW w:w="4703"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Métrica</w:t>
            </w:r>
            <w:r>
              <w:rPr>
                <w:szCs w:val="22"/>
                <w:lang w:val="en-US" w:eastAsia="en-US" w:bidi="ar-SA"/>
              </w:rPr>
            </w:r>
          </w:p>
        </w:tc>
        <w:tc>
          <w:tcPr>
            <w:shd w:val="clear" w:color="auto" w:fill="1f3a5f"/>
            <w:tcBorders/>
            <w:tcW w:w="4702"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Valor</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Accuracy</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0,718</w:t>
            </w:r>
            <w:r>
              <w:rPr>
                <w:szCs w:val="22"/>
                <w:lang w:val="en-US" w:eastAsia="en-US" w:bidi="ar-SA"/>
              </w:rPr>
            </w:r>
          </w:p>
        </w:tc>
      </w:tr>
      <w:tr>
        <w:trPr/>
        <w:tc>
          <w:tcPr>
            <w:shd w:val="clear" w:color="auto" w:fill="f0f2f5"/>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Precision macro</w:t>
            </w:r>
            <w:r>
              <w:rPr>
                <w:szCs w:val="22"/>
                <w:lang w:val="en-US" w:eastAsia="en-US" w:bidi="ar-SA"/>
              </w:rPr>
            </w:r>
          </w:p>
        </w:tc>
        <w:tc>
          <w:tcPr>
            <w:shd w:val="clear" w:color="auto" w:fill="f0f2f5"/>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0,612</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Recall macro</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0,666</w:t>
            </w:r>
            <w:r>
              <w:rPr>
                <w:szCs w:val="22"/>
                <w:lang w:val="en-US" w:eastAsia="en-US" w:bidi="ar-SA"/>
              </w:rPr>
            </w:r>
          </w:p>
        </w:tc>
      </w:tr>
      <w:tr>
        <w:trPr/>
        <w:tc>
          <w:tcPr>
            <w:shd w:val="clear" w:color="auto" w:fill="f0f2f5"/>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F1 macro</w:t>
            </w:r>
            <w:r>
              <w:rPr>
                <w:szCs w:val="22"/>
                <w:lang w:val="en-US" w:eastAsia="en-US" w:bidi="ar-SA"/>
              </w:rPr>
            </w:r>
          </w:p>
        </w:tc>
        <w:tc>
          <w:tcPr>
            <w:shd w:val="clear" w:color="auto" w:fill="f0f2f5"/>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0,618</w:t>
            </w:r>
            <w:r>
              <w:rPr>
                <w:szCs w:val="22"/>
                <w:lang w:val="en-US" w:eastAsia="en-US" w:bidi="ar-SA"/>
              </w:rPr>
            </w:r>
          </w:p>
        </w:tc>
      </w:tr>
      <w:tr>
        <w:trPr/>
        <w:tc>
          <w:tcPr>
            <w:tcBorders/>
            <w:tcW w:w="4703"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AUC</w:t>
            </w:r>
            <w:r>
              <w:rPr>
                <w:szCs w:val="22"/>
                <w:lang w:val="en-US" w:eastAsia="en-US" w:bidi="ar-SA"/>
              </w:rPr>
            </w:r>
          </w:p>
        </w:tc>
        <w:tc>
          <w:tcPr>
            <w:tcBorders/>
            <w:tcW w:w="4702"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0,718</w:t>
            </w:r>
            <w:r>
              <w:rPr>
                <w:szCs w:val="22"/>
                <w:lang w:val="en-US" w:eastAsia="en-US" w:bidi="ar-SA"/>
              </w:rPr>
            </w:r>
          </w:p>
        </w:tc>
      </w:tr>
    </w:tbl>
    <w:p>
      <w:pPr>
        <w:pStyle w:val="678"/>
        <w:spacing w:after="280" w:before="0"/>
        <w:ind/>
        <w:jc w:val="center"/>
        <w:rPr/>
      </w:pPr>
      <w:r>
        <w:rPr>
          <w:i/>
          <w:color w:val="555555"/>
          <w:sz w:val="18"/>
        </w:rPr>
        <w:t xml:space="preserve">Tabla 3. Métricas del clasificador sobre el conjunto de prueba.</w:t>
      </w:r>
      <w:r/>
    </w:p>
    <w:p>
      <w:pPr>
        <w:pStyle w:val="678"/>
        <w:spacing/>
        <w:ind/>
        <w:rPr/>
      </w:pPr>
      <w:r>
        <w:t xml:space="preserve">El AUC de 0,72 y el F1 macro de 0,62 son modestos pero legítimos: al utilizar únicamente información previa </w:t>
      </w:r>
      <w:r>
        <w:t xml:space="preserve">a la entrega, el modelo no puede capturar el factor que más influye en la reseña (si el envío llegó tarde), porque ese dato aún no ocurrió. Aun así, el modelo separa significativamente mejor que el azar y es útil como herramienta de priorización de riesgo.</w:t>
      </w:r>
      <w:r/>
    </w:p>
    <w:p>
      <w:pPr>
        <w:pStyle w:val="678"/>
        <w:spacing/>
        <w:ind/>
        <w:jc w:val="center"/>
        <w:rPr/>
      </w:pPr>
      <w:r>
        <mc:AlternateContent>
          <mc:Choice Requires="wpg">
            <w:drawing>
              <wp:inline xmlns:wp="http://schemas.openxmlformats.org/drawingml/2006/wordprocessingDrawing" distT="0" distB="0" distL="0" distR="0">
                <wp:extent cx="4206240" cy="3747135"/>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pic:cNvPicPr>
                        <pic:nvPr/>
                      </pic:nvPicPr>
                      <pic:blipFill rotWithShape="1">
                        <a:blip r:embed="rId24"/>
                        <a:stretch/>
                      </pic:blipFill>
                      <pic:spPr bwMode="auto">
                        <a:xfrm>
                          <a:off x="0" y="0"/>
                          <a:ext cx="4206240" cy="37471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31.20pt;height:295.05pt;mso-wrap-distance-left:0.00pt;mso-wrap-distance-top:0.00pt;mso-wrap-distance-right:0.00pt;mso-wrap-distance-bottom:0.00pt;z-index:1;" stroked="false">
                <v:imagedata r:id="rId24" o:title=""/>
                <o:lock v:ext="edit" rotation="t"/>
              </v:shape>
            </w:pict>
          </mc:Fallback>
        </mc:AlternateContent>
      </w:r>
      <w:r/>
    </w:p>
    <w:p>
      <w:pPr>
        <w:pStyle w:val="678"/>
        <w:spacing w:after="280" w:before="0"/>
        <w:ind/>
        <w:jc w:val="center"/>
        <w:rPr/>
      </w:pPr>
      <w:r>
        <w:rPr>
          <w:i/>
          <w:color w:val="555555"/>
          <w:sz w:val="18"/>
        </w:rPr>
        <w:t xml:space="preserve">Figura 11. Curva ROC del clasificador sobre el conjunto de prueba.</w:t>
      </w:r>
      <w:r/>
    </w:p>
    <w:p>
      <w:pPr>
        <w:pStyle w:val="678"/>
        <w:spacing/>
        <w:ind/>
        <w:jc w:val="center"/>
        <w:rPr/>
      </w:pPr>
      <w:r>
        <mc:AlternateContent>
          <mc:Choice Requires="wpg">
            <w:drawing>
              <wp:inline xmlns:wp="http://schemas.openxmlformats.org/drawingml/2006/wordprocessingDrawing" distT="0" distB="0" distL="0" distR="0">
                <wp:extent cx="3840480" cy="3555365"/>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pic:cNvPicPr>
                        <pic:nvPr/>
                      </pic:nvPicPr>
                      <pic:blipFill rotWithShape="1">
                        <a:blip r:embed="rId25"/>
                        <a:stretch/>
                      </pic:blipFill>
                      <pic:spPr bwMode="auto">
                        <a:xfrm>
                          <a:off x="0" y="0"/>
                          <a:ext cx="3840480" cy="35553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02.40pt;height:279.95pt;mso-wrap-distance-left:0.00pt;mso-wrap-distance-top:0.00pt;mso-wrap-distance-right:0.00pt;mso-wrap-distance-bottom:0.00pt;z-index:1;" stroked="false">
                <v:imagedata r:id="rId25" o:title=""/>
                <o:lock v:ext="edit" rotation="t"/>
              </v:shape>
            </w:pict>
          </mc:Fallback>
        </mc:AlternateContent>
      </w:r>
      <w:r/>
    </w:p>
    <w:p>
      <w:pPr>
        <w:pStyle w:val="678"/>
        <w:spacing w:after="280" w:before="0"/>
        <w:ind/>
        <w:jc w:val="center"/>
        <w:rPr/>
      </w:pPr>
      <w:r>
        <w:rPr>
          <w:i/>
          <w:color w:val="555555"/>
          <w:sz w:val="18"/>
        </w:rPr>
        <w:t xml:space="preserve">Figura 12. Matriz de confusión normalizada por clase real.</w:t>
      </w:r>
      <w:r/>
    </w:p>
    <w:p>
      <w:pPr>
        <w:pStyle w:val="678"/>
        <w:spacing/>
        <w:ind/>
        <w:rPr/>
      </w:pPr>
      <w:r>
        <w:t xml:space="preserve">La matriz de confusión muestra que el modelo detecta correctamente el 59 % de las reseñas negativas (recall de la clase negativa), a costa de clasificar como negativo el 25 % de las reseñas que</w:t>
      </w:r>
      <w:r>
        <w:t xml:space="preserve"> en realidad son positivas (falsos negativos desde la perspectiva de la clase positiva). En un contexto de negocio, este trade-off es aceptable: es preferible alertar sobre algunos pedidos que terminarán bien a dejar pasar sin aviso los que terminarán mal.</w:t>
      </w:r>
      <w:r/>
    </w:p>
    <w:p>
      <w:pPr>
        <w:pStyle w:val="681"/>
        <w:spacing/>
        <w:ind/>
        <w:rPr/>
      </w:pPr>
      <w:r/>
      <w:bookmarkStart w:id="28" w:name="__RefHeading___Toc1535_3125598873"/>
      <w:r/>
      <w:bookmarkEnd w:id="28"/>
      <w:r>
        <w:t xml:space="preserve">5.1.4 Variables más influyentes</w:t>
      </w:r>
      <w:r/>
    </w:p>
    <w:p>
      <w:pPr>
        <w:pStyle w:val="678"/>
        <w:spacing/>
        <w:ind/>
        <w:rPr/>
      </w:pPr>
      <w:r>
        <w:t xml:space="preserve">L</w:t>
      </w:r>
      <w:r>
        <w:t xml:space="preserve">a variable con mayor peso en el modelo es la reseña histórica promedio del vendedor: el mejor predictor de si un cliente quedará conforme es cómo quedaron los clientes anteriores de ese mismo vendedor. Le siguen la distancia cliente-vendedor, el costo de f</w:t>
      </w:r>
      <w:r>
        <w:t xml:space="preserve">lete, el mes de compra y el ratio flete/precio. Las cuatro variables de historial del vendedor aparecen entre las quince más importantes, lo que confirma que la trayectoria pasada del vendedor es la señal más informativa disponible al momento de la compra.</w:t>
      </w:r>
      <w:r/>
    </w:p>
    <w:p>
      <w:pPr>
        <w:pStyle w:val="678"/>
        <w:spacing/>
        <w:ind/>
        <w:jc w:val="center"/>
        <w:rPr/>
      </w:pPr>
      <w:r>
        <mc:AlternateContent>
          <mc:Choice Requires="wpg">
            <w:drawing>
              <wp:inline xmlns:wp="http://schemas.openxmlformats.org/drawingml/2006/wordprocessingDrawing" distT="0" distB="0" distL="0" distR="0">
                <wp:extent cx="5303520" cy="3112770"/>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pic:cNvPicPr>
                        <pic:nvPr/>
                      </pic:nvPicPr>
                      <pic:blipFill rotWithShape="1">
                        <a:blip r:embed="rId26"/>
                        <a:stretch/>
                      </pic:blipFill>
                      <pic:spPr bwMode="auto">
                        <a:xfrm>
                          <a:off x="0" y="0"/>
                          <a:ext cx="5303520" cy="31127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7.60pt;height:245.10pt;mso-wrap-distance-left:0.00pt;mso-wrap-distance-top:0.00pt;mso-wrap-distance-right:0.00pt;mso-wrap-distance-bottom:0.00pt;z-index:1;" stroked="false">
                <v:imagedata r:id="rId26" o:title=""/>
                <o:lock v:ext="edit" rotation="t"/>
              </v:shape>
            </w:pict>
          </mc:Fallback>
        </mc:AlternateContent>
      </w:r>
      <w:r/>
    </w:p>
    <w:p>
      <w:pPr>
        <w:pStyle w:val="678"/>
        <w:spacing w:after="280" w:before="0"/>
        <w:ind/>
        <w:jc w:val="center"/>
        <w:rPr/>
      </w:pPr>
      <w:r>
        <w:rPr>
          <w:i/>
          <w:color w:val="555555"/>
          <w:sz w:val="18"/>
        </w:rPr>
        <w:t xml:space="preserve">Figura 13. Las quince variables más influyentes del modelo (por cantidad de divisiones).</w:t>
      </w:r>
      <w:r/>
    </w:p>
    <w:p>
      <w:pPr>
        <w:pStyle w:val="681"/>
        <w:spacing/>
        <w:ind/>
        <w:rPr/>
      </w:pPr>
      <w:r/>
      <w:bookmarkStart w:id="29" w:name="__RefHeading___Toc1537_3125598873"/>
      <w:r/>
      <w:bookmarkEnd w:id="29"/>
      <w:r>
        <w:t xml:space="preserve">5.1.5 Valor operativo del modelo</w:t>
      </w:r>
      <w:r/>
    </w:p>
    <w:p>
      <w:pPr>
        <w:pStyle w:val="678"/>
        <w:spacing/>
        <w:ind/>
        <w:rPr/>
      </w:pPr>
      <w:r>
        <w:t xml:space="preserve">La curva de captura muestra que, al priorizar los pedidos por riesgo según el modelo, se detecta el 31 % de las reseñas negativas revisando solo el 10 % de los pedidos, el 47 % revisa</w:t>
      </w:r>
      <w:r>
        <w:t xml:space="preserve">ndo el 20 % y el 57 % revisando el 30 %. Esto significa que un equipo de atención al cliente que contacte proactivamente al 20 % de mayor riesgo estaría cubriendo casi la mitad de las experiencias negativas antes de que se conviertan en reseñas publicadas.</w:t>
      </w:r>
      <w:r/>
    </w:p>
    <w:p>
      <w:pPr>
        <w:pStyle w:val="678"/>
        <w:spacing/>
        <w:ind/>
        <w:jc w:val="center"/>
        <w:rPr/>
      </w:pPr>
      <w:r>
        <mc:AlternateContent>
          <mc:Choice Requires="wpg">
            <w:drawing>
              <wp:inline xmlns:wp="http://schemas.openxmlformats.org/drawingml/2006/wordprocessingDrawing" distT="0" distB="0" distL="0" distR="0">
                <wp:extent cx="5303520" cy="3994785"/>
                <wp:effectExtent l="0" t="0" r="0" b="0"/>
                <wp:docPr id="1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pic:cNvPicPr>
                          <a:picLocks noChangeAspect="1"/>
                        </pic:cNvPicPr>
                        <pic:nvPr/>
                      </pic:nvPicPr>
                      <pic:blipFill rotWithShape="1">
                        <a:blip r:embed="rId27"/>
                        <a:stretch/>
                      </pic:blipFill>
                      <pic:spPr bwMode="auto">
                        <a:xfrm>
                          <a:off x="0" y="0"/>
                          <a:ext cx="5303520" cy="39947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7.60pt;height:314.55pt;mso-wrap-distance-left:0.00pt;mso-wrap-distance-top:0.00pt;mso-wrap-distance-right:0.00pt;mso-wrap-distance-bottom:0.00pt;z-index:1;" stroked="false">
                <v:imagedata r:id="rId27" o:title=""/>
                <o:lock v:ext="edit" rotation="t"/>
              </v:shape>
            </w:pict>
          </mc:Fallback>
        </mc:AlternateContent>
      </w:r>
      <w:r/>
    </w:p>
    <w:p>
      <w:pPr>
        <w:pStyle w:val="678"/>
        <w:spacing w:after="280" w:before="0"/>
        <w:ind/>
        <w:jc w:val="center"/>
        <w:rPr/>
      </w:pPr>
      <w:r>
        <w:rPr>
          <w:i/>
          <w:color w:val="555555"/>
          <w:sz w:val="18"/>
        </w:rPr>
        <w:t xml:space="preserve">Figura 14. Curva de captura: proporción de reseñas negativas detectadas al priorizar por riesgo.</w:t>
      </w:r>
      <w:r/>
    </w:p>
    <w:p>
      <w:pPr>
        <w:pStyle w:val="680"/>
        <w:spacing/>
        <w:ind/>
        <w:rPr/>
      </w:pPr>
      <w:r/>
      <w:bookmarkStart w:id="30" w:name="__RefHeading___Toc1539_3125598873"/>
      <w:r/>
      <w:bookmarkEnd w:id="30"/>
      <w:r>
        <w:t xml:space="preserve">5.2 Segmentación de vendedores</w:t>
      </w:r>
      <w:r/>
    </w:p>
    <w:p>
      <w:pPr>
        <w:pStyle w:val="681"/>
        <w:spacing/>
        <w:ind/>
        <w:rPr/>
      </w:pPr>
      <w:r/>
      <w:bookmarkStart w:id="31" w:name="__RefHeading___Toc1541_3125598873"/>
      <w:r/>
      <w:bookmarkEnd w:id="31"/>
      <w:r>
        <w:t xml:space="preserve">5.2.1 Diseño y selección del número de segmentos</w:t>
      </w:r>
      <w:r/>
    </w:p>
    <w:p>
      <w:pPr>
        <w:pStyle w:val="678"/>
        <w:spacing/>
        <w:ind/>
        <w:rPr/>
      </w:pPr>
      <w:r>
        <w:t xml:space="preserve">Se agregó el dataset a nivel de vendedor calculando ocho variables de perfil: tiempo de entrega promedio, porcentaje de demora, distancia promedio al cliente, flete promedio, cantidad de p</w:t>
      </w:r>
      <w:r>
        <w:t xml:space="preserve">edidos, reseña promedio, precio promedio y cantidad de categorías vendidas. Se aplicó transformación logarítmica a las variables de pedidos y precio para reducir el efecto de los valores extremos, y se estandarizaron todas las variables con StandardScaler.</w:t>
      </w:r>
      <w:r/>
    </w:p>
    <w:p>
      <w:pPr>
        <w:pStyle w:val="678"/>
        <w:spacing/>
        <w:ind/>
        <w:rPr/>
      </w:pPr>
      <w:r>
        <w:t xml:space="preserve">Se evaluó K-Means con k de 2 a 8. Las métricas </w:t>
      </w:r>
      <w:r>
        <w:t xml:space="preserve">no dan una respuesta única: el codo no es muy marcado y el índice de silueta más alto se obtiene con k = 2 (0,33), mientras que con k = 3 baja a 0,18. Se eligió k = 3 por interpretabilidad de negocio, ya que con tres grupos se separa un segmento chico de v</w:t>
      </w:r>
      <w:r>
        <w:t xml:space="preserve">endedores con bajo desempeño, que es el de mayor interés para intervenir; con más grupos la silueta no mejora de forma clara. Valores en torno a 0,2-0,3 son habituales en datos de negocio reales, donde los grupos no forman clusters perfectamente separados.</w:t>
      </w:r>
      <w:r/>
    </w:p>
    <w:p>
      <w:pPr>
        <w:pStyle w:val="678"/>
        <w:spacing/>
        <w:ind/>
        <w:jc w:val="center"/>
        <w:rPr/>
      </w:pPr>
      <w:r>
        <mc:AlternateContent>
          <mc:Choice Requires="wpg">
            <w:drawing>
              <wp:inline xmlns:wp="http://schemas.openxmlformats.org/drawingml/2006/wordprocessingDrawing" distT="0" distB="0" distL="0" distR="0">
                <wp:extent cx="5303520" cy="3023870"/>
                <wp:effectExtent l="0" t="0" r="0" b="0"/>
                <wp:docPr id="1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pic:cNvPicPr>
                          <a:picLocks noChangeAspect="1"/>
                        </pic:cNvPicPr>
                        <pic:nvPr/>
                      </pic:nvPicPr>
                      <pic:blipFill rotWithShape="1">
                        <a:blip r:embed="rId28"/>
                        <a:stretch/>
                      </pic:blipFill>
                      <pic:spPr bwMode="auto">
                        <a:xfrm>
                          <a:off x="0" y="0"/>
                          <a:ext cx="5303520" cy="30238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17.60pt;height:238.10pt;mso-wrap-distance-left:0.00pt;mso-wrap-distance-top:0.00pt;mso-wrap-distance-right:0.00pt;mso-wrap-distance-bottom:0.00pt;z-index:1;" stroked="false">
                <v:imagedata r:id="rId28" o:title=""/>
                <o:lock v:ext="edit" rotation="t"/>
              </v:shape>
            </w:pict>
          </mc:Fallback>
        </mc:AlternateContent>
      </w:r>
      <w:r/>
    </w:p>
    <w:p>
      <w:pPr>
        <w:pStyle w:val="678"/>
        <w:spacing w:after="280" w:before="0"/>
        <w:ind/>
        <w:jc w:val="center"/>
        <w:rPr/>
      </w:pPr>
      <w:r>
        <w:rPr>
          <w:i/>
          <w:color w:val="555555"/>
          <w:sz w:val="18"/>
        </w:rPr>
        <w:t xml:space="preserve">Figura 15. Método del codo e índice de silueta para la elección de k.</w:t>
      </w:r>
      <w:r/>
    </w:p>
    <w:p>
      <w:pPr>
        <w:pStyle w:val="681"/>
        <w:spacing/>
        <w:ind/>
        <w:rPr/>
      </w:pPr>
      <w:r/>
      <w:bookmarkStart w:id="32" w:name="__RefHeading___Toc1543_3125598873"/>
      <w:r/>
      <w:bookmarkEnd w:id="32"/>
      <w:r>
        <w:t xml:space="preserve">5.2.2 Perfil de los tres segmentos</w:t>
      </w:r>
      <w:r/>
    </w:p>
    <w:p>
      <w:pPr>
        <w:pStyle w:val="678"/>
        <w:spacing/>
        <w:ind/>
        <w:rPr/>
      </w:pPr>
      <w:r>
        <w:t xml:space="preserve">Los tres segmentos resultantes se etiquetaron según su perfil de negocio:</w:t>
      </w:r>
      <w:r/>
    </w:p>
    <w:tbl>
      <w:tblPr>
        <w:tblStyle w:val="895"/>
        <w:jc w:val="center"/>
        <w:tblInd w:w="0" w:type="dxa"/>
        <w:tblW w:w="9408" w:type="dxa"/>
        <w:tblCellMar>
          <w:left w:w="108" w:type="dxa"/>
          <w:top w:w="0" w:type="dxa"/>
          <w:right w:w="108" w:type="dxa"/>
          <w:bottom w:w="0" w:type="dxa"/>
        </w:tblCellMar>
        <w:tblBorders/>
        <w:tblLayout w:type="fixed"/>
        <w:tblLook w:val="04A0" w:firstRow="1" w:lastRow="0" w:firstColumn="1" w:lastColumn="0" w:noHBand="0" w:noVBand="1"/>
      </w:tblPr>
      <w:tblGrid>
        <w:gridCol w:w="1568"/>
        <w:gridCol w:w="1567"/>
        <w:gridCol w:w="1569"/>
        <w:gridCol w:w="1568"/>
        <w:gridCol w:w="1567"/>
        <w:gridCol w:w="1568"/>
      </w:tblGrid>
      <w:tr>
        <w:trPr/>
        <w:tc>
          <w:tcPr>
            <w:shd w:val="clear" w:color="auto" w:fill="1f3a5f"/>
            <w:tcBorders/>
            <w:tcW w:w="1568"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Segmento</w:t>
            </w:r>
            <w:r>
              <w:rPr>
                <w:szCs w:val="22"/>
                <w:lang w:val="en-US" w:eastAsia="en-US" w:bidi="ar-SA"/>
              </w:rPr>
            </w:r>
          </w:p>
        </w:tc>
        <w:tc>
          <w:tcPr>
            <w:shd w:val="clear" w:color="auto" w:fill="1f3a5f"/>
            <w:tcBorders/>
            <w:tcW w:w="1567"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Vendedores</w:t>
            </w:r>
            <w:r>
              <w:rPr>
                <w:szCs w:val="22"/>
                <w:lang w:val="en-US" w:eastAsia="en-US" w:bidi="ar-SA"/>
              </w:rPr>
            </w:r>
          </w:p>
        </w:tc>
        <w:tc>
          <w:tcPr>
            <w:shd w:val="clear" w:color="auto" w:fill="1f3a5f"/>
            <w:tcBorders/>
            <w:tcW w:w="1569"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Entrega (días)</w:t>
            </w:r>
            <w:r>
              <w:rPr>
                <w:szCs w:val="22"/>
                <w:lang w:val="en-US" w:eastAsia="en-US" w:bidi="ar-SA"/>
              </w:rPr>
            </w:r>
          </w:p>
        </w:tc>
        <w:tc>
          <w:tcPr>
            <w:shd w:val="clear" w:color="auto" w:fill="1f3a5f"/>
            <w:tcBorders/>
            <w:tcW w:w="1568"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 demorado</w:t>
            </w:r>
            <w:r>
              <w:rPr>
                <w:szCs w:val="22"/>
                <w:lang w:val="en-US" w:eastAsia="en-US" w:bidi="ar-SA"/>
              </w:rPr>
            </w:r>
          </w:p>
        </w:tc>
        <w:tc>
          <w:tcPr>
            <w:shd w:val="clear" w:color="auto" w:fill="1f3a5f"/>
            <w:tcBorders/>
            <w:tcW w:w="1567"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Reseña prom.</w:t>
            </w:r>
            <w:r>
              <w:rPr>
                <w:szCs w:val="22"/>
                <w:lang w:val="en-US" w:eastAsia="en-US" w:bidi="ar-SA"/>
              </w:rPr>
            </w:r>
          </w:p>
        </w:tc>
        <w:tc>
          <w:tcPr>
            <w:shd w:val="clear" w:color="auto" w:fill="1f3a5f"/>
            <w:tcBorders/>
            <w:tcW w:w="1568"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Pedidos prom.</w:t>
            </w:r>
            <w:r>
              <w:rPr>
                <w:szCs w:val="22"/>
                <w:lang w:val="en-US" w:eastAsia="en-US" w:bidi="ar-SA"/>
              </w:rPr>
            </w:r>
          </w:p>
        </w:tc>
      </w:tr>
      <w:tr>
        <w:trPr/>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Ágiles de bajo volumen</w:t>
            </w:r>
            <w:r>
              <w:rPr>
                <w:szCs w:val="22"/>
                <w:lang w:val="en-US" w:eastAsia="en-US" w:bidi="ar-SA"/>
              </w:rPr>
            </w:r>
          </w:p>
        </w:tc>
        <w:tc>
          <w:tcPr>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1.704 (58 %)</w:t>
            </w:r>
            <w:r>
              <w:rPr>
                <w:szCs w:val="22"/>
                <w:lang w:val="en-US" w:eastAsia="en-US" w:bidi="ar-SA"/>
              </w:rPr>
            </w:r>
          </w:p>
        </w:tc>
        <w:tc>
          <w:tcPr>
            <w:tcBorders/>
            <w:tcW w:w="1569"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9,5</w:t>
            </w:r>
            <w:r>
              <w:rPr>
                <w:szCs w:val="22"/>
                <w:lang w:val="en-US" w:eastAsia="en-US" w:bidi="ar-SA"/>
              </w:rPr>
            </w:r>
          </w:p>
        </w:tc>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4 %</w:t>
            </w:r>
            <w:r>
              <w:rPr>
                <w:szCs w:val="22"/>
                <w:lang w:val="en-US" w:eastAsia="en-US" w:bidi="ar-SA"/>
              </w:rPr>
            </w:r>
          </w:p>
        </w:tc>
        <w:tc>
          <w:tcPr>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4,25</w:t>
            </w:r>
            <w:r>
              <w:rPr>
                <w:szCs w:val="22"/>
                <w:lang w:val="en-US" w:eastAsia="en-US" w:bidi="ar-SA"/>
              </w:rPr>
            </w:r>
          </w:p>
        </w:tc>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7</w:t>
            </w:r>
            <w:r>
              <w:rPr>
                <w:szCs w:val="22"/>
                <w:lang w:val="en-US" w:eastAsia="en-US" w:bidi="ar-SA"/>
              </w:rPr>
            </w:r>
          </w:p>
        </w:tc>
      </w:tr>
      <w:tr>
        <w:trPr/>
        <w:tc>
          <w:tcPr>
            <w:shd w:val="clear" w:color="auto" w:fill="f0f2f5"/>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Consolidados de alto volumen</w:t>
            </w:r>
            <w:r>
              <w:rPr>
                <w:szCs w:val="22"/>
                <w:lang w:val="en-US" w:eastAsia="en-US" w:bidi="ar-SA"/>
              </w:rPr>
            </w:r>
          </w:p>
        </w:tc>
        <w:tc>
          <w:tcPr>
            <w:shd w:val="clear" w:color="auto" w:fill="f0f2f5"/>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795 (27 %)</w:t>
            </w:r>
            <w:r>
              <w:rPr>
                <w:szCs w:val="22"/>
                <w:lang w:val="en-US" w:eastAsia="en-US" w:bidi="ar-SA"/>
              </w:rPr>
            </w:r>
          </w:p>
        </w:tc>
        <w:tc>
          <w:tcPr>
            <w:shd w:val="clear" w:color="auto" w:fill="f0f2f5"/>
            <w:tcBorders/>
            <w:tcW w:w="1569"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11,8</w:t>
            </w:r>
            <w:r>
              <w:rPr>
                <w:szCs w:val="22"/>
                <w:lang w:val="en-US" w:eastAsia="en-US" w:bidi="ar-SA"/>
              </w:rPr>
            </w:r>
          </w:p>
        </w:tc>
        <w:tc>
          <w:tcPr>
            <w:shd w:val="clear" w:color="auto" w:fill="f0f2f5"/>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8 %</w:t>
            </w:r>
            <w:r>
              <w:rPr>
                <w:szCs w:val="22"/>
                <w:lang w:val="en-US" w:eastAsia="en-US" w:bidi="ar-SA"/>
              </w:rPr>
            </w:r>
          </w:p>
        </w:tc>
        <w:tc>
          <w:tcPr>
            <w:shd w:val="clear" w:color="auto" w:fill="f0f2f5"/>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4,05</w:t>
            </w:r>
            <w:r>
              <w:rPr>
                <w:szCs w:val="22"/>
                <w:lang w:val="en-US" w:eastAsia="en-US" w:bidi="ar-SA"/>
              </w:rPr>
            </w:r>
          </w:p>
        </w:tc>
        <w:tc>
          <w:tcPr>
            <w:shd w:val="clear" w:color="auto" w:fill="f0f2f5"/>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107</w:t>
            </w:r>
            <w:r>
              <w:rPr>
                <w:szCs w:val="22"/>
                <w:lang w:val="en-US" w:eastAsia="en-US" w:bidi="ar-SA"/>
              </w:rPr>
            </w:r>
          </w:p>
        </w:tc>
      </w:tr>
      <w:tr>
        <w:trPr/>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Rezagados</w:t>
            </w:r>
            <w:r>
              <w:rPr>
                <w:szCs w:val="22"/>
                <w:lang w:val="en-US" w:eastAsia="en-US" w:bidi="ar-SA"/>
              </w:rPr>
            </w:r>
          </w:p>
        </w:tc>
        <w:tc>
          <w:tcPr>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461 (16 %)</w:t>
            </w:r>
            <w:r>
              <w:rPr>
                <w:szCs w:val="22"/>
                <w:lang w:val="en-US" w:eastAsia="en-US" w:bidi="ar-SA"/>
              </w:rPr>
            </w:r>
          </w:p>
        </w:tc>
        <w:tc>
          <w:tcPr>
            <w:tcBorders/>
            <w:tcW w:w="1569"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19,6</w:t>
            </w:r>
            <w:r>
              <w:rPr>
                <w:szCs w:val="22"/>
                <w:lang w:val="en-US" w:eastAsia="en-US" w:bidi="ar-SA"/>
              </w:rPr>
            </w:r>
          </w:p>
        </w:tc>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24 %</w:t>
            </w:r>
            <w:r>
              <w:rPr>
                <w:szCs w:val="22"/>
                <w:lang w:val="en-US" w:eastAsia="en-US" w:bidi="ar-SA"/>
              </w:rPr>
            </w:r>
          </w:p>
        </w:tc>
        <w:tc>
          <w:tcPr>
            <w:tcBorders/>
            <w:tcW w:w="1567"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3,48</w:t>
            </w:r>
            <w:r>
              <w:rPr>
                <w:szCs w:val="22"/>
                <w:lang w:val="en-US" w:eastAsia="en-US" w:bidi="ar-SA"/>
              </w:rPr>
            </w:r>
          </w:p>
        </w:tc>
        <w:tc>
          <w:tcPr>
            <w:tcBorders/>
            <w:tcW w:w="1568"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7</w:t>
            </w:r>
            <w:r>
              <w:rPr>
                <w:szCs w:val="22"/>
                <w:lang w:val="en-US" w:eastAsia="en-US" w:bidi="ar-SA"/>
              </w:rPr>
            </w:r>
          </w:p>
        </w:tc>
      </w:tr>
    </w:tbl>
    <w:p>
      <w:pPr>
        <w:pStyle w:val="678"/>
        <w:spacing w:after="280" w:before="0"/>
        <w:ind/>
        <w:jc w:val="center"/>
        <w:rPr/>
      </w:pPr>
      <w:r>
        <w:rPr>
          <w:i/>
          <w:color w:val="555555"/>
          <w:sz w:val="18"/>
        </w:rPr>
        <w:t xml:space="preserve">Tabla 4. Perfil promedio de los tres segmentos de vendedores.</w:t>
      </w:r>
      <w:r/>
    </w:p>
    <w:p>
      <w:pPr>
        <w:pStyle w:val="678"/>
        <w:spacing/>
        <w:ind/>
        <w:rPr/>
      </w:pPr>
      <w:r>
        <w:t xml:space="preserve">El segmento «Ágiles de bajo volume</w:t>
      </w:r>
      <w:r>
        <w:t xml:space="preserve">n» agrupa al 58 % de los vendedores: operan con pocos pedidos pero entregan rápido (9,5 días en promedio), con baja demora y buena reseña. El segmento «Consolidados de alto volumen» concentra al 27 % de los vendedores pero al 85 % de los ítems vendidos: ma</w:t>
      </w:r>
      <w:r>
        <w:t xml:space="preserve">nejan un volumen alto con un desempeño logístico sólido. El segmento «Rezagados» es el más pequeño (16 % de los vendedores, 3 % de los ítems) pero presenta los peores indicadores: 19,6 días de entrega promedio, 24 % de demora y una reseña promedio de 3,48.</w:t>
      </w:r>
      <w:r/>
    </w:p>
    <w:p>
      <w:pPr>
        <w:pStyle w:val="678"/>
        <w:spacing/>
        <w:ind/>
        <w:jc w:val="center"/>
        <w:rPr/>
      </w:pPr>
      <w:r>
        <mc:AlternateContent>
          <mc:Choice Requires="wpg">
            <w:drawing>
              <wp:inline xmlns:wp="http://schemas.openxmlformats.org/drawingml/2006/wordprocessingDrawing" distT="0" distB="0" distL="0" distR="0">
                <wp:extent cx="5303520" cy="2969895"/>
                <wp:effectExtent l="0" t="0" r="0" b="0"/>
                <wp:docPr id="1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
                        <pic:cNvPicPr>
                          <a:picLocks noChangeAspect="1"/>
                        </pic:cNvPicPr>
                        <pic:nvPr/>
                      </pic:nvPicPr>
                      <pic:blipFill rotWithShape="1">
                        <a:blip r:embed="rId29"/>
                        <a:stretch/>
                      </pic:blipFill>
                      <pic:spPr bwMode="auto">
                        <a:xfrm>
                          <a:off x="0" y="0"/>
                          <a:ext cx="5303520" cy="2969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7.60pt;height:233.85pt;mso-wrap-distance-left:0.00pt;mso-wrap-distance-top:0.00pt;mso-wrap-distance-right:0.00pt;mso-wrap-distance-bottom:0.00pt;z-index:1;" stroked="false">
                <v:imagedata r:id="rId29" o:title=""/>
                <o:lock v:ext="edit" rotation="t"/>
              </v:shape>
            </w:pict>
          </mc:Fallback>
        </mc:AlternateContent>
      </w:r>
      <w:r/>
    </w:p>
    <w:p>
      <w:pPr>
        <w:pStyle w:val="678"/>
        <w:spacing w:after="280" w:before="0"/>
        <w:ind/>
        <w:jc w:val="center"/>
        <w:rPr/>
      </w:pPr>
      <w:r>
        <w:rPr>
          <w:i/>
          <w:color w:val="555555"/>
          <w:sz w:val="18"/>
        </w:rPr>
        <w:t xml:space="preserve">Figura 16. Comparación de los indicadores clave por segmento de vendedores.</w:t>
      </w:r>
      <w:r/>
    </w:p>
    <w:p>
      <w:pPr>
        <w:pStyle w:val="678"/>
        <w:spacing/>
        <w:ind/>
        <w:jc w:val="center"/>
        <w:rPr/>
      </w:pPr>
      <w:r>
        <mc:AlternateContent>
          <mc:Choice Requires="wpg">
            <w:drawing>
              <wp:inline xmlns:wp="http://schemas.openxmlformats.org/drawingml/2006/wordprocessingDrawing" distT="0" distB="0" distL="0" distR="0">
                <wp:extent cx="5303520" cy="3674110"/>
                <wp:effectExtent l="0" t="0" r="0" b="0"/>
                <wp:docPr id="2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
                        <pic:cNvPicPr>
                          <a:picLocks noChangeAspect="1"/>
                        </pic:cNvPicPr>
                        <pic:nvPr/>
                      </pic:nvPicPr>
                      <pic:blipFill rotWithShape="1">
                        <a:blip r:embed="rId30"/>
                        <a:stretch/>
                      </pic:blipFill>
                      <pic:spPr bwMode="auto">
                        <a:xfrm>
                          <a:off x="0" y="0"/>
                          <a:ext cx="5303520" cy="36741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7.60pt;height:289.30pt;mso-wrap-distance-left:0.00pt;mso-wrap-distance-top:0.00pt;mso-wrap-distance-right:0.00pt;mso-wrap-distance-bottom:0.00pt;z-index:1;" stroked="false">
                <v:imagedata r:id="rId30" o:title=""/>
                <o:lock v:ext="edit" rotation="t"/>
              </v:shape>
            </w:pict>
          </mc:Fallback>
        </mc:AlternateContent>
      </w:r>
      <w:r/>
    </w:p>
    <w:p>
      <w:pPr>
        <w:pStyle w:val="678"/>
        <w:spacing w:after="280" w:before="0"/>
        <w:ind/>
        <w:jc w:val="center"/>
        <w:rPr/>
      </w:pPr>
      <w:r>
        <w:rPr>
          <w:i/>
          <w:color w:val="555555"/>
          <w:sz w:val="18"/>
        </w:rPr>
        <w:t xml:space="preserve">Figura 17. Distribución de vendedores según tiempo de entrega y porcentaje de demora.</w:t>
      </w:r>
      <w:r/>
    </w:p>
    <w:p>
      <w:pPr>
        <w:pStyle w:val="678"/>
        <w:spacing/>
        <w:ind/>
        <w:rPr/>
      </w:pPr>
      <w:r>
        <w:t xml:space="preserve">El valor del segmento «Rezagad</w:t>
      </w:r>
      <w:r>
        <w:t xml:space="preserve">os» reside en que constituye una lista de contactos prioritaria: es el grupo con peor desempeño en todas las dimensiones logísticas y con la reseña promedio más baja, de modo que sus clientes son los que tienen la peor experiencia. Como se trata de vendedo</w:t>
      </w:r>
      <w:r>
        <w:t xml:space="preserve">res de bajo volumen, una intervención sobre este grupo mejora mucho la experiencia de sus clientes, pero su efecto sobre el total de la plataforma es acotado; para un impacto global, las mejoras logísticas deben alcanzar también al resto de los vendedores.</w:t>
      </w:r>
      <w:r/>
    </w:p>
    <w:p>
      <w:pPr>
        <w:pStyle w:val="679"/>
        <w:spacing/>
        <w:ind/>
        <w:rPr/>
      </w:pPr>
      <w:r/>
      <w:bookmarkStart w:id="33" w:name="__RefHeading___Toc1545_3125598873"/>
      <w:r/>
      <w:bookmarkEnd w:id="33"/>
      <w:r>
        <w:t xml:space="preserve">6. Conclusiones y oportunidades de negocio</w:t>
      </w:r>
      <w:r/>
    </w:p>
    <w:p>
      <w:pPr>
        <w:pStyle w:val="678"/>
        <w:spacing/>
        <w:ind/>
        <w:rPr/>
      </w:pPr>
      <w:r>
        <w:t xml:space="preserve">El análisis realizado permite extraer seis conclusiones principales, cada una de las cuales se traduce en una oportunidad de negocio concreta.</w:t>
      </w:r>
      <w:r/>
    </w:p>
    <w:p>
      <w:pPr>
        <w:pStyle w:val="680"/>
        <w:spacing/>
        <w:ind/>
        <w:rPr/>
      </w:pPr>
      <w:r/>
      <w:bookmarkStart w:id="34" w:name="__RefHeading___Toc1547_3125598873"/>
      <w:r/>
      <w:bookmarkEnd w:id="34"/>
      <w:r>
        <w:t xml:space="preserve">6.1 La logística es el problema central de la experiencia</w:t>
      </w:r>
      <w:r/>
    </w:p>
    <w:p>
      <w:pPr>
        <w:pStyle w:val="678"/>
        <w:spacing/>
        <w:ind/>
        <w:rPr/>
      </w:pPr>
      <w:r>
        <w:t xml:space="preserve">El tiempo de entrega es lo que más se relaciona con la calificación del cliente, por encima del precio, que prácticamente no tiene relación </w:t>
      </w:r>
      <w:r>
        <w:t xml:space="preserve">con ella. Lo muestran dos evidencias complementarias: los días hasta la entrega tienen la correlación más fuerte con la calificación entre las variables numéricas, y los pedidos que llegan después de la fecha prometida reciben en promedio 1,7 estrellas men</w:t>
      </w:r>
      <w:r>
        <w:t xml:space="preserve">os que los entregados a tiempo (H1). En las reseñas negativas, las palabras sobre la entrega son las más visibles, aunque el producto y el dinero también aparecen. Toda mejora en la cadena logística tiene un impacto directo y medible sobre la satisfacción.</w:t>
      </w:r>
      <w:r/>
    </w:p>
    <w:p>
      <w:pPr>
        <w:pStyle w:val="680"/>
        <w:spacing/>
        <w:ind/>
        <w:rPr/>
      </w:pPr>
      <w:r/>
      <w:bookmarkStart w:id="35" w:name="__RefHeading___Toc1549_3125598873"/>
      <w:r/>
      <w:bookmarkEnd w:id="35"/>
      <w:r>
        <w:t xml:space="preserve">6.2 La brecha geográfica es real y costosa</w:t>
      </w:r>
      <w:r/>
    </w:p>
    <w:p>
      <w:pPr>
        <w:pStyle w:val="678"/>
        <w:spacing/>
        <w:ind/>
        <w:rPr/>
      </w:pPr>
      <w:r>
        <w:t xml:space="preserve">Los clientes fuera del eje Sudeste pagan más flete, esperan más días y sufren más demoras, pese </w:t>
      </w:r>
      <w:r>
        <w:t xml:space="preserve">a gastar un ticket similar. La correlación entre distancia y tiempo de entrega es positiva y significativa (Spearman ρ = 0,54). Priorizar la mejora de tiempos y costos en las regiones periféricas reduciría la brecha de satisfacción sin sacrificar ingresos.</w:t>
      </w:r>
      <w:r/>
    </w:p>
    <w:p>
      <w:pPr>
        <w:pStyle w:val="680"/>
        <w:spacing/>
        <w:ind/>
        <w:rPr/>
      </w:pPr>
      <w:r/>
      <w:bookmarkStart w:id="36" w:name="__RefHeading___Toc1551_3125598873"/>
      <w:r/>
      <w:bookmarkEnd w:id="36"/>
      <w:r>
        <w:t xml:space="preserve">6.3 Se puede anticipar una mala reseña antes de la entrega</w:t>
      </w:r>
      <w:r/>
    </w:p>
    <w:p>
      <w:pPr>
        <w:pStyle w:val="678"/>
        <w:spacing/>
        <w:ind/>
        <w:rPr/>
      </w:pPr>
      <w:r>
        <w:t xml:space="preserve">El modelo de clasificación permite, con información disponible al momento de la compra, estimar el riesgo de reseña negativa. Revisando el 20 % de los</w:t>
      </w:r>
      <w:r>
        <w:t xml:space="preserve"> pedidos de mayor riesgo se cubre casi la mitad de las experiencias negativas. Esto habilita un sistema de alerta temprana: contactar proactivamente al comprador, ofrecer seguimiento especial o coordinar con el vendedor antes de que la reseña esté escrita.</w:t>
      </w:r>
      <w:r/>
    </w:p>
    <w:p>
      <w:pPr>
        <w:pStyle w:val="680"/>
        <w:spacing/>
        <w:ind/>
        <w:rPr/>
      </w:pPr>
      <w:r/>
      <w:bookmarkStart w:id="37" w:name="__RefHeading___Toc1553_3125598873"/>
      <w:r/>
      <w:bookmarkEnd w:id="37"/>
      <w:r>
        <w:t xml:space="preserve">6.4 Los vendedores no son homogéneos</w:t>
      </w:r>
      <w:r/>
    </w:p>
    <w:p>
      <w:pPr>
        <w:pStyle w:val="678"/>
        <w:spacing/>
        <w:ind/>
        <w:rPr/>
      </w:pPr>
      <w:r>
        <w:t xml:space="preserve">La segmentación identifica un grupo de vendedores «Rezagados» que, pese a representar solo el 16 % de la base, concentra los peores indicadores logísticos y la reseña promedio más baja. Un programa de acompañamient</w:t>
      </w:r>
      <w:r>
        <w:t xml:space="preserve">o focalizado en este segmento —con umbrales de desempeño y capacitación— es la forma más directa de mejorar la experiencia de sus clientes. Como son vendedores de bajo volumen, este programa complementa, pero no reemplaza, las mejoras logísticas generales.</w:t>
      </w:r>
      <w:r/>
    </w:p>
    <w:p>
      <w:pPr>
        <w:pStyle w:val="680"/>
        <w:spacing/>
        <w:ind/>
        <w:rPr/>
      </w:pPr>
      <w:r/>
      <w:bookmarkStart w:id="38" w:name="__RefHeading___Toc1555_3125598873"/>
      <w:r/>
      <w:bookmarkEnd w:id="38"/>
      <w:r>
        <w:t xml:space="preserve">6.5 El negocio se apoya en un grupo de categorías de precio medio</w:t>
      </w:r>
      <w:r/>
    </w:p>
    <w:p>
      <w:pPr>
        <w:pStyle w:val="678"/>
        <w:spacing/>
        <w:ind/>
        <w:rPr/>
      </w:pPr>
      <w:r>
        <w:t xml:space="preserve">La facturación está moderadamente concentrad</w:t>
      </w:r>
      <w:r>
        <w:t xml:space="preserve">a: de 72 categorías, las cinco primeras reúnen cerca del 40 % y las diez primeras, alrededor del 62 %. Las categorías que más unidades venden tienen precios medianos parecidos, entre R$ 60 y R$ 85, cerca de la mediana general, con excepciones puntuales com</w:t>
      </w:r>
      <w:r>
        <w:t xml:space="preserve">o relojes y regalos (más caros) o telefonía (más barata). Esto sugiere priorizar a los vendedores de ese grupo de categorías líderes —con mejores condiciones comerciales, visibilidad y logística— antes que repartir el mismo esfuerzo entre todo el catálogo.</w:t>
      </w:r>
      <w:r/>
    </w:p>
    <w:p>
      <w:pPr>
        <w:pStyle w:val="680"/>
        <w:spacing/>
        <w:ind/>
        <w:rPr/>
      </w:pPr>
      <w:r/>
      <w:bookmarkStart w:id="39" w:name="__RefHeading___Toc1557_3125598873"/>
      <w:r/>
      <w:bookmarkEnd w:id="39"/>
      <w:r>
        <w:t xml:space="preserve">6.6 Los comentarios se entienden mejor con un modelo propio</w:t>
      </w:r>
      <w:r/>
    </w:p>
    <w:p>
      <w:pPr>
        <w:pStyle w:val="678"/>
        <w:spacing/>
        <w:ind/>
        <w:rPr/>
      </w:pPr>
      <w:r>
        <w:t xml:space="preserve">Un clasificador simple entrenado </w:t>
      </w:r>
      <w:r>
        <w:t xml:space="preserve">con las reseñas de Olist identifica la polaridad de los comentarios con un accuracy de 0,80, frente a 0,62 de un modelo de lenguaje genérico preentrenado. Esto habilita una herramienta concreta: revisar automáticamente los comentarios con tono negativo aun</w:t>
      </w:r>
      <w:r>
        <w:t xml:space="preserve">que tengan buena calificación, para detectar quejas que las estrellas no muestran y derivarlas a atención al cliente. Antes de ponerla en práctica conviene validar a mano una muestra, porque una parte de esas discrepancias corresponde a errores del modelo.</w:t>
      </w:r>
      <w:r/>
    </w:p>
    <w:p>
      <w:pPr>
        <w:pStyle w:val="679"/>
        <w:spacing/>
        <w:ind/>
        <w:rPr/>
      </w:pPr>
      <w:r/>
      <w:bookmarkStart w:id="40" w:name="__RefHeading___Toc1559_3125598873"/>
      <w:r/>
      <w:bookmarkEnd w:id="40"/>
      <w:r>
        <w:t xml:space="preserve">7. Trabajo futuro</w:t>
      </w:r>
      <w:r/>
    </w:p>
    <w:p>
      <w:pPr>
        <w:pStyle w:val="678"/>
        <w:spacing/>
        <w:ind/>
        <w:rPr/>
      </w:pPr>
      <w:r>
        <w:t xml:space="preserve">El análisis presentado abre varias líneas de trabajo que podrían profundizar los hallazgos y mejorar los modelos.</w:t>
      </w:r>
      <w:r/>
    </w:p>
    <w:p>
      <w:pPr>
        <w:pStyle w:val="678"/>
        <w:spacing/>
        <w:ind/>
        <w:rPr/>
      </w:pPr>
      <w:r>
        <w:t xml:space="preserve">En primer lugar, el modelo de clasificación podría beneficiarse de un split temporal en lugar de ale</w:t>
      </w:r>
      <w:r>
        <w:t xml:space="preserve">atorio, de modo que el historial del vendedor refleje estrictamente el pasado y no incluya pedidos futuros. Asimismo, un esquema de target encoding con out-of-fold evitaría la potencial sobreestimación de la importancia de la reseña histórica del vendedor.</w:t>
      </w:r>
      <w:r/>
    </w:p>
    <w:p>
      <w:pPr>
        <w:pStyle w:val="678"/>
        <w:spacing/>
        <w:ind/>
        <w:rPr/>
      </w:pPr>
      <w:r>
        <w:t xml:space="preserve">En segundo lugar, la incorporación de variables externas —como la distancia a centros logísticos, datos de huelgas del transporte o eventos estacionales locales— podría mejorar la capacidad predictiva del modelo.</w:t>
      </w:r>
      <w:r/>
    </w:p>
    <w:p>
      <w:pPr>
        <w:pStyle w:val="678"/>
        <w:spacing/>
        <w:ind/>
        <w:rPr/>
      </w:pPr>
      <w:r>
        <w:t xml:space="preserve">En tercer lugar, el análisis de texto ya incorporó un clasificador de sentimiento preentrenado (sección 3.6) y un clasificador propio que lo supera (sección 3.7). Queda pendiente completar la revisión manual de la muestra de discrepan</w:t>
      </w:r>
      <w:r>
        <w:t xml:space="preserve">cias, para estimar cuántas son reales, y probar el ajuste fino (fine-tuning) del modelo preentrenado con las reseñas de Olist. También queda el topic modeling (por ejemplo BERTopic) para atribuir cada reseña negativa a un motivo concreto —logística, produc</w:t>
      </w:r>
      <w:r>
        <w:t xml:space="preserve">to o atención— y cuantificar con precisión esa proporción. El sentimiento no podrá incorporarse como predictor del modelo de la sección 5 sin romper la garantía anti-fuga, pero sí habilita modelos de abandono o de recompra sobre la experiencia post-compra.</w:t>
      </w:r>
      <w:r/>
    </w:p>
    <w:p>
      <w:pPr>
        <w:pStyle w:val="678"/>
        <w:spacing/>
        <w:ind/>
        <w:rPr/>
      </w:pPr>
      <w:r>
        <w:t xml:space="preserve">Finalmente, la segmentación de vendedores podría complementarse con un modelo de supervivencia que estime la probabilidad de que un vendedor «Rezagado» mejore o abandone la plataforma en los meses siguientes, permitiendo una intervención aún más proactiva.</w:t>
      </w:r>
      <w:r/>
    </w:p>
    <w:p>
      <w:pPr>
        <w:pStyle w:val="679"/>
        <w:spacing/>
        <w:ind/>
        <w:rPr/>
      </w:pPr>
      <w:r/>
      <w:bookmarkStart w:id="41" w:name="__RefHeading___Toc1561_3125598873"/>
      <w:r/>
      <w:bookmarkEnd w:id="41"/>
      <w:r>
        <w:t xml:space="preserve">8. Limitaciones</w:t>
      </w:r>
      <w:r/>
    </w:p>
    <w:p>
      <w:pPr>
        <w:pStyle w:val="678"/>
        <w:spacing/>
        <w:ind/>
        <w:rPr/>
      </w:pPr>
      <w:r>
        <w:t xml:space="preserve">El presente análisis tiene limitaciones que es necesario explicitar para una correcta interpretación de los resultados.</w:t>
      </w:r>
      <w:r/>
    </w:p>
    <w:p>
      <w:pPr>
        <w:pStyle w:val="678"/>
        <w:spacing/>
        <w:ind/>
        <w:rPr/>
      </w:pPr>
      <w:r>
        <w:t xml:space="preserve">Los datos cubren un período de dos años (2016-2018) y corresponden a un snapshot histórico; la dinámica del marketplace puede h</w:t>
      </w:r>
      <w:r>
        <w:t xml:space="preserve">aber cambiado significativamente desde entonces. Las coordenadas geográficas se refieren al centroide del código postal, no a la ubicación exacta, lo que introduce un error en el cálculo de distancias que se atenúa con el uso de Haversine a escala de país.</w:t>
      </w:r>
      <w:r/>
    </w:p>
    <w:p>
      <w:pPr>
        <w:pStyle w:val="678"/>
        <w:spacing/>
        <w:ind/>
        <w:rPr/>
      </w:pPr>
      <w:r>
        <w:t xml:space="preserve">Los tests est</w:t>
      </w:r>
      <w:r>
        <w:t xml:space="preserve">adísticos se ejecutaron a nivel de ítem de pedido, donde los ítems de un mismo pedido no son independientes. Si bien el gran tamaño muestral (&gt; 100.000) hace que este efecto sea menor en los p-valores, los tamaños de efecto deben interpretarse con cautela.</w:t>
      </w:r>
      <w:r/>
    </w:p>
    <w:p>
      <w:pPr>
        <w:pStyle w:val="678"/>
        <w:spacing/>
        <w:ind/>
        <w:rPr/>
      </w:pPr>
      <w:r>
        <w:t xml:space="preserve">El modelo de clasificación utiliza un split aleatorio en lugar de temporal, lo que significa que el historial del vendedor puede incluir pedidos cronológicamente posteriores al que se predice. Además, la imp</w:t>
      </w:r>
      <w:r>
        <w:t xml:space="preserve">utación de medianas se calculó antes del split (un sesgo menor, dado que se refiere solo a las variables numéricas base). Estas decisiones se adoptaron por simplicidad y reproducibilidad, pero constituyen una fuente de optimismo en las métricas reportadas.</w:t>
      </w:r>
      <w:r/>
    </w:p>
    <w:p>
      <w:pPr>
        <w:pStyle w:val="678"/>
        <w:spacing/>
        <w:ind/>
        <w:rPr/>
      </w:pPr>
      <w:r>
        <w:t xml:space="preserve">Finalmente, el análisis textual tiene sus propias limitaciones. El modelo preentrenado </w:t>
      </w:r>
      <w:r>
        <w:t xml:space="preserve">fue entrenado con datos sintéticos y no con reseñas de comercio electrónico en portugués, lo que explica que su accuracy sobre las tres polaridades sea moderada y que confunda frases típicas de Olist. El clasificador propio rinde mejor, pero también le cue</w:t>
      </w:r>
      <w:r>
        <w:t xml:space="preserve">sta la clase neutral. Además, las estrellas no son una etiqueta perfecta del tono del comentario: un cliente puede elogiar el producto y aun así poner una nota baja. Por estas razones, ambos modelos se usan solo como capa descriptiva y no como predictores.</w:t>
      </w:r>
      <w:r/>
    </w:p>
    <w:p>
      <w:pPr>
        <w:pStyle w:val="679"/>
        <w:spacing/>
        <w:ind/>
        <w:rPr/>
      </w:pPr>
      <w:r/>
      <w:bookmarkStart w:id="42" w:name="__RefHeading___Toc1563_3125598873"/>
      <w:r/>
      <w:bookmarkEnd w:id="42"/>
      <w:r>
        <w:t xml:space="preserve">9. Glosario</w:t>
      </w:r>
      <w:r/>
    </w:p>
    <w:p>
      <w:pPr>
        <w:pStyle w:val="678"/>
        <w:spacing/>
        <w:ind/>
        <w:rPr/>
      </w:pPr>
      <w:r>
        <w:rPr>
          <w:b/>
          <w:color w:val="1f3a5f"/>
          <w:sz w:val="21"/>
        </w:rPr>
        <w:t xml:space="preserve">AUC (Area Under the Curve): </w:t>
      </w:r>
      <w:r>
        <w:rPr>
          <w:color w:val="2b2b2b"/>
          <w:sz w:val="21"/>
        </w:rPr>
        <w:t xml:space="preserve">Área bajo la curva ROC; mide la capacidad discriminativa del modelo. Un valor de 0,5 equivale al azar; 1,0 es perfecto.</w:t>
      </w:r>
      <w:r/>
    </w:p>
    <w:p>
      <w:pPr>
        <w:pStyle w:val="678"/>
        <w:spacing/>
        <w:ind/>
        <w:rPr/>
      </w:pPr>
      <w:r>
        <w:rPr>
          <w:b/>
          <w:color w:val="1f3a5f"/>
          <w:sz w:val="21"/>
        </w:rPr>
        <w:t xml:space="preserve">Boleto: </w:t>
      </w:r>
      <w:r>
        <w:rPr>
          <w:color w:val="2b2b2b"/>
          <w:sz w:val="21"/>
        </w:rPr>
        <w:t xml:space="preserve">Método de pago brasileño equivalente a un recibo bancario impreso o digital que se paga en efectivo o por transferencia.</w:t>
      </w:r>
      <w:r/>
    </w:p>
    <w:p>
      <w:pPr>
        <w:pStyle w:val="678"/>
        <w:spacing/>
        <w:ind/>
        <w:rPr/>
      </w:pPr>
      <w:r>
        <w:rPr>
          <w:b/>
          <w:color w:val="1f3a5f"/>
          <w:sz w:val="21"/>
        </w:rPr>
        <w:t xml:space="preserve">Class weight balanced: </w:t>
      </w:r>
      <w:r>
        <w:rPr>
          <w:color w:val="2b2b2b"/>
          <w:sz w:val="21"/>
        </w:rPr>
        <w:t xml:space="preserve">Configuración del algoritmo que penaliza los errores sobre la clase minoritaria en proporción inversa a su frecuencia.</w:t>
      </w:r>
      <w:r/>
    </w:p>
    <w:p>
      <w:pPr>
        <w:pStyle w:val="678"/>
        <w:spacing/>
        <w:ind/>
        <w:rPr/>
      </w:pPr>
      <w:r>
        <w:rPr>
          <w:b/>
          <w:color w:val="1f3a5f"/>
          <w:sz w:val="21"/>
        </w:rPr>
        <w:t xml:space="preserve">F1 macro: </w:t>
      </w:r>
      <w:r>
        <w:rPr>
          <w:color w:val="2b2b2b"/>
          <w:sz w:val="21"/>
        </w:rPr>
        <w:t xml:space="preserve">Media armónica de precision y recall, promediada por igual entre las clases. Métrica adecuada para problemas desbalanceados.</w:t>
      </w:r>
      <w:r/>
    </w:p>
    <w:p>
      <w:pPr>
        <w:pStyle w:val="678"/>
        <w:spacing/>
        <w:ind/>
        <w:rPr/>
      </w:pPr>
      <w:r>
        <w:rPr>
          <w:b/>
          <w:color w:val="1f3a5f"/>
          <w:sz w:val="21"/>
        </w:rPr>
        <w:t xml:space="preserve">Fórmula de Haversine: </w:t>
      </w:r>
      <w:r>
        <w:rPr>
          <w:color w:val="2b2b2b"/>
          <w:sz w:val="21"/>
        </w:rPr>
        <w:t xml:space="preserve">Cálculo de la distancia geodésica entre dos puntos sobre la esfera terrestre a partir de sus coordenadas de latitud y longitud.</w:t>
      </w:r>
      <w:r/>
    </w:p>
    <w:p>
      <w:pPr>
        <w:pStyle w:val="678"/>
        <w:spacing/>
        <w:ind/>
        <w:rPr/>
      </w:pPr>
      <w:r>
        <w:rPr>
          <w:b/>
          <w:color w:val="1f3a5f"/>
          <w:sz w:val="21"/>
        </w:rPr>
        <w:t xml:space="preserve">K-Means: </w:t>
      </w:r>
      <w:r>
        <w:rPr>
          <w:color w:val="2b2b2b"/>
          <w:sz w:val="21"/>
        </w:rPr>
        <w:t xml:space="preserve">Algoritmo de clustering que agrupa observaciones en k clusters minimizando la inercia (suma de distancias al cuadrado al centroide de cada grupo).</w:t>
      </w:r>
      <w:r/>
    </w:p>
    <w:p>
      <w:pPr>
        <w:pStyle w:val="678"/>
        <w:spacing/>
        <w:ind/>
        <w:rPr/>
      </w:pPr>
      <w:r>
        <w:rPr>
          <w:b/>
          <w:color w:val="1f3a5f"/>
          <w:sz w:val="21"/>
        </w:rPr>
        <w:t xml:space="preserve">Hugging Face: </w:t>
      </w:r>
      <w:r>
        <w:rPr>
          <w:color w:val="2b2b2b"/>
          <w:sz w:val="21"/>
        </w:rPr>
        <w:t xml:space="preserve">Plataforma donde se publican y comparten modelos de inteligencia artificial ya entrenados, que pueden descargarse y usarse localmente.</w:t>
      </w:r>
      <w:r/>
    </w:p>
    <w:p>
      <w:pPr>
        <w:pStyle w:val="678"/>
        <w:spacing/>
        <w:ind/>
        <w:rPr/>
      </w:pPr>
      <w:r>
        <w:rPr>
          <w:b/>
          <w:color w:val="1f3a5f"/>
          <w:sz w:val="21"/>
        </w:rPr>
        <w:t xml:space="preserve">LightGBM: </w:t>
      </w:r>
      <w:r>
        <w:rPr>
          <w:color w:val="2b2b2b"/>
          <w:sz w:val="21"/>
        </w:rPr>
        <w:t xml:space="preserve">Implementación eficiente de gradient boosting sobre árboles de decisión, desarrollada por Microsoft.</w:t>
      </w:r>
      <w:r/>
    </w:p>
    <w:p>
      <w:pPr>
        <w:pStyle w:val="678"/>
        <w:spacing/>
        <w:ind/>
        <w:rPr/>
      </w:pPr>
      <w:r>
        <w:rPr>
          <w:b/>
          <w:color w:val="1f3a5f"/>
          <w:sz w:val="21"/>
        </w:rPr>
        <w:t xml:space="preserve">Matriz de confusión: </w:t>
      </w:r>
      <w:r>
        <w:rPr>
          <w:color w:val="2b2b2b"/>
          <w:sz w:val="21"/>
        </w:rPr>
        <w:t xml:space="preserve">Tabla que cruza la clase real con la clase predicha; la diagonal contiene los aciertos y el resto, las confusiones entre clases.</w:t>
      </w:r>
      <w:r/>
    </w:p>
    <w:p>
      <w:pPr>
        <w:pStyle w:val="678"/>
        <w:spacing/>
        <w:ind/>
        <w:rPr/>
      </w:pPr>
      <w:r>
        <w:rPr>
          <w:b/>
          <w:color w:val="1f3a5f"/>
          <w:sz w:val="21"/>
        </w:rPr>
        <w:t xml:space="preserve">Mann-Whitney U: </w:t>
      </w:r>
      <w:r>
        <w:rPr>
          <w:color w:val="2b2b2b"/>
          <w:sz w:val="21"/>
        </w:rPr>
        <w:t xml:space="preserve">Test no paramétrico para comparar dos muestras independientes sin asumir normalidad; compara rangos en lugar de medias.</w:t>
      </w:r>
      <w:r/>
    </w:p>
    <w:p>
      <w:pPr>
        <w:pStyle w:val="678"/>
        <w:spacing/>
        <w:ind/>
        <w:rPr/>
      </w:pPr>
      <w:r>
        <w:rPr>
          <w:b/>
          <w:color w:val="1f3a5f"/>
          <w:sz w:val="21"/>
        </w:rPr>
        <w:t xml:space="preserve">One-hot encoding: </w:t>
      </w:r>
      <w:r>
        <w:rPr>
          <w:color w:val="2b2b2b"/>
          <w:sz w:val="21"/>
        </w:rPr>
        <w:t xml:space="preserve">Técnica de codificación que transforma una variable categórica en tantas columnas binarias como categorías tiene.</w:t>
      </w:r>
      <w:r/>
    </w:p>
    <w:p>
      <w:pPr>
        <w:pStyle w:val="678"/>
        <w:spacing/>
        <w:ind/>
        <w:rPr/>
      </w:pPr>
      <w:r>
        <w:rPr>
          <w:b/>
          <w:color w:val="1f3a5f"/>
          <w:sz w:val="21"/>
        </w:rPr>
        <w:t xml:space="preserve">Recall: </w:t>
      </w:r>
      <w:r>
        <w:rPr>
          <w:color w:val="2b2b2b"/>
          <w:sz w:val="21"/>
        </w:rPr>
        <w:t xml:space="preserve">Proporción de positivos reales que el modelo identifica correctamente.</w:t>
      </w:r>
      <w:r/>
    </w:p>
    <w:p>
      <w:pPr>
        <w:pStyle w:val="678"/>
        <w:spacing/>
        <w:ind/>
        <w:rPr/>
      </w:pPr>
      <w:r>
        <w:rPr>
          <w:b/>
          <w:color w:val="1f3a5f"/>
          <w:sz w:val="21"/>
        </w:rPr>
        <w:t xml:space="preserve">Regresión logística: </w:t>
      </w:r>
      <w:r>
        <w:rPr>
          <w:color w:val="2b2b2b"/>
          <w:sz w:val="21"/>
        </w:rPr>
        <w:t xml:space="preserve">Modelo lineal de clasificación que estima la probabilidad de cada clase a partir de una combinación ponderada de las variables de entrada.</w:t>
      </w:r>
      <w:r/>
    </w:p>
    <w:p>
      <w:pPr>
        <w:pStyle w:val="678"/>
        <w:spacing/>
        <w:ind/>
        <w:rPr/>
      </w:pPr>
      <w:r>
        <w:rPr>
          <w:b/>
          <w:color w:val="1f3a5f"/>
          <w:sz w:val="21"/>
        </w:rPr>
        <w:t xml:space="preserve">Silueta (silhouette): </w:t>
      </w:r>
      <w:r>
        <w:rPr>
          <w:color w:val="2b2b2b"/>
          <w:sz w:val="21"/>
        </w:rPr>
        <w:t xml:space="preserve">Medida de la calidad de un clustering; compara la cohesión interna de cada grupo con la separación respecto de los demás.</w:t>
      </w:r>
      <w:r/>
    </w:p>
    <w:p>
      <w:pPr>
        <w:pStyle w:val="678"/>
        <w:spacing/>
        <w:ind/>
        <w:rPr/>
      </w:pPr>
      <w:r>
        <w:rPr>
          <w:b/>
          <w:color w:val="1f3a5f"/>
          <w:sz w:val="21"/>
        </w:rPr>
        <w:t xml:space="preserve">Spearman ρ: </w:t>
      </w:r>
      <w:r>
        <w:rPr>
          <w:color w:val="2b2b2b"/>
          <w:sz w:val="21"/>
        </w:rPr>
        <w:t xml:space="preserve">Coeficiente de correlación no paramétrico que mide la relación monótona entre dos variables; robusto a no normalidad.</w:t>
      </w:r>
      <w:r/>
    </w:p>
    <w:p>
      <w:pPr>
        <w:pStyle w:val="678"/>
        <w:spacing/>
        <w:ind/>
        <w:rPr/>
      </w:pPr>
      <w:r>
        <w:rPr>
          <w:b/>
          <w:color w:val="1f3a5f"/>
          <w:sz w:val="21"/>
        </w:rPr>
        <w:t xml:space="preserve">TF-IDF: </w:t>
      </w:r>
      <w:r>
        <w:rPr>
          <w:color w:val="2b2b2b"/>
          <w:sz w:val="21"/>
        </w:rPr>
        <w:t xml:space="preserve">Representación numérica de un texto en la que cada término pesa más cuanto más aparece en ese documento y menos cuanto más común es en el conjunto.</w:t>
      </w:r>
      <w:r/>
    </w:p>
    <w:p>
      <w:pPr>
        <w:pStyle w:val="678"/>
        <w:spacing/>
        <w:ind/>
        <w:rPr/>
      </w:pPr>
      <w:r>
        <w:rPr>
          <w:b/>
          <w:color w:val="1f3a5f"/>
          <w:sz w:val="21"/>
        </w:rPr>
        <w:t xml:space="preserve">Transformer: </w:t>
      </w:r>
      <w:r>
        <w:rPr>
          <w:color w:val="2b2b2b"/>
          <w:sz w:val="21"/>
        </w:rPr>
        <w:t xml:space="preserve">Arquitectura de red neuronal para procesar lenguaje; es la base de modelos como BERT y DistilBERT.</w:t>
      </w:r>
      <w:r/>
    </w:p>
    <w:p>
      <w:pPr>
        <w:pStyle w:val="679"/>
        <w:spacing/>
        <w:ind/>
        <w:rPr/>
      </w:pPr>
      <w:r/>
      <w:bookmarkStart w:id="43" w:name="__RefHeading___Toc1565_3125598873"/>
      <w:r/>
      <w:bookmarkEnd w:id="43"/>
      <w:r>
        <w:t xml:space="preserve">10. Reproducibilidad</w:t>
      </w:r>
      <w:r/>
    </w:p>
    <w:p>
      <w:pPr>
        <w:pStyle w:val="678"/>
        <w:spacing/>
        <w:ind/>
        <w:rPr/>
      </w:pPr>
      <w:r>
        <w:t xml:space="preserve">Todo el análisis es reproducible ejecutando los notebooks en orden (00 → 11): cada </w:t>
      </w:r>
      <w:r>
        <w:t xml:space="preserve">uno consume el artefacto que genera el anterior. El notebook 11 entrena y serializa el modelo en la carpeta modelos_output/, de modo que el dashboard de Streamlit (app.py) solo necesita leer los resultados, sin reentrenar nada. Los archivos requeridos son:</w:t>
      </w:r>
      <w:r/>
    </w:p>
    <w:tbl>
      <w:tblPr>
        <w:tblStyle w:val="895"/>
        <w:jc w:val="center"/>
        <w:tblInd w:w="0" w:type="dxa"/>
        <w:tblW w:w="9405" w:type="dxa"/>
        <w:tblCellMar>
          <w:left w:w="108" w:type="dxa"/>
          <w:top w:w="0" w:type="dxa"/>
          <w:right w:w="108" w:type="dxa"/>
          <w:bottom w:w="0" w:type="dxa"/>
        </w:tblCellMar>
        <w:tblBorders/>
        <w:tblLayout w:type="fixed"/>
        <w:tblLook w:val="04A0" w:firstRow="1" w:lastRow="0" w:firstColumn="1" w:lastColumn="0" w:noHBand="0" w:noVBand="1"/>
      </w:tblPr>
      <w:tblGrid>
        <w:gridCol w:w="3135"/>
        <w:gridCol w:w="3135"/>
        <w:gridCol w:w="3135"/>
      </w:tblGrid>
      <w:tr>
        <w:trPr/>
        <w:tc>
          <w:tcPr>
            <w:shd w:val="clear" w:color="auto" w:fill="1f3a5f"/>
            <w:tcBorders/>
            <w:tcW w:w="3135"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Archivo</w:t>
            </w:r>
            <w:r>
              <w:rPr>
                <w:szCs w:val="22"/>
                <w:lang w:val="en-US" w:eastAsia="en-US" w:bidi="ar-SA"/>
              </w:rPr>
            </w:r>
          </w:p>
        </w:tc>
        <w:tc>
          <w:tcPr>
            <w:shd w:val="clear" w:color="auto" w:fill="1f3a5f"/>
            <w:tcBorders/>
            <w:tcW w:w="3135"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Generado por</w:t>
            </w:r>
            <w:r>
              <w:rPr>
                <w:szCs w:val="22"/>
                <w:lang w:val="en-US" w:eastAsia="en-US" w:bidi="ar-SA"/>
              </w:rPr>
            </w:r>
          </w:p>
        </w:tc>
        <w:tc>
          <w:tcPr>
            <w:shd w:val="clear" w:color="auto" w:fill="1f3a5f"/>
            <w:tcBorders/>
            <w:tcW w:w="3135" w:type="dxa"/>
          </w:tcPr>
          <w:p>
            <w:pPr>
              <w:pStyle w:val="678"/>
              <w:widowControl w:val="true"/>
              <w:spacing w:after="160" w:before="0"/>
              <w:ind/>
              <w:jc w:val="center"/>
              <w:rPr>
                <w:szCs w:val="22"/>
                <w:lang w:val="en-US" w:eastAsia="en-US" w:bidi="ar-SA"/>
              </w:rPr>
            </w:pPr>
            <w:r>
              <w:rPr>
                <w:b/>
                <w:color w:val="ffffff"/>
                <w:sz w:val="18"/>
                <w:szCs w:val="22"/>
                <w:lang w:val="en-US" w:eastAsia="en-US" w:bidi="ar-SA"/>
              </w:rPr>
              <w:t xml:space="preserve">Descripción</w:t>
            </w:r>
            <w:r>
              <w:rPr>
                <w:szCs w:val="22"/>
                <w:lang w:val="en-US" w:eastAsia="en-US" w:bidi="ar-SA"/>
              </w:rPr>
            </w:r>
          </w:p>
        </w:tc>
      </w:tr>
      <w:tr>
        <w:trPr/>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data/pipeline/01_df_limpio.csv</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03</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Dataset limpio (112.650 × 34)</w:t>
            </w:r>
            <w:r>
              <w:rPr>
                <w:szCs w:val="22"/>
                <w:lang w:val="en-US" w:eastAsia="en-US" w:bidi="ar-SA"/>
              </w:rPr>
            </w:r>
          </w:p>
        </w:tc>
      </w:tr>
      <w:tr>
        <w:trPr/>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data/pipeline/02_df_features.csv</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04</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Dataset con variables derivadas (112.650 × 43)</w:t>
            </w:r>
            <w:r>
              <w:rPr>
                <w:szCs w:val="22"/>
                <w:lang w:val="en-US" w:eastAsia="en-US" w:bidi="ar-SA"/>
              </w:rPr>
            </w:r>
          </w:p>
        </w:tc>
      </w:tr>
      <w:tr>
        <w:trPr/>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data/pipeline/03_df_sentimiento.csv</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09</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Sentimiento de cada reseña única con comentario</w:t>
            </w:r>
            <w:r>
              <w:rPr>
                <w:szCs w:val="22"/>
                <w:lang w:val="en-US" w:eastAsia="en-US" w:bidi="ar-SA"/>
              </w:rPr>
            </w:r>
          </w:p>
        </w:tc>
      </w:tr>
      <w:tr>
        <w:trPr/>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modelos_output/nlp_comparacion_modelos.csv</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09</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Métricas del modelo preentrenado y del propio (TF-IDF)</w:t>
            </w:r>
            <w:r>
              <w:rPr>
                <w:szCs w:val="22"/>
                <w:lang w:val="en-US" w:eastAsia="en-US" w:bidi="ar-SA"/>
              </w:rPr>
            </w:r>
          </w:p>
        </w:tc>
      </w:tr>
      <w:tr>
        <w:trPr/>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modelos_output/modelo_final.joblib</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11</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Clasificador LightGBM + artefactos de predicción</w:t>
            </w:r>
            <w:r>
              <w:rPr>
                <w:szCs w:val="22"/>
                <w:lang w:val="en-US" w:eastAsia="en-US" w:bidi="ar-SA"/>
              </w:rPr>
            </w:r>
          </w:p>
        </w:tc>
      </w:tr>
      <w:tr>
        <w:trPr/>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modelos_output/catalogo_vendedores.csv</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11</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Vendedores con historial (2.801 registros)</w:t>
            </w:r>
            <w:r>
              <w:rPr>
                <w:szCs w:val="22"/>
                <w:lang w:val="en-US" w:eastAsia="en-US" w:bidi="ar-SA"/>
              </w:rPr>
            </w:r>
          </w:p>
        </w:tc>
      </w:tr>
      <w:tr>
        <w:trPr/>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modelos_output/clustering_resumen.csv</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11</w:t>
            </w:r>
            <w:r>
              <w:rPr>
                <w:szCs w:val="22"/>
                <w:lang w:val="en-US" w:eastAsia="en-US" w:bidi="ar-SA"/>
              </w:rPr>
            </w:r>
          </w:p>
        </w:tc>
        <w:tc>
          <w:tcPr>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Perfil promedio por segmento</w:t>
            </w:r>
            <w:r>
              <w:rPr>
                <w:szCs w:val="22"/>
                <w:lang w:val="en-US" w:eastAsia="en-US" w:bidi="ar-SA"/>
              </w:rPr>
            </w:r>
          </w:p>
        </w:tc>
      </w:tr>
      <w:tr>
        <w:trPr/>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modelos_output/clustering_asignaciones.csv</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Notebook 11</w:t>
            </w:r>
            <w:r>
              <w:rPr>
                <w:szCs w:val="22"/>
                <w:lang w:val="en-US" w:eastAsia="en-US" w:bidi="ar-SA"/>
              </w:rPr>
            </w:r>
          </w:p>
        </w:tc>
        <w:tc>
          <w:tcPr>
            <w:shd w:val="clear" w:color="auto" w:fill="f0f2f5"/>
            <w:tcBorders/>
            <w:tcW w:w="3135" w:type="dxa"/>
          </w:tcPr>
          <w:p>
            <w:pPr>
              <w:pStyle w:val="678"/>
              <w:widowControl w:val="true"/>
              <w:spacing w:after="160" w:before="0"/>
              <w:ind/>
              <w:jc w:val="center"/>
              <w:rPr>
                <w:szCs w:val="22"/>
                <w:lang w:val="en-US" w:eastAsia="en-US" w:bidi="ar-SA"/>
              </w:rPr>
            </w:pPr>
            <w:r>
              <w:rPr>
                <w:color w:val="2b2b2b"/>
                <w:sz w:val="18"/>
                <w:szCs w:val="22"/>
                <w:lang w:val="en-US" w:eastAsia="en-US" w:bidi="ar-SA"/>
              </w:rPr>
              <w:t xml:space="preserve">Segmento asignado a cada vendedor (2.960 registros)</w:t>
            </w:r>
            <w:r>
              <w:rPr>
                <w:szCs w:val="22"/>
                <w:lang w:val="en-US" w:eastAsia="en-US" w:bidi="ar-SA"/>
              </w:rPr>
            </w:r>
          </w:p>
        </w:tc>
      </w:tr>
    </w:tbl>
    <w:p>
      <w:pPr>
        <w:pStyle w:val="678"/>
        <w:spacing w:after="280" w:before="0"/>
        <w:ind/>
        <w:jc w:val="center"/>
        <w:rPr/>
      </w:pPr>
      <w:r>
        <w:rPr>
          <w:i/>
          <w:color w:val="555555"/>
          <w:sz w:val="18"/>
        </w:rPr>
        <w:t xml:space="preserve">Tabla 5. Artefactos principales del pipeline.</w:t>
      </w:r>
      <w:r/>
    </w:p>
    <w:p>
      <w:pPr>
        <w:pStyle w:val="678"/>
        <w:widowControl w:val="true"/>
        <w:bidi w:val="false"/>
        <w:spacing w:after="160" w:afterAutospacing="0" w:before="0" w:beforeAutospacing="0" w:line="276" w:lineRule="auto"/>
        <w:ind/>
        <w:jc w:val="left"/>
        <w:rPr/>
      </w:pPr>
      <w:r>
        <w:t xml:space="preserve">El entorno de ejecución requiere Python 3 con las bibliotecas listadas en requirements.txt. La semilla de aleatoriedad se fija en 42 en todos los notebooks que la requieren.</w:t>
      </w:r>
      <w:r/>
    </w:p>
    <w:sectPr>
      <w:footerReference w:type="default" r:id="rId9"/>
      <w:footnotePr/>
      <w:endnotePr/>
      <w:type w:val="nextPage"/>
      <w:pgSz w:h="15840" w:orient="portrait" w:w="12240"/>
      <w:pgMar w:top="1417" w:right="1417" w:bottom="1417" w:left="1417"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panose1 w:val="05010000000000000000"/>
  </w:font>
  <w:font w:name="Symbol">
    <w:panose1 w:val="05050102010706020507"/>
  </w:font>
  <w:font w:name="Cambria">
    <w:panose1 w:val="02040503050406030204"/>
  </w:font>
  <w:font w:name="Noto Sans CJK SC">
    <w:panose1 w:val="05040102010807070707"/>
  </w:font>
  <w:font w:name="FreeSans">
    <w:panose1 w:val="05040102010807070707"/>
  </w:font>
  <w:font w:name="Liberation Sans">
    <w:panose1 w:val="020B0604020202020204"/>
  </w:font>
  <w:font w:name="Courier">
    <w:panose1 w:val="02070309020205020404"/>
  </w:font>
  <w:font w:name="Calibri">
    <w:panose1 w:val="020F0502020204030204"/>
  </w:font>
  <w:font w:name="Arial">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7CA506">
    <w:pPr>
      <w:pStyle w:val="744"/>
      <w:spacing/>
      <w:ind/>
      <w:jc w:val="center"/>
      <w:rPr/>
    </w:pPr>
    <w:fldSimple w:instr="PAGE \* MERGEFORMAT">
      <w:r>
        <w:t xml:space="preserve">1</w:t>
      </w:r>
    </w:fldSimple>
    <w:r/>
    <w:r/>
  </w:p>
  <w:p w14:paraId="66B45B5F">
    <w:pPr>
      <w:pStyle w:val="744"/>
      <w:spacing/>
      <w:ind/>
      <w:rP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360"/>
        </w:tabs>
        <w:spacing/>
        <w:ind w:hanging="360" w:left="360"/>
      </w:pPr>
      <w:pStyle w:val="753"/>
      <w:rPr>
        <w:rFonts w:hint="default" w:ascii="Symbol" w:hAnsi="Symbol" w:cs="Symbol"/>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1">
    <w:lvl w:ilvl="0">
      <w:isLgl w:val="true"/>
      <w:lvlJc w:val="left"/>
      <w:lvlText w:val=""/>
      <w:numFmt w:val="bullet"/>
      <w:pPr>
        <w:pBdr/>
        <w:tabs>
          <w:tab w:val="num" w:leader="none" w:pos="720"/>
        </w:tabs>
        <w:spacing/>
        <w:ind w:hanging="360" w:left="720"/>
      </w:pPr>
      <w:pStyle w:val="754"/>
      <w:rPr>
        <w:rFonts w:hint="default" w:ascii="Symbol" w:hAnsi="Symbol" w:cs="Symbol"/>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2">
    <w:lvl w:ilvl="0">
      <w:isLgl w:val="true"/>
      <w:lvlJc w:val="left"/>
      <w:lvlText w:val=""/>
      <w:numFmt w:val="bullet"/>
      <w:pPr>
        <w:pBdr/>
        <w:tabs>
          <w:tab w:val="num" w:leader="none" w:pos="1080"/>
        </w:tabs>
        <w:spacing/>
        <w:ind w:hanging="360" w:left="1080"/>
      </w:pPr>
      <w:pStyle w:val="755"/>
      <w:rPr>
        <w:rFonts w:hint="default" w:ascii="Symbol" w:hAnsi="Symbol" w:cs="Symbol"/>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3">
    <w:lvl w:ilvl="0">
      <w:isLgl w:val="true"/>
      <w:lvlJc w:val="left"/>
      <w:lvlText w:val="%1."/>
      <w:numFmt w:val="decimal"/>
      <w:pPr>
        <w:pBdr/>
        <w:tabs>
          <w:tab w:val="num" w:leader="none" w:pos="360"/>
        </w:tabs>
        <w:spacing/>
        <w:ind w:hanging="360" w:left="360"/>
      </w:pPr>
      <w:pStyle w:val="756"/>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4">
    <w:lvl w:ilvl="0">
      <w:isLgl w:val="true"/>
      <w:lvlJc w:val="left"/>
      <w:lvlText w:val="%1."/>
      <w:numFmt w:val="decimal"/>
      <w:pPr>
        <w:pBdr/>
        <w:tabs>
          <w:tab w:val="num" w:leader="none" w:pos="720"/>
        </w:tabs>
        <w:spacing/>
        <w:ind w:hanging="360" w:left="720"/>
      </w:pPr>
      <w:pStyle w:val="757"/>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5">
    <w:lvl w:ilvl="0">
      <w:isLgl w:val="true"/>
      <w:lvlJc w:val="left"/>
      <w:lvlText w:val="%1."/>
      <w:numFmt w:val="decimal"/>
      <w:pPr>
        <w:pBdr/>
        <w:tabs>
          <w:tab w:val="num" w:leader="none" w:pos="1080"/>
        </w:tabs>
        <w:spacing/>
        <w:ind w:hanging="360" w:left="1080"/>
      </w:pPr>
      <w:pStyle w:val="758"/>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6">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8" w:default="1">
    <w:name w:val="Normal"/>
    <w:qFormat/>
    <w:pPr>
      <w:widowControl w:val="true"/>
      <w:pBdr/>
      <w:bidi w:val="false"/>
      <w:spacing w:after="160" w:afterAutospacing="0" w:before="0" w:beforeAutospacing="0" w:line="276" w:lineRule="auto"/>
      <w:ind/>
      <w:jc w:val="left"/>
    </w:pPr>
    <w:rPr>
      <w:rFonts w:ascii="Arial" w:hAnsi="Arial"/>
      <w:color w:val="2b2b2b"/>
      <w:sz w:val="22"/>
      <w:szCs w:val="22"/>
      <w:lang w:val="en-US" w:eastAsia="en-US" w:bidi="ar-SA"/>
    </w:rPr>
  </w:style>
  <w:style w:type="paragraph" w:styleId="679">
    <w:name w:val="Heading 1"/>
    <w:basedOn w:val="678"/>
    <w:next w:val="678"/>
    <w:link w:val="700"/>
    <w:uiPriority w:val="9"/>
    <w:qFormat/>
    <w:pPr>
      <w:keepNext w:val="true"/>
      <w:keepLines w:val="true"/>
      <w:pBdr/>
      <w:spacing w:after="120" w:before="360"/>
      <w:ind/>
      <w:outlineLvl w:val="0"/>
    </w:pPr>
    <w:rPr>
      <w:rFonts w:ascii="Calibri" w:hAnsi="Calibri" w:asciiTheme="majorHAnsi" w:hAnsiTheme="majorHAnsi" w:eastAsiaTheme="majorEastAsia" w:cstheme="majorBidi"/>
      <w:b/>
      <w:bCs/>
      <w:color w:val="1f3a5f"/>
      <w:sz w:val="32"/>
      <w:szCs w:val="28"/>
    </w:rPr>
  </w:style>
  <w:style w:type="paragraph" w:styleId="680">
    <w:name w:val="Heading 2"/>
    <w:basedOn w:val="678"/>
    <w:next w:val="678"/>
    <w:link w:val="701"/>
    <w:uiPriority w:val="9"/>
    <w:unhideWhenUsed/>
    <w:qFormat/>
    <w:pPr>
      <w:keepNext w:val="true"/>
      <w:keepLines w:val="true"/>
      <w:pBdr/>
      <w:spacing w:after="120" w:before="240"/>
      <w:ind/>
      <w:outlineLvl w:val="1"/>
    </w:pPr>
    <w:rPr>
      <w:rFonts w:ascii="Calibri" w:hAnsi="Calibri" w:asciiTheme="majorHAnsi" w:hAnsiTheme="majorHAnsi" w:eastAsiaTheme="majorEastAsia" w:cstheme="majorBidi"/>
      <w:b/>
      <w:bCs/>
      <w:color w:val="1f3a5f"/>
      <w:sz w:val="26"/>
      <w:szCs w:val="26"/>
    </w:rPr>
  </w:style>
  <w:style w:type="paragraph" w:styleId="681">
    <w:name w:val="Heading 3"/>
    <w:basedOn w:val="678"/>
    <w:next w:val="678"/>
    <w:link w:val="702"/>
    <w:uiPriority w:val="9"/>
    <w:unhideWhenUsed/>
    <w:qFormat/>
    <w:pPr>
      <w:keepNext w:val="true"/>
      <w:keepLines w:val="true"/>
      <w:pBdr/>
      <w:spacing w:after="120" w:before="240"/>
      <w:ind/>
      <w:outlineLvl w:val="2"/>
    </w:pPr>
    <w:rPr>
      <w:rFonts w:ascii="Calibri" w:hAnsi="Calibri" w:asciiTheme="majorHAnsi" w:hAnsiTheme="majorHAnsi" w:eastAsiaTheme="majorEastAsia" w:cstheme="majorBidi"/>
      <w:b/>
      <w:bCs/>
      <w:color w:val="1f3a5f"/>
      <w:sz w:val="23"/>
    </w:rPr>
  </w:style>
  <w:style w:type="paragraph" w:styleId="682">
    <w:name w:val="Heading 4"/>
    <w:basedOn w:val="678"/>
    <w:next w:val="678"/>
    <w:link w:val="710"/>
    <w:uiPriority w:val="9"/>
    <w:semiHidden/>
    <w:unhideWhenUsed/>
    <w:qFormat/>
    <w:pPr>
      <w:keepNext w:val="true"/>
      <w:keepLines w:val="true"/>
      <w:pBdr/>
      <w:spacing w:after="0" w:before="200"/>
      <w:ind/>
      <w:outlineLvl w:val="3"/>
    </w:pPr>
    <w:rPr>
      <w:rFonts w:ascii="Calibri" w:hAnsi="Calibri" w:asciiTheme="majorHAnsi" w:hAnsiTheme="majorHAnsi" w:eastAsiaTheme="majorEastAsia" w:cstheme="majorBidi"/>
      <w:b/>
      <w:bCs/>
      <w:i/>
      <w:iCs/>
      <w:color w:val="4f81bd" w:themeColor="accent1"/>
    </w:rPr>
  </w:style>
  <w:style w:type="paragraph" w:styleId="683">
    <w:name w:val="Heading 5"/>
    <w:basedOn w:val="678"/>
    <w:next w:val="678"/>
    <w:link w:val="711"/>
    <w:uiPriority w:val="9"/>
    <w:semiHidden/>
    <w:unhideWhenUsed/>
    <w:qFormat/>
    <w:pPr>
      <w:keepNext w:val="true"/>
      <w:keepLines w:val="true"/>
      <w:pBdr/>
      <w:spacing w:after="0" w:before="200"/>
      <w:ind/>
      <w:outlineLvl w:val="4"/>
    </w:pPr>
    <w:rPr>
      <w:rFonts w:ascii="Calibri" w:hAnsi="Calibri" w:asciiTheme="majorHAnsi" w:hAnsiTheme="majorHAnsi" w:eastAsiaTheme="majorEastAsia" w:cstheme="majorBidi"/>
      <w:color w:val="243f60" w:themeColor="accent1" w:themeShade="7F"/>
    </w:rPr>
  </w:style>
  <w:style w:type="paragraph" w:styleId="684">
    <w:name w:val="Heading 6"/>
    <w:basedOn w:val="678"/>
    <w:next w:val="678"/>
    <w:link w:val="712"/>
    <w:uiPriority w:val="9"/>
    <w:semiHidden/>
    <w:unhideWhenUsed/>
    <w:qFormat/>
    <w:pPr>
      <w:keepNext w:val="true"/>
      <w:keepLines w:val="true"/>
      <w:pBdr/>
      <w:spacing w:after="0" w:before="200"/>
      <w:ind/>
      <w:outlineLvl w:val="5"/>
    </w:pPr>
    <w:rPr>
      <w:rFonts w:ascii="Calibri" w:hAnsi="Calibri" w:asciiTheme="majorHAnsi" w:hAnsiTheme="majorHAnsi" w:eastAsiaTheme="majorEastAsia" w:cstheme="majorBidi"/>
      <w:i/>
      <w:iCs/>
      <w:color w:val="243f60" w:themeColor="accent1" w:themeShade="7F"/>
    </w:rPr>
  </w:style>
  <w:style w:type="paragraph" w:styleId="685">
    <w:name w:val="Heading 7"/>
    <w:basedOn w:val="678"/>
    <w:next w:val="678"/>
    <w:link w:val="713"/>
    <w:uiPriority w:val="9"/>
    <w:semiHidden/>
    <w:unhideWhenUsed/>
    <w:qFormat/>
    <w:pPr>
      <w:keepNext w:val="true"/>
      <w:keepLines w:val="true"/>
      <w:pBdr/>
      <w:spacing w:after="0" w:before="200"/>
      <w:ind/>
      <w:outlineLvl w:val="6"/>
    </w:pPr>
    <w:rPr>
      <w:rFonts w:ascii="Calibri" w:hAnsi="Calibri" w:asciiTheme="majorHAnsi" w:hAnsiTheme="majorHAnsi" w:eastAsiaTheme="majorEastAsia" w:cstheme="majorBidi"/>
      <w:i/>
      <w:iCs/>
      <w:color w:val="404040" w:themeColor="text1" w:themeTint="BF"/>
    </w:rPr>
  </w:style>
  <w:style w:type="paragraph" w:styleId="686">
    <w:name w:val="Heading 8"/>
    <w:basedOn w:val="678"/>
    <w:next w:val="678"/>
    <w:link w:val="714"/>
    <w:uiPriority w:val="9"/>
    <w:semiHidden/>
    <w:unhideWhenUsed/>
    <w:qFormat/>
    <w:pPr>
      <w:keepNext w:val="true"/>
      <w:keepLines w:val="true"/>
      <w:pBdr/>
      <w:spacing w:after="0" w:before="200"/>
      <w:ind/>
      <w:outlineLvl w:val="7"/>
    </w:pPr>
    <w:rPr>
      <w:rFonts w:ascii="Calibri" w:hAnsi="Calibri" w:asciiTheme="majorHAnsi" w:hAnsiTheme="majorHAnsi" w:eastAsiaTheme="majorEastAsia" w:cstheme="majorBidi"/>
      <w:color w:val="4f81bd" w:themeColor="accent1"/>
      <w:sz w:val="20"/>
      <w:szCs w:val="20"/>
    </w:rPr>
  </w:style>
  <w:style w:type="paragraph" w:styleId="687">
    <w:name w:val="Heading 9"/>
    <w:basedOn w:val="678"/>
    <w:next w:val="678"/>
    <w:link w:val="715"/>
    <w:uiPriority w:val="9"/>
    <w:semiHidden/>
    <w:unhideWhenUsed/>
    <w:qFormat/>
    <w:pPr>
      <w:keepNext w:val="true"/>
      <w:keepLines w:val="true"/>
      <w:pBdr/>
      <w:spacing w:after="0" w:before="200"/>
      <w:ind/>
      <w:outlineLvl w:val="8"/>
    </w:pPr>
    <w:rPr>
      <w:rFonts w:ascii="Calibri" w:hAnsi="Calibri" w:asciiTheme="majorHAnsi" w:hAnsiTheme="majorHAnsi" w:eastAsiaTheme="majorEastAsia" w:cstheme="majorBidi"/>
      <w:i/>
      <w:iCs/>
      <w:color w:val="404040" w:themeColor="text1" w:themeTint="BF"/>
      <w:sz w:val="20"/>
      <w:szCs w:val="20"/>
    </w:rPr>
  </w:style>
  <w:style w:type="character" w:styleId="688">
    <w:name w:val="Footnote Text Char"/>
    <w:basedOn w:val="699"/>
    <w:link w:val="730"/>
    <w:uiPriority w:val="99"/>
    <w:semiHidden/>
    <w:qFormat/>
    <w:pPr>
      <w:pBdr/>
      <w:spacing/>
      <w:ind/>
    </w:pPr>
    <w:rPr>
      <w:sz w:val="20"/>
      <w:szCs w:val="20"/>
    </w:rPr>
  </w:style>
  <w:style w:type="character" w:styleId="689">
    <w:name w:val="Footnote Characters"/>
    <w:basedOn w:val="699"/>
    <w:uiPriority w:val="99"/>
    <w:semiHidden/>
    <w:unhideWhenUsed/>
    <w:qFormat/>
    <w:pPr>
      <w:pBdr/>
      <w:spacing/>
      <w:ind/>
    </w:pPr>
    <w:rPr>
      <w:vertAlign w:val="superscript"/>
    </w:rPr>
  </w:style>
  <w:style w:type="character" w:styleId="690">
    <w:name w:val="footnote reference"/>
    <w:pPr>
      <w:pBdr/>
      <w:spacing/>
      <w:ind/>
    </w:pPr>
    <w:rPr>
      <w:vertAlign w:val="superscript"/>
    </w:rPr>
  </w:style>
  <w:style w:type="character" w:styleId="691">
    <w:name w:val="Endnote Text Char"/>
    <w:basedOn w:val="699"/>
    <w:link w:val="731"/>
    <w:uiPriority w:val="99"/>
    <w:semiHidden/>
    <w:qFormat/>
    <w:pPr>
      <w:pBdr/>
      <w:spacing/>
      <w:ind/>
    </w:pPr>
    <w:rPr>
      <w:sz w:val="20"/>
      <w:szCs w:val="20"/>
    </w:rPr>
  </w:style>
  <w:style w:type="character" w:styleId="692">
    <w:name w:val="Endnote Characters"/>
    <w:basedOn w:val="699"/>
    <w:uiPriority w:val="99"/>
    <w:semiHidden/>
    <w:unhideWhenUsed/>
    <w:qFormat/>
    <w:pPr>
      <w:pBdr/>
      <w:spacing/>
      <w:ind/>
    </w:pPr>
    <w:rPr>
      <w:vertAlign w:val="superscript"/>
    </w:rPr>
  </w:style>
  <w:style w:type="character" w:styleId="693">
    <w:name w:val="endnote reference"/>
    <w:pPr>
      <w:pBdr/>
      <w:spacing/>
      <w:ind/>
    </w:pPr>
    <w:rPr>
      <w:vertAlign w:val="superscript"/>
    </w:rPr>
  </w:style>
  <w:style w:type="character" w:styleId="694">
    <w:name w:val="Hyperlink"/>
    <w:basedOn w:val="699"/>
    <w:uiPriority w:val="99"/>
    <w:unhideWhenUsed/>
    <w:pPr>
      <w:pBdr/>
      <w:spacing/>
      <w:ind/>
    </w:pPr>
    <w:rPr>
      <w:color w:val="0563c1" w:themeColor="hyperlink"/>
      <w:u w:val="single"/>
    </w:rPr>
  </w:style>
  <w:style w:type="character" w:styleId="695">
    <w:name w:val="FollowedHyperlink"/>
    <w:basedOn w:val="699"/>
    <w:uiPriority w:val="99"/>
    <w:semiHidden/>
    <w:unhideWhenUsed/>
    <w:pPr>
      <w:pBdr/>
      <w:spacing/>
      <w:ind/>
    </w:pPr>
    <w:rPr>
      <w:color w:val="954f72" w:themeColor="followedHyperlink"/>
      <w:u w:val="single"/>
    </w:rPr>
  </w:style>
  <w:style w:type="character" w:styleId="696">
    <w:name w:val="Placeholder Text"/>
    <w:basedOn w:val="699"/>
    <w:uiPriority w:val="99"/>
    <w:semiHidden/>
    <w:qFormat/>
    <w:pPr>
      <w:pBdr/>
      <w:spacing/>
      <w:ind/>
    </w:pPr>
    <w:rPr>
      <w:color w:val="666666"/>
    </w:rPr>
  </w:style>
  <w:style w:type="character" w:styleId="697" w:customStyle="1">
    <w:name w:val="Header Char"/>
    <w:basedOn w:val="699"/>
    <w:link w:val="743"/>
    <w:uiPriority w:val="99"/>
    <w:qFormat/>
    <w:pPr>
      <w:pBdr/>
      <w:spacing/>
      <w:ind/>
    </w:pPr>
  </w:style>
  <w:style w:type="character" w:styleId="698" w:customStyle="1">
    <w:name w:val="Footer Char"/>
    <w:basedOn w:val="699"/>
    <w:link w:val="744"/>
    <w:uiPriority w:val="99"/>
    <w:qFormat/>
    <w:pPr>
      <w:pBdr/>
      <w:spacing/>
      <w:ind/>
    </w:pPr>
  </w:style>
  <w:style w:type="character" w:styleId="699" w:default="1">
    <w:name w:val="Default Paragraph Font"/>
    <w:uiPriority w:val="1"/>
    <w:semiHidden/>
    <w:unhideWhenUsed/>
    <w:qFormat/>
    <w:pPr>
      <w:pBdr/>
      <w:spacing/>
      <w:ind/>
    </w:pPr>
  </w:style>
  <w:style w:type="character" w:styleId="700" w:customStyle="1">
    <w:name w:val="Heading 1 Char"/>
    <w:basedOn w:val="699"/>
    <w:link w:val="679"/>
    <w:uiPriority w:val="9"/>
    <w:qFormat/>
    <w:pPr>
      <w:pBdr/>
      <w:spacing/>
      <w:ind/>
    </w:pPr>
    <w:rPr>
      <w:rFonts w:ascii="Calibri" w:hAnsi="Calibri" w:asciiTheme="majorHAnsi" w:hAnsiTheme="majorHAnsi" w:eastAsiaTheme="majorEastAsia" w:cstheme="majorBidi"/>
      <w:b/>
      <w:bCs/>
      <w:color w:val="365f91" w:themeColor="accent1" w:themeShade="BF"/>
      <w:sz w:val="28"/>
      <w:szCs w:val="28"/>
    </w:rPr>
  </w:style>
  <w:style w:type="character" w:styleId="701" w:customStyle="1">
    <w:name w:val="Heading 2 Char"/>
    <w:basedOn w:val="699"/>
    <w:link w:val="680"/>
    <w:uiPriority w:val="9"/>
    <w:qFormat/>
    <w:pPr>
      <w:pBdr/>
      <w:spacing/>
      <w:ind/>
    </w:pPr>
    <w:rPr>
      <w:rFonts w:ascii="Calibri" w:hAnsi="Calibri" w:asciiTheme="majorHAnsi" w:hAnsiTheme="majorHAnsi" w:eastAsiaTheme="majorEastAsia" w:cstheme="majorBidi"/>
      <w:b/>
      <w:bCs/>
      <w:color w:val="4f81bd" w:themeColor="accent1"/>
      <w:sz w:val="26"/>
      <w:szCs w:val="26"/>
    </w:rPr>
  </w:style>
  <w:style w:type="character" w:styleId="702" w:customStyle="1">
    <w:name w:val="Heading 3 Char"/>
    <w:basedOn w:val="699"/>
    <w:link w:val="681"/>
    <w:uiPriority w:val="9"/>
    <w:qFormat/>
    <w:pPr>
      <w:pBdr/>
      <w:spacing/>
      <w:ind/>
    </w:pPr>
    <w:rPr>
      <w:rFonts w:ascii="Calibri" w:hAnsi="Calibri" w:asciiTheme="majorHAnsi" w:hAnsiTheme="majorHAnsi" w:eastAsiaTheme="majorEastAsia" w:cstheme="majorBidi"/>
      <w:b/>
      <w:bCs/>
      <w:color w:val="4f81bd" w:themeColor="accent1"/>
    </w:rPr>
  </w:style>
  <w:style w:type="character" w:styleId="703" w:customStyle="1">
    <w:name w:val="Title Char"/>
    <w:basedOn w:val="699"/>
    <w:link w:val="746"/>
    <w:uiPriority w:val="10"/>
    <w:qFormat/>
    <w:pPr>
      <w:pBdr/>
      <w:spacing/>
      <w:ind/>
    </w:pPr>
    <w:rPr>
      <w:rFonts w:ascii="Calibri" w:hAnsi="Calibri" w:asciiTheme="majorHAnsi" w:hAnsiTheme="majorHAnsi" w:eastAsiaTheme="majorEastAsia" w:cstheme="majorBidi"/>
      <w:color w:val="17365d" w:themeColor="text2" w:themeShade="BF"/>
      <w:spacing w:val="5"/>
      <w:sz w:val="52"/>
      <w:szCs w:val="52"/>
    </w:rPr>
  </w:style>
  <w:style w:type="character" w:styleId="704" w:customStyle="1">
    <w:name w:val="Subtitle Char"/>
    <w:basedOn w:val="699"/>
    <w:link w:val="747"/>
    <w:uiPriority w:val="11"/>
    <w:qFormat/>
    <w:pPr>
      <w:pBdr/>
      <w:spacing/>
      <w:ind/>
    </w:pPr>
    <w:rPr>
      <w:rFonts w:ascii="Calibri" w:hAnsi="Calibri" w:asciiTheme="majorHAnsi" w:hAnsiTheme="majorHAnsi" w:eastAsiaTheme="majorEastAsia" w:cstheme="majorBidi"/>
      <w:i/>
      <w:iCs/>
      <w:color w:val="4f81bd" w:themeColor="accent1"/>
      <w:spacing w:val="15"/>
      <w:sz w:val="24"/>
      <w:szCs w:val="24"/>
    </w:rPr>
  </w:style>
  <w:style w:type="character" w:styleId="705" w:customStyle="1">
    <w:name w:val="Body Text Char"/>
    <w:basedOn w:val="699"/>
    <w:uiPriority w:val="99"/>
    <w:qFormat/>
    <w:pPr>
      <w:pBdr/>
      <w:spacing/>
      <w:ind/>
    </w:pPr>
  </w:style>
  <w:style w:type="character" w:styleId="706" w:customStyle="1">
    <w:name w:val="Body Text 2 Char"/>
    <w:basedOn w:val="699"/>
    <w:link w:val="749"/>
    <w:uiPriority w:val="99"/>
    <w:qFormat/>
    <w:pPr>
      <w:pBdr/>
      <w:spacing/>
      <w:ind/>
    </w:pPr>
  </w:style>
  <w:style w:type="character" w:styleId="707" w:customStyle="1">
    <w:name w:val="Body Text 3 Char"/>
    <w:basedOn w:val="699"/>
    <w:link w:val="750"/>
    <w:uiPriority w:val="99"/>
    <w:qFormat/>
    <w:pPr>
      <w:pBdr/>
      <w:spacing/>
      <w:ind/>
    </w:pPr>
    <w:rPr>
      <w:sz w:val="16"/>
      <w:szCs w:val="16"/>
    </w:rPr>
  </w:style>
  <w:style w:type="character" w:styleId="708" w:customStyle="1">
    <w:name w:val="Macro Text Char"/>
    <w:basedOn w:val="699"/>
    <w:link w:val="762"/>
    <w:uiPriority w:val="99"/>
    <w:qFormat/>
    <w:pPr>
      <w:pBdr/>
      <w:spacing/>
      <w:ind/>
    </w:pPr>
    <w:rPr>
      <w:rFonts w:ascii="Courier" w:hAnsi="Courier"/>
      <w:sz w:val="20"/>
      <w:szCs w:val="20"/>
    </w:rPr>
  </w:style>
  <w:style w:type="character" w:styleId="709" w:customStyle="1">
    <w:name w:val="Quote Char"/>
    <w:basedOn w:val="699"/>
    <w:link w:val="763"/>
    <w:uiPriority w:val="29"/>
    <w:qFormat/>
    <w:pPr>
      <w:pBdr/>
      <w:spacing/>
      <w:ind/>
    </w:pPr>
    <w:rPr>
      <w:i/>
      <w:iCs/>
      <w:color w:val="000000" w:themeColor="text1"/>
    </w:rPr>
  </w:style>
  <w:style w:type="character" w:styleId="710" w:customStyle="1">
    <w:name w:val="Heading 4 Char"/>
    <w:basedOn w:val="699"/>
    <w:link w:val="682"/>
    <w:uiPriority w:val="9"/>
    <w:semiHidden/>
    <w:qFormat/>
    <w:pPr>
      <w:pBdr/>
      <w:spacing/>
      <w:ind/>
    </w:pPr>
    <w:rPr>
      <w:rFonts w:ascii="Calibri" w:hAnsi="Calibri" w:asciiTheme="majorHAnsi" w:hAnsiTheme="majorHAnsi" w:eastAsiaTheme="majorEastAsia" w:cstheme="majorBidi"/>
      <w:b/>
      <w:bCs/>
      <w:i/>
      <w:iCs/>
      <w:color w:val="4f81bd" w:themeColor="accent1"/>
    </w:rPr>
  </w:style>
  <w:style w:type="character" w:styleId="711" w:customStyle="1">
    <w:name w:val="Heading 5 Char"/>
    <w:basedOn w:val="699"/>
    <w:link w:val="683"/>
    <w:uiPriority w:val="9"/>
    <w:semiHidden/>
    <w:qFormat/>
    <w:pPr>
      <w:pBdr/>
      <w:spacing/>
      <w:ind/>
    </w:pPr>
    <w:rPr>
      <w:rFonts w:ascii="Calibri" w:hAnsi="Calibri" w:asciiTheme="majorHAnsi" w:hAnsiTheme="majorHAnsi" w:eastAsiaTheme="majorEastAsia" w:cstheme="majorBidi"/>
      <w:color w:val="243f60" w:themeColor="accent1" w:themeShade="7F"/>
    </w:rPr>
  </w:style>
  <w:style w:type="character" w:styleId="712" w:customStyle="1">
    <w:name w:val="Heading 6 Char"/>
    <w:basedOn w:val="699"/>
    <w:link w:val="684"/>
    <w:uiPriority w:val="9"/>
    <w:semiHidden/>
    <w:qFormat/>
    <w:pPr>
      <w:pBdr/>
      <w:spacing/>
      <w:ind/>
    </w:pPr>
    <w:rPr>
      <w:rFonts w:ascii="Calibri" w:hAnsi="Calibri" w:asciiTheme="majorHAnsi" w:hAnsiTheme="majorHAnsi" w:eastAsiaTheme="majorEastAsia" w:cstheme="majorBidi"/>
      <w:i/>
      <w:iCs/>
      <w:color w:val="243f60" w:themeColor="accent1" w:themeShade="7F"/>
    </w:rPr>
  </w:style>
  <w:style w:type="character" w:styleId="713" w:customStyle="1">
    <w:name w:val="Heading 7 Char"/>
    <w:basedOn w:val="699"/>
    <w:link w:val="685"/>
    <w:uiPriority w:val="9"/>
    <w:semiHidden/>
    <w:qFormat/>
    <w:pPr>
      <w:pBdr/>
      <w:spacing/>
      <w:ind/>
    </w:pPr>
    <w:rPr>
      <w:rFonts w:ascii="Calibri" w:hAnsi="Calibri" w:asciiTheme="majorHAnsi" w:hAnsiTheme="majorHAnsi" w:eastAsiaTheme="majorEastAsia" w:cstheme="majorBidi"/>
      <w:i/>
      <w:iCs/>
      <w:color w:val="404040" w:themeColor="text1" w:themeTint="BF"/>
    </w:rPr>
  </w:style>
  <w:style w:type="character" w:styleId="714" w:customStyle="1">
    <w:name w:val="Heading 8 Char"/>
    <w:basedOn w:val="699"/>
    <w:link w:val="686"/>
    <w:uiPriority w:val="9"/>
    <w:semiHidden/>
    <w:qFormat/>
    <w:pPr>
      <w:pBdr/>
      <w:spacing/>
      <w:ind/>
    </w:pPr>
    <w:rPr>
      <w:rFonts w:ascii="Calibri" w:hAnsi="Calibri" w:asciiTheme="majorHAnsi" w:hAnsiTheme="majorHAnsi" w:eastAsiaTheme="majorEastAsia" w:cstheme="majorBidi"/>
      <w:color w:val="4f81bd" w:themeColor="accent1"/>
      <w:sz w:val="20"/>
      <w:szCs w:val="20"/>
    </w:rPr>
  </w:style>
  <w:style w:type="character" w:styleId="715" w:customStyle="1">
    <w:name w:val="Heading 9 Char"/>
    <w:basedOn w:val="699"/>
    <w:link w:val="687"/>
    <w:uiPriority w:val="9"/>
    <w:semiHidden/>
    <w:qFormat/>
    <w:pPr>
      <w:pBdr/>
      <w:spacing/>
      <w:ind/>
    </w:pPr>
    <w:rPr>
      <w:rFonts w:ascii="Calibri" w:hAnsi="Calibri" w:asciiTheme="majorHAnsi" w:hAnsiTheme="majorHAnsi" w:eastAsiaTheme="majorEastAsia" w:cstheme="majorBidi"/>
      <w:i/>
      <w:iCs/>
      <w:color w:val="404040" w:themeColor="text1" w:themeTint="BF"/>
      <w:sz w:val="20"/>
      <w:szCs w:val="20"/>
    </w:rPr>
  </w:style>
  <w:style w:type="character" w:styleId="716">
    <w:name w:val="Strong"/>
    <w:basedOn w:val="699"/>
    <w:uiPriority w:val="22"/>
    <w:qFormat/>
    <w:pPr>
      <w:pBdr/>
      <w:spacing/>
      <w:ind/>
    </w:pPr>
    <w:rPr>
      <w:b/>
      <w:bCs/>
    </w:rPr>
  </w:style>
  <w:style w:type="character" w:styleId="717">
    <w:name w:val="Emphasis"/>
    <w:basedOn w:val="699"/>
    <w:uiPriority w:val="20"/>
    <w:qFormat/>
    <w:pPr>
      <w:pBdr/>
      <w:spacing/>
      <w:ind/>
    </w:pPr>
    <w:rPr>
      <w:i/>
      <w:iCs/>
    </w:rPr>
  </w:style>
  <w:style w:type="character" w:styleId="718" w:customStyle="1">
    <w:name w:val="Intense Quote Char"/>
    <w:basedOn w:val="699"/>
    <w:link w:val="764"/>
    <w:uiPriority w:val="30"/>
    <w:qFormat/>
    <w:pPr>
      <w:pBdr/>
      <w:spacing/>
      <w:ind/>
    </w:pPr>
    <w:rPr>
      <w:b/>
      <w:bCs/>
      <w:i/>
      <w:iCs/>
      <w:color w:val="4f81bd" w:themeColor="accent1"/>
    </w:rPr>
  </w:style>
  <w:style w:type="character" w:styleId="719">
    <w:name w:val="Subtle Emphasis"/>
    <w:basedOn w:val="699"/>
    <w:uiPriority w:val="19"/>
    <w:qFormat/>
    <w:pPr>
      <w:pBdr/>
      <w:spacing/>
      <w:ind/>
    </w:pPr>
    <w:rPr>
      <w:i/>
      <w:iCs/>
      <w:color w:val="808080" w:themeColor="text1" w:themeTint="7F"/>
    </w:rPr>
  </w:style>
  <w:style w:type="character" w:styleId="720">
    <w:name w:val="Intense Emphasis"/>
    <w:basedOn w:val="699"/>
    <w:uiPriority w:val="21"/>
    <w:qFormat/>
    <w:pPr>
      <w:pBdr/>
      <w:spacing/>
      <w:ind/>
    </w:pPr>
    <w:rPr>
      <w:b/>
      <w:bCs/>
      <w:i/>
      <w:iCs/>
      <w:color w:val="4f81bd" w:themeColor="accent1"/>
    </w:rPr>
  </w:style>
  <w:style w:type="character" w:styleId="721">
    <w:name w:val="Subtle Reference"/>
    <w:basedOn w:val="699"/>
    <w:uiPriority w:val="31"/>
    <w:qFormat/>
    <w:pPr>
      <w:pBdr/>
      <w:spacing/>
      <w:ind/>
    </w:pPr>
    <w:rPr>
      <w:smallCaps/>
      <w:color w:val="c0504d" w:themeColor="accent2"/>
      <w:u w:val="single"/>
    </w:rPr>
  </w:style>
  <w:style w:type="character" w:styleId="722">
    <w:name w:val="Intense Reference"/>
    <w:basedOn w:val="699"/>
    <w:uiPriority w:val="32"/>
    <w:qFormat/>
    <w:pPr>
      <w:pBdr/>
      <w:spacing/>
      <w:ind/>
    </w:pPr>
    <w:rPr>
      <w:b/>
      <w:bCs/>
      <w:smallCaps/>
      <w:color w:val="c0504d" w:themeColor="accent2"/>
      <w:spacing w:val="5"/>
      <w:u w:val="single"/>
    </w:rPr>
  </w:style>
  <w:style w:type="character" w:styleId="723">
    <w:name w:val="Book Title"/>
    <w:basedOn w:val="699"/>
    <w:uiPriority w:val="33"/>
    <w:qFormat/>
    <w:pPr>
      <w:pBdr/>
      <w:spacing/>
      <w:ind/>
    </w:pPr>
    <w:rPr>
      <w:b/>
      <w:bCs/>
      <w:smallCaps/>
      <w:spacing w:val="5"/>
    </w:rPr>
  </w:style>
  <w:style w:type="character" w:styleId="724">
    <w:name w:val="Index Link"/>
    <w:qFormat/>
    <w:pPr>
      <w:pBdr/>
      <w:spacing/>
      <w:ind/>
    </w:pPr>
  </w:style>
  <w:style w:type="paragraph" w:styleId="725">
    <w:name w:val="Heading"/>
    <w:basedOn w:val="678"/>
    <w:next w:val="726"/>
    <w:qFormat/>
    <w:pPr>
      <w:keepNext w:val="true"/>
      <w:pBdr/>
      <w:spacing w:after="120" w:before="240"/>
      <w:ind/>
    </w:pPr>
    <w:rPr>
      <w:rFonts w:ascii="Liberation Sans" w:hAnsi="Liberation Sans" w:eastAsia="Noto Sans CJK SC" w:cs="FreeSans"/>
      <w:sz w:val="28"/>
      <w:szCs w:val="28"/>
    </w:rPr>
  </w:style>
  <w:style w:type="paragraph" w:styleId="726">
    <w:name w:val="Body Text"/>
    <w:basedOn w:val="678"/>
    <w:link w:val="705"/>
    <w:uiPriority w:val="99"/>
    <w:unhideWhenUsed/>
    <w:pPr>
      <w:pBdr/>
      <w:spacing w:after="120" w:before="0"/>
      <w:ind/>
    </w:pPr>
  </w:style>
  <w:style w:type="paragraph" w:styleId="727">
    <w:name w:val="List"/>
    <w:basedOn w:val="678"/>
    <w:uiPriority w:val="99"/>
    <w:unhideWhenUsed/>
    <w:pPr>
      <w:pBdr/>
      <w:spacing w:after="160" w:before="0"/>
      <w:ind w:hanging="360" w:left="360"/>
      <w:contextualSpacing w:val="true"/>
    </w:pPr>
  </w:style>
  <w:style w:type="paragraph" w:styleId="728">
    <w:name w:val="Caption"/>
    <w:basedOn w:val="678"/>
    <w:next w:val="678"/>
    <w:uiPriority w:val="35"/>
    <w:semiHidden/>
    <w:unhideWhenUsed/>
    <w:qFormat/>
    <w:pPr>
      <w:pBdr/>
      <w:spacing w:line="240" w:lineRule="auto"/>
      <w:ind/>
    </w:pPr>
    <w:rPr>
      <w:b/>
      <w:bCs/>
      <w:color w:val="4f81bd" w:themeColor="accent1"/>
      <w:sz w:val="18"/>
      <w:szCs w:val="18"/>
    </w:rPr>
  </w:style>
  <w:style w:type="paragraph" w:styleId="729">
    <w:name w:val="Index"/>
    <w:basedOn w:val="678"/>
    <w:qFormat/>
    <w:pPr>
      <w:suppressLineNumbers w:val="true"/>
      <w:pBdr/>
      <w:spacing/>
      <w:ind/>
    </w:pPr>
    <w:rPr>
      <w:rFonts w:cs="FreeSans"/>
    </w:rPr>
  </w:style>
  <w:style w:type="paragraph" w:styleId="730">
    <w:name w:val="footnote text"/>
    <w:basedOn w:val="678"/>
    <w:link w:val="688"/>
    <w:uiPriority w:val="99"/>
    <w:semiHidden/>
    <w:unhideWhenUsed/>
    <w:pPr>
      <w:pBdr/>
      <w:spacing w:after="0" w:before="0" w:line="240" w:lineRule="auto"/>
      <w:ind/>
    </w:pPr>
    <w:rPr>
      <w:sz w:val="20"/>
      <w:szCs w:val="20"/>
    </w:rPr>
  </w:style>
  <w:style w:type="paragraph" w:styleId="731">
    <w:name w:val="endnote text"/>
    <w:basedOn w:val="678"/>
    <w:link w:val="691"/>
    <w:uiPriority w:val="99"/>
    <w:semiHidden/>
    <w:unhideWhenUsed/>
    <w:pPr>
      <w:pBdr/>
      <w:spacing w:after="0" w:before="0" w:line="240" w:lineRule="auto"/>
      <w:ind/>
    </w:pPr>
    <w:rPr>
      <w:sz w:val="20"/>
      <w:szCs w:val="20"/>
    </w:rPr>
  </w:style>
  <w:style w:type="paragraph" w:styleId="732">
    <w:name w:val="toc 1"/>
    <w:basedOn w:val="678"/>
    <w:next w:val="678"/>
    <w:uiPriority w:val="39"/>
    <w:unhideWhenUsed/>
    <w:pPr>
      <w:pBdr/>
      <w:spacing w:after="100" w:before="0"/>
      <w:ind/>
    </w:pPr>
  </w:style>
  <w:style w:type="paragraph" w:styleId="733">
    <w:name w:val="toc 2"/>
    <w:basedOn w:val="678"/>
    <w:next w:val="678"/>
    <w:uiPriority w:val="39"/>
    <w:unhideWhenUsed/>
    <w:pPr>
      <w:pBdr/>
      <w:spacing w:after="100" w:before="0"/>
      <w:ind w:left="220"/>
    </w:pPr>
  </w:style>
  <w:style w:type="paragraph" w:styleId="734">
    <w:name w:val="toc 3"/>
    <w:basedOn w:val="678"/>
    <w:next w:val="678"/>
    <w:uiPriority w:val="39"/>
    <w:unhideWhenUsed/>
    <w:pPr>
      <w:pBdr/>
      <w:spacing w:after="100" w:before="0"/>
      <w:ind w:left="440"/>
    </w:pPr>
  </w:style>
  <w:style w:type="paragraph" w:styleId="735">
    <w:name w:val="toc 4"/>
    <w:basedOn w:val="678"/>
    <w:next w:val="678"/>
    <w:uiPriority w:val="39"/>
    <w:unhideWhenUsed/>
    <w:pPr>
      <w:pBdr/>
      <w:spacing w:after="100" w:before="0"/>
      <w:ind w:left="660"/>
    </w:pPr>
  </w:style>
  <w:style w:type="paragraph" w:styleId="736">
    <w:name w:val="toc 5"/>
    <w:basedOn w:val="678"/>
    <w:next w:val="678"/>
    <w:uiPriority w:val="39"/>
    <w:unhideWhenUsed/>
    <w:pPr>
      <w:pBdr/>
      <w:spacing w:after="100" w:before="0"/>
      <w:ind w:left="880"/>
    </w:pPr>
  </w:style>
  <w:style w:type="paragraph" w:styleId="737">
    <w:name w:val="toc 6"/>
    <w:basedOn w:val="678"/>
    <w:next w:val="678"/>
    <w:uiPriority w:val="39"/>
    <w:unhideWhenUsed/>
    <w:pPr>
      <w:pBdr/>
      <w:spacing w:after="100" w:before="0"/>
      <w:ind w:left="1100"/>
    </w:pPr>
  </w:style>
  <w:style w:type="paragraph" w:styleId="738">
    <w:name w:val="toc 7"/>
    <w:basedOn w:val="678"/>
    <w:next w:val="678"/>
    <w:uiPriority w:val="39"/>
    <w:unhideWhenUsed/>
    <w:pPr>
      <w:pBdr/>
      <w:spacing w:after="100" w:before="0"/>
      <w:ind w:left="1320"/>
    </w:pPr>
  </w:style>
  <w:style w:type="paragraph" w:styleId="739">
    <w:name w:val="toc 8"/>
    <w:basedOn w:val="678"/>
    <w:next w:val="678"/>
    <w:uiPriority w:val="39"/>
    <w:unhideWhenUsed/>
    <w:pPr>
      <w:pBdr/>
      <w:spacing w:after="100" w:before="0"/>
      <w:ind w:left="1540"/>
    </w:pPr>
  </w:style>
  <w:style w:type="paragraph" w:styleId="740">
    <w:name w:val="toc 9"/>
    <w:basedOn w:val="678"/>
    <w:next w:val="678"/>
    <w:uiPriority w:val="39"/>
    <w:unhideWhenUsed/>
    <w:pPr>
      <w:pBdr/>
      <w:spacing w:after="100" w:before="0"/>
      <w:ind w:left="1760"/>
    </w:pPr>
  </w:style>
  <w:style w:type="paragraph" w:styleId="741">
    <w:name w:val="table of figures"/>
    <w:basedOn w:val="678"/>
    <w:next w:val="678"/>
    <w:uiPriority w:val="99"/>
    <w:unhideWhenUsed/>
    <w:pPr>
      <w:pBdr/>
      <w:spacing w:after="0" w:afterAutospacing="0" w:before="0"/>
      <w:ind/>
    </w:pPr>
  </w:style>
  <w:style w:type="paragraph" w:styleId="742">
    <w:name w:val="Header and Footer"/>
    <w:basedOn w:val="678"/>
    <w:qFormat/>
    <w:pPr>
      <w:pBdr/>
      <w:spacing/>
      <w:ind/>
    </w:pPr>
  </w:style>
  <w:style w:type="paragraph" w:styleId="743">
    <w:name w:val="Header"/>
    <w:basedOn w:val="678"/>
    <w:link w:val="697"/>
    <w:uiPriority w:val="99"/>
    <w:unhideWhenUsed/>
    <w:pPr>
      <w:pBdr/>
      <w:tabs>
        <w:tab w:val="clear" w:leader="none" w:pos="720"/>
        <w:tab w:val="center" w:leader="none" w:pos="4680"/>
        <w:tab w:val="right" w:leader="none" w:pos="9360"/>
      </w:tabs>
      <w:spacing w:after="0" w:before="0" w:line="240" w:lineRule="auto"/>
      <w:ind/>
    </w:pPr>
  </w:style>
  <w:style w:type="paragraph" w:styleId="744">
    <w:name w:val="Footer"/>
    <w:basedOn w:val="678"/>
    <w:link w:val="698"/>
    <w:uiPriority w:val="99"/>
    <w:unhideWhenUsed/>
    <w:pPr>
      <w:pBdr/>
      <w:tabs>
        <w:tab w:val="clear" w:leader="none" w:pos="720"/>
        <w:tab w:val="center" w:leader="none" w:pos="4680"/>
        <w:tab w:val="right" w:leader="none" w:pos="9360"/>
      </w:tabs>
      <w:spacing w:after="0" w:before="0" w:line="240" w:lineRule="auto"/>
      <w:ind/>
    </w:pPr>
  </w:style>
  <w:style w:type="paragraph" w:styleId="745">
    <w:name w:val="No Spacing"/>
    <w:uiPriority w:val="1"/>
    <w:qFormat/>
    <w:pPr>
      <w:widowControl w:val="true"/>
      <w:pBdr/>
      <w:bidi w:val="false"/>
      <w:spacing w:after="0" w:afterAutospacing="0" w:before="0" w:beforeAutospacing="0" w:line="240" w:lineRule="auto"/>
      <w:ind/>
      <w:jc w:val="left"/>
    </w:pPr>
    <w:rPr>
      <w:rFonts w:ascii="Cambria" w:hAnsi="Cambria" w:asciiTheme="minorHAnsi" w:hAnsiTheme="minorHAnsi" w:eastAsiaTheme="minorEastAsia" w:cstheme="minorBidi"/>
      <w:color w:val="auto"/>
      <w:sz w:val="22"/>
      <w:szCs w:val="22"/>
      <w:lang w:val="en-US" w:eastAsia="en-US" w:bidi="ar-SA"/>
    </w:rPr>
  </w:style>
  <w:style w:type="paragraph" w:styleId="746">
    <w:name w:val="Title"/>
    <w:basedOn w:val="678"/>
    <w:next w:val="678"/>
    <w:link w:val="703"/>
    <w:uiPriority w:val="10"/>
    <w:qFormat/>
    <w:pPr>
      <w:pBdr>
        <w:bottom w:val="single" w:color="4f81bd" w:themeColor="accent1" w:sz="8" w:space="4"/>
      </w:pBdr>
      <w:spacing w:after="300" w:before="0" w:line="240" w:lineRule="auto"/>
      <w:ind/>
      <w:contextualSpacing w:val="true"/>
    </w:pPr>
    <w:rPr>
      <w:rFonts w:ascii="Calibri" w:hAnsi="Calibri" w:asciiTheme="majorHAnsi" w:hAnsiTheme="majorHAnsi" w:eastAsiaTheme="majorEastAsia" w:cstheme="majorBidi"/>
      <w:color w:val="17365d" w:themeColor="text2" w:themeShade="BF"/>
      <w:spacing w:val="5"/>
      <w:sz w:val="52"/>
      <w:szCs w:val="52"/>
    </w:rPr>
  </w:style>
  <w:style w:type="paragraph" w:styleId="747">
    <w:name w:val="Subtitle"/>
    <w:basedOn w:val="678"/>
    <w:next w:val="678"/>
    <w:link w:val="704"/>
    <w:uiPriority w:val="11"/>
    <w:qFormat/>
    <w:pPr>
      <w:pBdr/>
      <w:spacing/>
      <w:ind/>
    </w:pPr>
    <w:rPr>
      <w:rFonts w:ascii="Calibri" w:hAnsi="Calibri" w:asciiTheme="majorHAnsi" w:hAnsiTheme="majorHAnsi" w:eastAsiaTheme="majorEastAsia" w:cstheme="majorBidi"/>
      <w:i/>
      <w:iCs/>
      <w:color w:val="4f81bd" w:themeColor="accent1"/>
      <w:spacing w:val="15"/>
      <w:sz w:val="24"/>
      <w:szCs w:val="24"/>
    </w:rPr>
  </w:style>
  <w:style w:type="paragraph" w:styleId="748">
    <w:name w:val="List Paragraph"/>
    <w:basedOn w:val="678"/>
    <w:uiPriority w:val="34"/>
    <w:qFormat/>
    <w:pPr>
      <w:pBdr/>
      <w:spacing w:after="160" w:before="0"/>
      <w:ind w:left="720"/>
      <w:contextualSpacing w:val="true"/>
    </w:pPr>
  </w:style>
  <w:style w:type="paragraph" w:styleId="749">
    <w:name w:val="Body Text 2"/>
    <w:basedOn w:val="678"/>
    <w:link w:val="706"/>
    <w:uiPriority w:val="99"/>
    <w:unhideWhenUsed/>
    <w:qFormat/>
    <w:pPr>
      <w:pBdr/>
      <w:spacing w:after="120" w:before="0" w:line="480" w:lineRule="auto"/>
      <w:ind/>
    </w:pPr>
  </w:style>
  <w:style w:type="paragraph" w:styleId="750">
    <w:name w:val="Body Text 3"/>
    <w:basedOn w:val="678"/>
    <w:link w:val="707"/>
    <w:uiPriority w:val="99"/>
    <w:unhideWhenUsed/>
    <w:qFormat/>
    <w:pPr>
      <w:pBdr/>
      <w:spacing w:after="120" w:before="0"/>
      <w:ind/>
    </w:pPr>
    <w:rPr>
      <w:sz w:val="16"/>
      <w:szCs w:val="16"/>
    </w:rPr>
  </w:style>
  <w:style w:type="paragraph" w:styleId="751">
    <w:name w:val="List 2"/>
    <w:basedOn w:val="678"/>
    <w:uiPriority w:val="99"/>
    <w:unhideWhenUsed/>
    <w:qFormat/>
    <w:pPr>
      <w:pBdr/>
      <w:spacing w:after="160" w:before="0"/>
      <w:ind w:hanging="360" w:left="720"/>
      <w:contextualSpacing w:val="true"/>
    </w:pPr>
  </w:style>
  <w:style w:type="paragraph" w:styleId="752">
    <w:name w:val="List 3"/>
    <w:basedOn w:val="678"/>
    <w:uiPriority w:val="99"/>
    <w:unhideWhenUsed/>
    <w:qFormat/>
    <w:pPr>
      <w:pBdr/>
      <w:spacing w:after="160" w:before="0"/>
      <w:ind w:hanging="360" w:left="1080"/>
      <w:contextualSpacing w:val="true"/>
    </w:pPr>
  </w:style>
  <w:style w:type="paragraph" w:styleId="753">
    <w:name w:val="List Bullet"/>
    <w:basedOn w:val="678"/>
    <w:uiPriority w:val="99"/>
    <w:unhideWhenUsed/>
    <w:pPr>
      <w:numPr>
        <w:ilvl w:val="0"/>
        <w:numId w:val="1"/>
      </w:numPr>
      <w:pBdr/>
      <w:spacing w:after="160" w:before="0"/>
      <w:ind/>
      <w:contextualSpacing w:val="true"/>
    </w:pPr>
  </w:style>
  <w:style w:type="paragraph" w:styleId="754">
    <w:name w:val="List Bullet 2"/>
    <w:basedOn w:val="678"/>
    <w:uiPriority w:val="99"/>
    <w:unhideWhenUsed/>
    <w:pPr>
      <w:numPr>
        <w:ilvl w:val="0"/>
        <w:numId w:val="2"/>
      </w:numPr>
      <w:pBdr/>
      <w:spacing w:after="160" w:before="0"/>
      <w:ind/>
      <w:contextualSpacing w:val="true"/>
    </w:pPr>
  </w:style>
  <w:style w:type="paragraph" w:styleId="755">
    <w:name w:val="List Bullet 3"/>
    <w:basedOn w:val="678"/>
    <w:uiPriority w:val="99"/>
    <w:unhideWhenUsed/>
    <w:pPr>
      <w:numPr>
        <w:ilvl w:val="0"/>
        <w:numId w:val="3"/>
      </w:numPr>
      <w:pBdr/>
      <w:spacing w:after="160" w:before="0"/>
      <w:ind/>
      <w:contextualSpacing w:val="true"/>
    </w:pPr>
  </w:style>
  <w:style w:type="paragraph" w:styleId="756">
    <w:name w:val="List Number"/>
    <w:basedOn w:val="678"/>
    <w:uiPriority w:val="99"/>
    <w:unhideWhenUsed/>
    <w:pPr>
      <w:numPr>
        <w:ilvl w:val="0"/>
        <w:numId w:val="4"/>
      </w:numPr>
      <w:pBdr/>
      <w:spacing w:after="160" w:before="0"/>
      <w:ind/>
      <w:contextualSpacing w:val="true"/>
    </w:pPr>
  </w:style>
  <w:style w:type="paragraph" w:styleId="757">
    <w:name w:val="List Number 2"/>
    <w:basedOn w:val="678"/>
    <w:uiPriority w:val="99"/>
    <w:unhideWhenUsed/>
    <w:pPr>
      <w:numPr>
        <w:ilvl w:val="0"/>
        <w:numId w:val="5"/>
      </w:numPr>
      <w:pBdr/>
      <w:spacing w:after="160" w:before="0"/>
      <w:ind/>
      <w:contextualSpacing w:val="true"/>
    </w:pPr>
  </w:style>
  <w:style w:type="paragraph" w:styleId="758">
    <w:name w:val="List Number 3"/>
    <w:basedOn w:val="678"/>
    <w:uiPriority w:val="99"/>
    <w:unhideWhenUsed/>
    <w:pPr>
      <w:numPr>
        <w:ilvl w:val="0"/>
        <w:numId w:val="6"/>
      </w:numPr>
      <w:pBdr/>
      <w:spacing w:after="160" w:before="0"/>
      <w:ind/>
      <w:contextualSpacing w:val="true"/>
    </w:pPr>
  </w:style>
  <w:style w:type="paragraph" w:styleId="759">
    <w:name w:val="List Continue"/>
    <w:basedOn w:val="678"/>
    <w:uiPriority w:val="99"/>
    <w:unhideWhenUsed/>
    <w:pPr>
      <w:pBdr/>
      <w:spacing w:after="120" w:before="0"/>
      <w:ind w:left="360"/>
      <w:contextualSpacing w:val="true"/>
    </w:pPr>
  </w:style>
  <w:style w:type="paragraph" w:styleId="760">
    <w:name w:val="List Continue 2"/>
    <w:basedOn w:val="678"/>
    <w:uiPriority w:val="99"/>
    <w:unhideWhenUsed/>
    <w:pPr>
      <w:pBdr/>
      <w:spacing w:after="120" w:before="0"/>
      <w:ind w:left="720"/>
      <w:contextualSpacing w:val="true"/>
    </w:pPr>
  </w:style>
  <w:style w:type="paragraph" w:styleId="761">
    <w:name w:val="List Continue 3"/>
    <w:basedOn w:val="678"/>
    <w:uiPriority w:val="99"/>
    <w:unhideWhenUsed/>
    <w:pPr>
      <w:pBdr/>
      <w:spacing w:after="120" w:before="0"/>
      <w:ind w:left="1080"/>
      <w:contextualSpacing w:val="true"/>
    </w:pPr>
  </w:style>
  <w:style w:type="paragraph" w:styleId="762">
    <w:name w:val="macro"/>
    <w:link w:val="708"/>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afterAutospacing="0" w:before="0" w:beforeAutospacing="0" w:line="276" w:lineRule="auto"/>
      <w:ind/>
      <w:jc w:val="left"/>
    </w:pPr>
    <w:rPr>
      <w:rFonts w:ascii="Courier" w:hAnsi="Courier" w:eastAsiaTheme="minorEastAsia" w:cstheme="minorBidi"/>
      <w:color w:val="auto"/>
      <w:sz w:val="20"/>
      <w:szCs w:val="20"/>
      <w:lang w:val="en-US" w:eastAsia="en-US" w:bidi="ar-SA"/>
    </w:rPr>
  </w:style>
  <w:style w:type="paragraph" w:styleId="763">
    <w:name w:val="Quote"/>
    <w:basedOn w:val="678"/>
    <w:next w:val="678"/>
    <w:link w:val="709"/>
    <w:uiPriority w:val="29"/>
    <w:qFormat/>
    <w:pPr>
      <w:pBdr/>
      <w:spacing/>
      <w:ind/>
    </w:pPr>
    <w:rPr>
      <w:i/>
      <w:iCs/>
      <w:color w:val="000000" w:themeColor="text1"/>
    </w:rPr>
  </w:style>
  <w:style w:type="paragraph" w:styleId="764">
    <w:name w:val="Intense Quote"/>
    <w:basedOn w:val="678"/>
    <w:next w:val="678"/>
    <w:link w:val="718"/>
    <w:uiPriority w:val="30"/>
    <w:qFormat/>
    <w:pPr>
      <w:pBdr>
        <w:bottom w:val="single" w:color="4f81bd" w:themeColor="accent1" w:sz="4" w:space="4"/>
      </w:pBdr>
      <w:spacing w:after="280" w:before="200"/>
      <w:ind w:right="936" w:left="936"/>
    </w:pPr>
    <w:rPr>
      <w:b/>
      <w:bCs/>
      <w:i/>
      <w:iCs/>
      <w:color w:val="4f81bd" w:themeColor="accent1"/>
    </w:rPr>
  </w:style>
  <w:style w:type="paragraph" w:styleId="765">
    <w:name w:val="Index Heading"/>
    <w:basedOn w:val="725"/>
    <w:pPr>
      <w:pBdr/>
      <w:spacing/>
      <w:ind/>
    </w:pPr>
  </w:style>
  <w:style w:type="paragraph" w:styleId="766">
    <w:name w:val="TOC Heading"/>
    <w:basedOn w:val="679"/>
    <w:next w:val="678"/>
    <w:uiPriority w:val="39"/>
    <w:semiHidden/>
    <w:unhideWhenUsed/>
    <w:qFormat/>
    <w:pPr>
      <w:pBdr/>
      <w:spacing/>
      <w:ind/>
      <w:outlineLvl w:val="9"/>
    </w:pPr>
  </w:style>
  <w:style w:type="paragraph" w:styleId="767" w:customStyle="1">
    <w:name w:val="TOC Heading Custom"/>
    <w:qFormat/>
    <w:pPr>
      <w:widowControl w:val="true"/>
      <w:pBdr/>
      <w:bidi w:val="false"/>
      <w:spacing w:after="200" w:afterAutospacing="0" w:before="0" w:beforeAutospacing="0" w:line="276" w:lineRule="auto"/>
      <w:ind/>
      <w:jc w:val="left"/>
    </w:pPr>
    <w:rPr>
      <w:rFonts w:ascii="Arial" w:hAnsi="Arial"/>
      <w:b/>
      <w:color w:val="1f3a5f"/>
      <w:sz w:val="32"/>
      <w:szCs w:val="22"/>
      <w:lang w:val="en-US" w:eastAsia="en-US" w:bidi="ar-SA"/>
    </w:rPr>
  </w:style>
  <w:style w:type="numbering" w:styleId="768" w:default="1">
    <w:name w:val="No List"/>
    <w:uiPriority w:val="99"/>
    <w:semiHidden/>
    <w:unhideWhenUsed/>
    <w:qFormat/>
    <w:pPr>
      <w:pBdr/>
      <w:spacing/>
      <w:ind/>
    </w:pPr>
  </w:style>
  <w:style w:type="table" w:styleId="769">
    <w:name w:val="Table Grid Light"/>
    <w:basedOn w:val="89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1"/>
    <w:basedOn w:val="894"/>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2"/>
    <w:basedOn w:val="894"/>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3"/>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4"/>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5"/>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w:basedOn w:val="894"/>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1"/>
    <w:basedOn w:val="89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2"/>
    <w:basedOn w:val="89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3"/>
    <w:basedOn w:val="89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4"/>
    <w:basedOn w:val="89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5"/>
    <w:basedOn w:val="89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6"/>
    <w:basedOn w:val="89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w:basedOn w:val="89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1"/>
    <w:basedOn w:val="89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be5f2" w:themeFill="accent1" w:themeFillTint="34"/>
        <w:tcBorders/>
      </w:tcPr>
    </w:tblStylePr>
    <w:tblStylePr w:type="band1Vert">
      <w:rPr>
        <w:sz w:val="22"/>
      </w:rPr>
      <w:pPr>
        <w:pBdr/>
        <w:spacing/>
        <w:ind/>
      </w:pPr>
      <w:tblPr>
        <w:tblBorders/>
      </w:tblPr>
      <w:tcPr>
        <w:shd w:val="clear" w:color="ffffff"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2"/>
    <w:basedOn w:val="89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3dddc" w:themeFill="accent2" w:themeFillTint="32"/>
        <w:tcBorders/>
      </w:tcPr>
    </w:tblStylePr>
    <w:tblStylePr w:type="band1Vert">
      <w:rPr>
        <w:sz w:val="22"/>
      </w:rPr>
      <w:pPr>
        <w:pBdr/>
        <w:spacing/>
        <w:ind/>
      </w:pPr>
      <w:tblPr>
        <w:tblBorders/>
      </w:tblPr>
      <w:tcPr>
        <w:shd w:val="clear" w:color="ffffff"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3"/>
    <w:basedOn w:val="89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bf1dd" w:themeFill="accent3" w:themeFillTint="34"/>
        <w:tcBorders/>
      </w:tcPr>
    </w:tblStylePr>
    <w:tblStylePr w:type="band1Vert">
      <w:rPr>
        <w:sz w:val="22"/>
      </w:rPr>
      <w:pPr>
        <w:pBdr/>
        <w:spacing/>
        <w:ind/>
      </w:pPr>
      <w:tblPr>
        <w:tblBorders/>
      </w:tblPr>
      <w:tcPr>
        <w:shd w:val="clear" w:color="ffffff"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4"/>
    <w:basedOn w:val="89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e5dfec" w:themeFill="accent4" w:themeFillTint="34"/>
        <w:tcBorders/>
      </w:tcPr>
    </w:tblStylePr>
    <w:tblStylePr w:type="band1Vert">
      <w:rPr>
        <w:sz w:val="22"/>
      </w:rPr>
      <w:pPr>
        <w:pBdr/>
        <w:spacing/>
        <w:ind/>
      </w:pPr>
      <w:tblPr>
        <w:tblBorders/>
      </w:tblPr>
      <w:tcPr>
        <w:shd w:val="clear" w:color="ffffff"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5"/>
    <w:basedOn w:val="89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aeef3" w:themeFill="accent5" w:themeFillTint="34"/>
        <w:tcBorders/>
      </w:tcPr>
    </w:tblStylePr>
    <w:tblStylePr w:type="band1Vert">
      <w:rPr>
        <w:sz w:val="22"/>
      </w:rPr>
      <w:pPr>
        <w:pBdr/>
        <w:spacing/>
        <w:ind/>
      </w:pPr>
      <w:tblPr>
        <w:tblBorders/>
      </w:tblPr>
      <w:tcPr>
        <w:shd w:val="clear" w:color="ffffff"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6"/>
    <w:basedOn w:val="89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dead9" w:themeFill="accent6" w:themeFillTint="34"/>
        <w:tcBorders/>
      </w:tcPr>
    </w:tblStylePr>
    <w:tblStylePr w:type="band1Vert">
      <w:rPr>
        <w:sz w:val="22"/>
      </w:rPr>
      <w:pPr>
        <w:pBdr/>
        <w:spacing/>
        <w:ind/>
      </w:pPr>
      <w:tblPr>
        <w:tblBorders/>
      </w:tblPr>
      <w:tcPr>
        <w:shd w:val="clear" w:color="ffffff"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w:basedOn w:val="894"/>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1"/>
    <w:basedOn w:val="894"/>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be5f2" w:themeFill="accent1" w:themeFillTint="34"/>
        <w:tcBorders/>
      </w:tcPr>
    </w:tblStylePr>
    <w:tblStylePr w:type="band1Vert">
      <w:rPr>
        <w:sz w:val="22"/>
      </w:rPr>
      <w:pPr>
        <w:pBdr/>
        <w:spacing/>
        <w:ind/>
      </w:pPr>
      <w:tblPr>
        <w:tblBorders/>
      </w:tblPr>
      <w:tcPr>
        <w:shd w:val="clear" w:color="ffffff"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2"/>
    <w:basedOn w:val="894"/>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3dddc" w:themeFill="accent2" w:themeFillTint="32"/>
        <w:tcBorders/>
      </w:tcPr>
    </w:tblStylePr>
    <w:tblStylePr w:type="band1Vert">
      <w:rPr>
        <w:sz w:val="22"/>
      </w:rPr>
      <w:pPr>
        <w:pBdr/>
        <w:spacing/>
        <w:ind/>
      </w:pPr>
      <w:tblPr>
        <w:tblBorders/>
      </w:tblPr>
      <w:tcPr>
        <w:shd w:val="clear" w:color="ffffff"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3"/>
    <w:basedOn w:val="894"/>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bf1dd" w:themeFill="accent3" w:themeFillTint="34"/>
        <w:tcBorders/>
      </w:tcPr>
    </w:tblStylePr>
    <w:tblStylePr w:type="band1Vert">
      <w:rPr>
        <w:sz w:val="22"/>
      </w:rPr>
      <w:pPr>
        <w:pBdr/>
        <w:spacing/>
        <w:ind/>
      </w:pPr>
      <w:tblPr>
        <w:tblBorders/>
      </w:tblPr>
      <w:tcPr>
        <w:shd w:val="clear" w:color="ffffff"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4"/>
    <w:basedOn w:val="894"/>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e5dfec" w:themeFill="accent4" w:themeFillTint="34"/>
        <w:tcBorders/>
      </w:tcPr>
    </w:tblStylePr>
    <w:tblStylePr w:type="band1Vert">
      <w:rPr>
        <w:sz w:val="22"/>
      </w:rPr>
      <w:pPr>
        <w:pBdr/>
        <w:spacing/>
        <w:ind/>
      </w:pPr>
      <w:tblPr>
        <w:tblBorders/>
      </w:tblPr>
      <w:tcPr>
        <w:shd w:val="clear" w:color="ffffff"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5"/>
    <w:basedOn w:val="894"/>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aeef3" w:themeFill="accent5" w:themeFillTint="34"/>
        <w:tcBorders/>
      </w:tcPr>
    </w:tblStylePr>
    <w:tblStylePr w:type="band1Vert">
      <w:rPr>
        <w:sz w:val="22"/>
      </w:rPr>
      <w:pPr>
        <w:pBdr/>
        <w:spacing/>
        <w:ind/>
      </w:pPr>
      <w:tblPr>
        <w:tblBorders/>
      </w:tblPr>
      <w:tcPr>
        <w:shd w:val="clear" w:color="ffffff"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6"/>
    <w:basedOn w:val="894"/>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dead9" w:themeFill="accent6" w:themeFillTint="34"/>
        <w:tcBorders/>
      </w:tcPr>
    </w:tblStylePr>
    <w:tblStylePr w:type="band1Vert">
      <w:rPr>
        <w:sz w:val="22"/>
      </w:rPr>
      <w:pPr>
        <w:pBdr/>
        <w:spacing/>
        <w:ind/>
      </w:pPr>
      <w:tblPr>
        <w:tblBorders/>
      </w:tblPr>
      <w:tcPr>
        <w:shd w:val="clear" w:color="ffffff"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w:basedOn w:val="894"/>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1"/>
    <w:basedOn w:val="894"/>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ce6f2" w:themeFill="accent1" w:themeFillTint="32"/>
        <w:tcBorders/>
      </w:tcPr>
    </w:tblStylePr>
    <w:tblStylePr w:type="band1Vert">
      <w:rPr>
        <w:sz w:val="22"/>
      </w:rPr>
      <w:pPr>
        <w:pBdr/>
        <w:spacing/>
        <w:ind/>
      </w:pPr>
      <w:tblPr>
        <w:tblBorders/>
      </w:tblPr>
      <w:tcPr>
        <w:shd w:val="clear" w:color="ffffff"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d8bc2"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2"/>
    <w:basedOn w:val="894"/>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3dddc" w:themeFill="accent2" w:themeFillTint="32"/>
        <w:tcBorders/>
      </w:tcPr>
    </w:tblStylePr>
    <w:tblStylePr w:type="band1Vert">
      <w:rPr>
        <w:sz w:val="22"/>
      </w:rPr>
      <w:pPr>
        <w:pBdr/>
        <w:spacing/>
        <w:ind/>
      </w:pPr>
      <w:tblPr>
        <w:tblBorders/>
      </w:tblPr>
      <w:tcPr>
        <w:shd w:val="clear" w:color="ffffff"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a979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3"/>
    <w:basedOn w:val="894"/>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bf1dd" w:themeFill="accent3" w:themeFillTint="34"/>
        <w:tcBorders/>
      </w:tcPr>
    </w:tblStylePr>
    <w:tblStylePr w:type="band1Vert">
      <w:rPr>
        <w:sz w:val="22"/>
      </w:rPr>
      <w:pPr>
        <w:pBdr/>
        <w:spacing/>
        <w:ind/>
      </w:pPr>
      <w:tblPr>
        <w:tblBorders/>
      </w:tblPr>
      <w:tcPr>
        <w:shd w:val="clear" w:color="ffffff"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bbb5a"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4"/>
    <w:basedOn w:val="894"/>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e5dfec" w:themeFill="accent4" w:themeFillTint="34"/>
        <w:tcBorders/>
      </w:tcPr>
    </w:tblStylePr>
    <w:tblStylePr w:type="band1Vert">
      <w:rPr>
        <w:sz w:val="22"/>
      </w:rPr>
      <w:pPr>
        <w:pBdr/>
        <w:spacing/>
        <w:ind/>
      </w:pPr>
      <w:tblPr>
        <w:tblBorders/>
      </w:tblPr>
      <w:tcPr>
        <w:shd w:val="clear" w:color="ffffff"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b2a1c7"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5"/>
    <w:basedOn w:val="894"/>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aeef3" w:themeFill="accent5" w:themeFillTint="34"/>
        <w:tcBorders/>
      </w:tcPr>
    </w:tblStylePr>
    <w:tblStylePr w:type="band1Vert">
      <w:rPr>
        <w:sz w:val="22"/>
      </w:rPr>
      <w:pPr>
        <w:pBdr/>
        <w:spacing/>
        <w:ind/>
      </w:pPr>
      <w:tblPr>
        <w:tblBorders/>
      </w:tblPr>
      <w:tcPr>
        <w:shd w:val="clear" w:color="ffffff"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6"/>
    <w:basedOn w:val="894"/>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dead9" w:themeFill="accent6" w:themeFillTint="34"/>
        <w:tcBorders/>
      </w:tcPr>
    </w:tblStylePr>
    <w:tblStylePr w:type="band1Vert">
      <w:rPr>
        <w:sz w:val="22"/>
      </w:rPr>
      <w:pPr>
        <w:pBdr/>
        <w:spacing/>
        <w:ind/>
      </w:pPr>
      <w:tblPr>
        <w:tblBorders/>
      </w:tblPr>
      <w:tcPr>
        <w:shd w:val="clear" w:color="ffffff"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Accent 1"/>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ec5e1" w:themeFill="accent1" w:themeFillTint="75"/>
        <w:tcBorders/>
      </w:tcPr>
    </w:tblStylePr>
    <w:tblStylePr w:type="band1Vert">
      <w:pPr>
        <w:pBdr/>
        <w:spacing/>
        <w:ind/>
      </w:pPr>
      <w:tblPr>
        <w:tblBorders/>
      </w:tblPr>
      <w:tcPr>
        <w:shd w:val="clear" w:color="ffffff"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f81bd" w:themeFill="accent1"/>
        <w:tcBorders/>
      </w:tcPr>
    </w:tblStylePr>
    <w:tblStylePr w:type="firstRow">
      <w:rPr>
        <w:b/>
        <w:sz w:val="22"/>
      </w:rPr>
      <w:pPr>
        <w:pBdr/>
        <w:spacing/>
        <w:ind/>
      </w:pPr>
      <w:tblPr>
        <w:tblBorders/>
      </w:tblPr>
      <w:tcPr>
        <w:shd w:val="clear" w:color="ffffff" w:fill="4f81bd" w:themeFill="accent1"/>
        <w:tcBorders/>
      </w:tcPr>
    </w:tblStylePr>
    <w:tblStylePr w:type="lastCol">
      <w:rPr>
        <w:b/>
        <w:sz w:val="22"/>
      </w:rPr>
      <w:pPr>
        <w:pBdr/>
        <w:spacing/>
        <w:ind/>
      </w:pPr>
      <w:tblPr>
        <w:tblBorders/>
      </w:tblPr>
      <w:tcPr>
        <w:shd w:val="clear" w:color="ffffff" w:fill="4f81bd" w:themeFill="accent1"/>
        <w:tcBorders/>
      </w:tcPr>
    </w:tblStylePr>
    <w:tblStylePr w:type="lastRow">
      <w:rPr>
        <w:b/>
        <w:sz w:val="22"/>
      </w:rPr>
      <w:pPr>
        <w:pBdr/>
        <w:spacing/>
        <w:ind/>
      </w:pPr>
      <w:tblPr>
        <w:tblBorders/>
      </w:tblPr>
      <w:tcPr>
        <w:shd w:val="clear" w:color="ffffff"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2"/>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2afad" w:themeFill="accent2" w:themeFillTint="75"/>
        <w:tcBorders/>
      </w:tcPr>
    </w:tblStylePr>
    <w:tblStylePr w:type="band1Vert">
      <w:pPr>
        <w:pBdr/>
        <w:spacing/>
        <w:ind/>
      </w:pPr>
      <w:tblPr>
        <w:tblBorders/>
      </w:tblPr>
      <w:tcPr>
        <w:shd w:val="clear" w:color="ffffff"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0504d" w:themeFill="accent2"/>
        <w:tcBorders/>
      </w:tcPr>
    </w:tblStylePr>
    <w:tblStylePr w:type="firstRow">
      <w:rPr>
        <w:b/>
        <w:sz w:val="22"/>
      </w:rPr>
      <w:pPr>
        <w:pBdr/>
        <w:spacing/>
        <w:ind/>
      </w:pPr>
      <w:tblPr>
        <w:tblBorders/>
      </w:tblPr>
      <w:tcPr>
        <w:shd w:val="clear" w:color="ffffff" w:fill="c0504d" w:themeFill="accent2"/>
        <w:tcBorders/>
      </w:tcPr>
    </w:tblStylePr>
    <w:tblStylePr w:type="lastCol">
      <w:rPr>
        <w:b/>
        <w:sz w:val="22"/>
      </w:rPr>
      <w:pPr>
        <w:pBdr/>
        <w:spacing/>
        <w:ind/>
      </w:pPr>
      <w:tblPr>
        <w:tblBorders/>
      </w:tblPr>
      <w:tcPr>
        <w:shd w:val="clear" w:color="ffffff" w:fill="c0504d" w:themeFill="accent2"/>
        <w:tcBorders/>
      </w:tcPr>
    </w:tblStylePr>
    <w:tblStylePr w:type="lastRow">
      <w:rPr>
        <w:b/>
        <w:sz w:val="22"/>
      </w:rPr>
      <w:pPr>
        <w:pBdr/>
        <w:spacing/>
        <w:ind/>
      </w:pPr>
      <w:tblPr>
        <w:tblBorders/>
      </w:tblPr>
      <w:tcPr>
        <w:shd w:val="clear" w:color="ffffff"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 Accent 3"/>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1e0b3" w:themeFill="accent3" w:themeFillTint="75"/>
        <w:tcBorders/>
      </w:tcPr>
    </w:tblStylePr>
    <w:tblStylePr w:type="band1Vert">
      <w:pPr>
        <w:pBdr/>
        <w:spacing/>
        <w:ind/>
      </w:pPr>
      <w:tblPr>
        <w:tblBorders/>
      </w:tblPr>
      <w:tcPr>
        <w:shd w:val="clear" w:color="ffffff"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9bbb59" w:themeFill="accent3"/>
        <w:tcBorders/>
      </w:tcPr>
    </w:tblStylePr>
    <w:tblStylePr w:type="firstRow">
      <w:rPr>
        <w:b/>
        <w:sz w:val="22"/>
      </w:rPr>
      <w:pPr>
        <w:pBdr/>
        <w:spacing/>
        <w:ind/>
      </w:pPr>
      <w:tblPr>
        <w:tblBorders/>
      </w:tblPr>
      <w:tcPr>
        <w:shd w:val="clear" w:color="ffffff" w:fill="9bbb59" w:themeFill="accent3"/>
        <w:tcBorders/>
      </w:tcPr>
    </w:tblStylePr>
    <w:tblStylePr w:type="lastCol">
      <w:rPr>
        <w:b/>
        <w:sz w:val="22"/>
      </w:rPr>
      <w:pPr>
        <w:pBdr/>
        <w:spacing/>
        <w:ind/>
      </w:pPr>
      <w:tblPr>
        <w:tblBorders/>
      </w:tblPr>
      <w:tcPr>
        <w:shd w:val="clear" w:color="ffffff" w:fill="9bbb59" w:themeFill="accent3"/>
        <w:tcBorders/>
      </w:tcPr>
    </w:tblStylePr>
    <w:tblStylePr w:type="lastRow">
      <w:rPr>
        <w:b/>
        <w:sz w:val="22"/>
      </w:rPr>
      <w:pPr>
        <w:pBdr/>
        <w:spacing/>
        <w:ind/>
      </w:pPr>
      <w:tblPr>
        <w:tblBorders/>
      </w:tblPr>
      <w:tcPr>
        <w:shd w:val="clear" w:color="ffffff"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4"/>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c5b8d4" w:themeFill="accent4" w:themeFillTint="75"/>
        <w:tcBorders/>
      </w:tcPr>
    </w:tblStylePr>
    <w:tblStylePr w:type="band1Vert">
      <w:pPr>
        <w:pBdr/>
        <w:spacing/>
        <w:ind/>
      </w:pPr>
      <w:tblPr>
        <w:tblBorders/>
      </w:tblPr>
      <w:tcPr>
        <w:shd w:val="clear" w:color="ffffff"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064a2" w:themeFill="accent4"/>
        <w:tcBorders/>
      </w:tcPr>
    </w:tblStylePr>
    <w:tblStylePr w:type="firstRow">
      <w:rPr>
        <w:b/>
        <w:sz w:val="22"/>
      </w:rPr>
      <w:pPr>
        <w:pBdr/>
        <w:spacing/>
        <w:ind/>
      </w:pPr>
      <w:tblPr>
        <w:tblBorders/>
      </w:tblPr>
      <w:tcPr>
        <w:shd w:val="clear" w:color="ffffff" w:fill="8064a2" w:themeFill="accent4"/>
        <w:tcBorders/>
      </w:tcPr>
    </w:tblStylePr>
    <w:tblStylePr w:type="lastCol">
      <w:rPr>
        <w:b/>
        <w:sz w:val="22"/>
      </w:rPr>
      <w:pPr>
        <w:pBdr/>
        <w:spacing/>
        <w:ind/>
      </w:pPr>
      <w:tblPr>
        <w:tblBorders/>
      </w:tblPr>
      <w:tcPr>
        <w:shd w:val="clear" w:color="ffffff" w:fill="8064a2" w:themeFill="accent4"/>
        <w:tcBorders/>
      </w:tcPr>
    </w:tblStylePr>
    <w:tblStylePr w:type="lastRow">
      <w:rPr>
        <w:b/>
        <w:sz w:val="22"/>
      </w:rPr>
      <w:pPr>
        <w:pBdr/>
        <w:spacing/>
        <w:ind/>
      </w:pPr>
      <w:tblPr>
        <w:tblBorders/>
      </w:tblPr>
      <w:tcPr>
        <w:shd w:val="clear" w:color="ffffff"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5"/>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cd9e5" w:themeFill="accent5" w:themeFillTint="75"/>
        <w:tcBorders/>
      </w:tcPr>
    </w:tblStylePr>
    <w:tblStylePr w:type="band1Vert">
      <w:pPr>
        <w:pBdr/>
        <w:spacing/>
        <w:ind/>
      </w:pPr>
      <w:tblPr>
        <w:tblBorders/>
      </w:tblPr>
      <w:tcPr>
        <w:shd w:val="clear" w:color="ffffff"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bacc6" w:themeFill="accent5"/>
        <w:tcBorders/>
      </w:tcPr>
    </w:tblStylePr>
    <w:tblStylePr w:type="firstRow">
      <w:rPr>
        <w:b/>
        <w:sz w:val="22"/>
      </w:rPr>
      <w:pPr>
        <w:pBdr/>
        <w:spacing/>
        <w:ind/>
      </w:pPr>
      <w:tblPr>
        <w:tblBorders/>
      </w:tblPr>
      <w:tcPr>
        <w:shd w:val="clear" w:color="ffffff" w:fill="4bacc6" w:themeFill="accent5"/>
        <w:tcBorders/>
      </w:tcPr>
    </w:tblStylePr>
    <w:tblStylePr w:type="lastCol">
      <w:rPr>
        <w:b/>
        <w:sz w:val="22"/>
      </w:rPr>
      <w:pPr>
        <w:pBdr/>
        <w:spacing/>
        <w:ind/>
      </w:pPr>
      <w:tblPr>
        <w:tblBorders/>
      </w:tblPr>
      <w:tcPr>
        <w:shd w:val="clear" w:color="ffffff" w:fill="4bacc6" w:themeFill="accent5"/>
        <w:tcBorders/>
      </w:tcPr>
    </w:tblStylePr>
    <w:tblStylePr w:type="lastRow">
      <w:rPr>
        <w:b/>
        <w:sz w:val="22"/>
      </w:rPr>
      <w:pPr>
        <w:pBdr/>
        <w:spacing/>
        <w:ind/>
      </w:pPr>
      <w:tblPr>
        <w:tblBorders/>
      </w:tblPr>
      <w:tcPr>
        <w:shd w:val="clear" w:color="ffffff"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6"/>
    <w:basedOn w:val="894"/>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bcfaa" w:themeFill="accent6" w:themeFillTint="75"/>
        <w:tcBorders/>
      </w:tcPr>
    </w:tblStylePr>
    <w:tblStylePr w:type="band1Vert">
      <w:pPr>
        <w:pBdr/>
        <w:spacing/>
        <w:ind/>
      </w:pPr>
      <w:tblPr>
        <w:tblBorders/>
      </w:tblPr>
      <w:tcPr>
        <w:shd w:val="clear" w:color="ffffff"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79646" w:themeFill="accent6"/>
        <w:tcBorders/>
      </w:tcPr>
    </w:tblStylePr>
    <w:tblStylePr w:type="firstRow">
      <w:rPr>
        <w:b/>
        <w:sz w:val="22"/>
      </w:rPr>
      <w:pPr>
        <w:pBdr/>
        <w:spacing/>
        <w:ind/>
      </w:pPr>
      <w:tblPr>
        <w:tblBorders/>
      </w:tblPr>
      <w:tcPr>
        <w:shd w:val="clear" w:color="ffffff" w:fill="f79646" w:themeFill="accent6"/>
        <w:tcBorders/>
      </w:tcPr>
    </w:tblStylePr>
    <w:tblStylePr w:type="lastCol">
      <w:rPr>
        <w:b/>
        <w:sz w:val="22"/>
      </w:rPr>
      <w:pPr>
        <w:pBdr/>
        <w:spacing/>
        <w:ind/>
      </w:pPr>
      <w:tblPr>
        <w:tblBorders/>
      </w:tblPr>
      <w:tcPr>
        <w:shd w:val="clear" w:color="ffffff" w:fill="f79646" w:themeFill="accent6"/>
        <w:tcBorders/>
      </w:tcPr>
    </w:tblStylePr>
    <w:tblStylePr w:type="lastRow">
      <w:rPr>
        <w:b/>
        <w:sz w:val="22"/>
      </w:rPr>
      <w:pPr>
        <w:pBdr/>
        <w:spacing/>
        <w:ind/>
      </w:pPr>
      <w:tblPr>
        <w:tblBorders/>
      </w:tblPr>
      <w:tcPr>
        <w:shd w:val="clear" w:color="ffffff"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6 Colorful"/>
    <w:basedOn w:val="894"/>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11">
    <w:name w:val="Grid Table 6 Colorful - Accent 1"/>
    <w:basedOn w:val="894"/>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e6da5" w:themeColor="accent1" w:themeTint="80" w:themeShade="95"/>
        <w:sz w:val="22"/>
      </w:rPr>
      <w:pPr>
        <w:pBdr/>
        <w:spacing/>
        <w:ind/>
      </w:pPr>
      <w:tblPr>
        <w:tblBorders/>
      </w:tblPr>
      <w:tcPr>
        <w:shd w:val="clear" w:color="ffffff" w:fill="dbe5f2" w:themeFill="accent1" w:themeFillTint="34"/>
        <w:tcBorders/>
      </w:tcPr>
    </w:tblStylePr>
    <w:tblStylePr w:type="band1Vert">
      <w:pPr>
        <w:pBdr/>
        <w:spacing/>
        <w:ind/>
      </w:pPr>
      <w:tblPr>
        <w:tblBorders/>
      </w:tblPr>
      <w:tcPr>
        <w:shd w:val="clear" w:color="ffffff" w:fill="dbe5f2" w:themeFill="accent1" w:themeFillTint="34"/>
        <w:tcBorders/>
      </w:tcPr>
    </w:tblStylePr>
    <w:tblStylePr w:type="band2Horz">
      <w:rPr>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e6da5" w:themeColor="accent1" w:themeTint="80" w:themeShade="95"/>
        <w:sz w:val="22"/>
      </w:rPr>
      <w:pPr>
        <w:pBdr/>
        <w:spacing/>
        <w:ind/>
      </w:pPr>
      <w:tblPr>
        <w:tblBorders/>
      </w:tblPr>
      <w:tcPr>
        <w:tcBorders/>
      </w:tcPr>
    </w:tblStylePr>
  </w:style>
  <w:style w:type="table" w:styleId="812">
    <w:name w:val="Grid Table 6 Colorful - Accent 2"/>
    <w:basedOn w:val="89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ffffff" w:fill="f3dddc" w:themeFill="accent2" w:themeFillTint="32"/>
        <w:tcBorders/>
      </w:tcPr>
    </w:tblStylePr>
    <w:tblStylePr w:type="band1Vert">
      <w:pPr>
        <w:pBdr/>
        <w:spacing/>
        <w:ind/>
      </w:pPr>
      <w:tblPr>
        <w:tblBorders/>
      </w:tblPr>
      <w:tcPr>
        <w:shd w:val="clear" w:color="ffffff" w:fill="f3dddc" w:themeFill="accent2" w:themeFillTint="32"/>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f3b38" w:themeColor="accent2" w:themeTint="97" w:themeShade="95"/>
        <w:sz w:val="22"/>
      </w:rPr>
      <w:pPr>
        <w:pBdr/>
        <w:spacing/>
        <w:ind/>
      </w:pPr>
      <w:tblPr>
        <w:tblBorders/>
      </w:tblPr>
      <w:tcPr>
        <w:tcBorders/>
      </w:tcPr>
    </w:tblStylePr>
  </w:style>
  <w:style w:type="table" w:styleId="813">
    <w:name w:val="Grid Table 6 Colorful - Accent 3"/>
    <w:basedOn w:val="894"/>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5d732f" w:themeColor="accent3" w:themeTint="FE" w:themeShade="95"/>
        <w:sz w:val="22"/>
      </w:rPr>
      <w:pPr>
        <w:pBdr/>
        <w:spacing/>
        <w:ind/>
      </w:pPr>
      <w:tblPr>
        <w:tblBorders/>
      </w:tblPr>
      <w:tcPr>
        <w:shd w:val="clear" w:color="ffffff" w:fill="ebf1dd" w:themeFill="accent3" w:themeFillTint="34"/>
        <w:tcBorders/>
      </w:tcPr>
    </w:tblStylePr>
    <w:tblStylePr w:type="band1Vert">
      <w:pPr>
        <w:pBdr/>
        <w:spacing/>
        <w:ind/>
      </w:pPr>
      <w:tblPr>
        <w:tblBorders/>
      </w:tblPr>
      <w:tcPr>
        <w:shd w:val="clear" w:color="ffffff" w:fill="ebf1dd" w:themeFill="accent3" w:themeFillTint="34"/>
        <w:tcBorders/>
      </w:tcPr>
    </w:tblStylePr>
    <w:tblStylePr w:type="band2Horz">
      <w:rPr>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d732f" w:themeColor="accent3" w:themeTint="FE" w:themeShade="95"/>
        <w:sz w:val="22"/>
      </w:rPr>
      <w:pPr>
        <w:pBdr/>
        <w:spacing/>
        <w:ind/>
      </w:pPr>
      <w:tblPr>
        <w:tblBorders/>
      </w:tblPr>
      <w:tcPr>
        <w:tcBorders/>
      </w:tcPr>
    </w:tblStylePr>
  </w:style>
  <w:style w:type="table" w:styleId="814">
    <w:name w:val="Grid Table 6 Colorful - Accent 4"/>
    <w:basedOn w:val="89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ffffff" w:fill="e5dfec" w:themeFill="accent4" w:themeFillTint="34"/>
        <w:tcBorders/>
      </w:tcPr>
    </w:tblStylePr>
    <w:tblStylePr w:type="band1Vert">
      <w:pPr>
        <w:pBdr/>
        <w:spacing/>
        <w:ind/>
      </w:pPr>
      <w:tblPr>
        <w:tblBorders/>
      </w:tblPr>
      <w:tcPr>
        <w:shd w:val="clear" w:color="ffffff" w:fill="e5dfec" w:themeFill="accent4" w:themeFillTint="34"/>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74f84" w:themeColor="accent4" w:themeTint="9A" w:themeShade="95"/>
        <w:sz w:val="22"/>
      </w:rPr>
      <w:pPr>
        <w:pBdr/>
        <w:spacing/>
        <w:ind/>
      </w:pPr>
      <w:tblPr>
        <w:tblBorders/>
      </w:tblPr>
      <w:tcPr>
        <w:tcBorders/>
      </w:tcPr>
    </w:tblStylePr>
  </w:style>
  <w:style w:type="table" w:styleId="815">
    <w:name w:val="Grid Table 6 Colorful - Accent 5"/>
    <w:basedOn w:val="89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266879" w:themeColor="accent5" w:themeShade="95"/>
        <w:sz w:val="22"/>
      </w:rPr>
      <w:pPr>
        <w:pBdr/>
        <w:spacing/>
        <w:ind/>
      </w:pPr>
      <w:tblPr>
        <w:tblBorders/>
      </w:tblPr>
      <w:tcPr>
        <w:shd w:val="clear" w:color="ffffff" w:fill="daeef3" w:themeFill="accent5" w:themeFillTint="34"/>
        <w:tcBorders/>
      </w:tcPr>
    </w:tblStylePr>
    <w:tblStylePr w:type="band1Vert">
      <w:pPr>
        <w:pBdr/>
        <w:spacing/>
        <w:ind/>
      </w:pPr>
      <w:tblPr>
        <w:tblBorders/>
      </w:tblPr>
      <w:tcPr>
        <w:shd w:val="clear" w:color="ffffff" w:fill="daeef3" w:themeFill="accent5" w:themeFillTint="34"/>
        <w:tcBorders/>
      </w:tcPr>
    </w:tblStylePr>
    <w:tblStylePr w:type="band2Horz">
      <w:rPr>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66879" w:themeColor="accent5" w:themeShade="95"/>
        <w:sz w:val="22"/>
      </w:rPr>
      <w:pPr>
        <w:pBdr/>
        <w:spacing/>
        <w:ind/>
      </w:pPr>
      <w:tblPr>
        <w:tblBorders/>
      </w:tblPr>
      <w:tcPr>
        <w:tcBorders/>
      </w:tcPr>
    </w:tblStylePr>
  </w:style>
  <w:style w:type="table" w:styleId="816">
    <w:name w:val="Grid Table 6 Colorful - Accent 6"/>
    <w:basedOn w:val="89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266879" w:themeColor="accent5" w:themeShade="95"/>
        <w:sz w:val="22"/>
      </w:rPr>
      <w:pPr>
        <w:pBdr/>
        <w:spacing/>
        <w:ind/>
      </w:pPr>
      <w:tblPr>
        <w:tblBorders/>
      </w:tblPr>
      <w:tcPr>
        <w:shd w:val="clear" w:color="ffffff" w:fill="fdead9" w:themeFill="accent6" w:themeFillTint="34"/>
        <w:tcBorders/>
      </w:tcPr>
    </w:tblStylePr>
    <w:tblStylePr w:type="band1Vert">
      <w:pPr>
        <w:pBdr/>
        <w:spacing/>
        <w:ind/>
      </w:pPr>
      <w:tblPr>
        <w:tblBorders/>
      </w:tblPr>
      <w:tcPr>
        <w:shd w:val="clear" w:color="ffffff" w:fill="fdead9" w:themeFill="accent6" w:themeFillTint="34"/>
        <w:tcBorders/>
      </w:tcPr>
    </w:tblStylePr>
    <w:tblStylePr w:type="band2Horz">
      <w:rPr>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66879" w:themeColor="accent5" w:themeShade="95"/>
        <w:sz w:val="22"/>
      </w:rPr>
      <w:pPr>
        <w:pBdr/>
        <w:spacing/>
        <w:ind/>
      </w:pPr>
      <w:tblPr>
        <w:tblBorders/>
      </w:tblPr>
      <w:tcPr>
        <w:tcBorders/>
      </w:tcPr>
    </w:tblStylePr>
  </w:style>
  <w:style w:type="table" w:styleId="817">
    <w:name w:val="Grid Table 7 Colorful"/>
    <w:basedOn w:val="894"/>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1"/>
    <w:basedOn w:val="894"/>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e6da5" w:themeColor="accent1" w:themeTint="80" w:themeShade="95"/>
        <w:sz w:val="22"/>
      </w:rPr>
      <w:pPr>
        <w:pBdr/>
        <w:spacing/>
        <w:ind/>
      </w:pPr>
      <w:tblPr>
        <w:tblBorders/>
      </w:tblPr>
      <w:tcPr>
        <w:shd w:val="clear" w:color="ffffff" w:fill="dbe5f2" w:themeFill="accent1" w:themeFillTint="34"/>
        <w:tcBorders/>
      </w:tcPr>
    </w:tblStylePr>
    <w:tblStylePr w:type="band1Vert">
      <w:pPr>
        <w:pBdr/>
        <w:spacing/>
        <w:ind/>
      </w:pPr>
      <w:tblPr>
        <w:tblBorders/>
      </w:tblPr>
      <w:tcPr>
        <w:shd w:val="clear" w:color="ffffff" w:fill="dbe5f2" w:themeFill="accent1" w:themeFillTint="34"/>
        <w:tcBorders/>
      </w:tcPr>
    </w:tblStylePr>
    <w:tblStylePr w:type="band2Horz">
      <w:rPr>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e6da5"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e6da5"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e6da5"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2"/>
    <w:basedOn w:val="894"/>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ffffff" w:fill="f3dddc" w:themeFill="accent2" w:themeFillTint="32"/>
        <w:tcBorders/>
      </w:tcPr>
    </w:tblStylePr>
    <w:tblStylePr w:type="band1Vert">
      <w:pPr>
        <w:pBdr/>
        <w:spacing/>
        <w:ind/>
      </w:pPr>
      <w:tblPr>
        <w:tblBorders/>
      </w:tblPr>
      <w:tcPr>
        <w:shd w:val="clear" w:color="ffffff" w:fill="f3dddc" w:themeFill="accent2" w:themeFillTint="32"/>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9f3b38"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9f3b38"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9f3b38"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3"/>
    <w:basedOn w:val="894"/>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5d732f" w:themeColor="accent3" w:themeTint="FE" w:themeShade="95"/>
        <w:sz w:val="22"/>
      </w:rPr>
      <w:pPr>
        <w:pBdr/>
        <w:spacing/>
        <w:ind/>
      </w:pPr>
      <w:tblPr>
        <w:tblBorders/>
      </w:tblPr>
      <w:tcPr>
        <w:shd w:val="clear" w:color="ffffff" w:fill="ebf1dd" w:themeFill="accent3" w:themeFillTint="34"/>
        <w:tcBorders/>
      </w:tcPr>
    </w:tblStylePr>
    <w:tblStylePr w:type="band1Vert">
      <w:pPr>
        <w:pBdr/>
        <w:spacing/>
        <w:ind/>
      </w:pPr>
      <w:tblPr>
        <w:tblBorders/>
      </w:tblPr>
      <w:tcPr>
        <w:shd w:val="clear" w:color="ffffff" w:fill="ebf1dd" w:themeFill="accent3" w:themeFillTint="34"/>
        <w:tcBorders/>
      </w:tcPr>
    </w:tblStylePr>
    <w:tblStylePr w:type="band2Horz">
      <w:rPr>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5d732f"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5d732f"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5d732f"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4"/>
    <w:basedOn w:val="894"/>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ffffff" w:fill="e5dfec" w:themeFill="accent4" w:themeFillTint="34"/>
        <w:tcBorders/>
      </w:tcPr>
    </w:tblStylePr>
    <w:tblStylePr w:type="band1Vert">
      <w:pPr>
        <w:pBdr/>
        <w:spacing/>
        <w:ind/>
      </w:pPr>
      <w:tblPr>
        <w:tblBorders/>
      </w:tblPr>
      <w:tcPr>
        <w:shd w:val="clear" w:color="ffffff" w:fill="e5dfec" w:themeFill="accent4" w:themeFillTint="34"/>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674f84"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674f84"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674f84"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5"/>
    <w:basedOn w:val="894"/>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66879" w:themeColor="accent5" w:themeShade="95"/>
        <w:sz w:val="22"/>
      </w:rPr>
      <w:pPr>
        <w:pBdr/>
        <w:spacing/>
        <w:ind/>
      </w:pPr>
      <w:tblPr>
        <w:tblBorders/>
      </w:tblPr>
      <w:tcPr>
        <w:shd w:val="clear" w:color="ffffff" w:fill="daeef3" w:themeFill="accent5" w:themeFillTint="34"/>
        <w:tcBorders/>
      </w:tcPr>
    </w:tblStylePr>
    <w:tblStylePr w:type="band1Vert">
      <w:pPr>
        <w:pBdr/>
        <w:spacing/>
        <w:ind/>
      </w:pPr>
      <w:tblPr>
        <w:tblBorders/>
      </w:tblPr>
      <w:tcPr>
        <w:shd w:val="clear" w:color="ffffff" w:fill="daeef3" w:themeFill="accent5" w:themeFillTint="34"/>
        <w:tcBorders/>
      </w:tcPr>
    </w:tblStylePr>
    <w:tblStylePr w:type="band2Horz">
      <w:rPr>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66879"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66879"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66879"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6"/>
    <w:basedOn w:val="894"/>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b25408" w:themeColor="accent6" w:themeShade="95"/>
        <w:sz w:val="22"/>
      </w:rPr>
      <w:pPr>
        <w:pBdr/>
        <w:spacing/>
        <w:ind/>
      </w:pPr>
      <w:tblPr>
        <w:tblBorders/>
      </w:tblPr>
      <w:tcPr>
        <w:shd w:val="clear" w:color="ffffff" w:fill="fdead9" w:themeFill="accent6" w:themeFillTint="34"/>
        <w:tcBorders/>
      </w:tcPr>
    </w:tblStylePr>
    <w:tblStylePr w:type="band1Vert">
      <w:pPr>
        <w:pBdr/>
        <w:spacing/>
        <w:ind/>
      </w:pPr>
      <w:tblPr>
        <w:tblBorders/>
      </w:tblPr>
      <w:tcPr>
        <w:shd w:val="clear" w:color="ffffff" w:fill="fdead9" w:themeFill="accent6" w:themeFillTint="34"/>
        <w:tcBorders/>
      </w:tcPr>
    </w:tblStylePr>
    <w:tblStylePr w:type="band2Horz">
      <w:rPr>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b25408"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b25408"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b25408"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1"/>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3dfee" w:themeFill="accent1" w:themeFillTint="40"/>
        <w:tcBorders/>
      </w:tcPr>
    </w:tblStylePr>
    <w:tblStylePr w:type="band1Vert">
      <w:pPr>
        <w:pBdr/>
        <w:spacing/>
        <w:ind/>
      </w:pPr>
      <w:tblPr>
        <w:tblBorders/>
      </w:tblPr>
      <w:tcPr>
        <w:shd w:val="clear" w:color="ffffff"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2"/>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d3d2" w:themeFill="accent2" w:themeFillTint="40"/>
        <w:tcBorders/>
      </w:tcPr>
    </w:tblStylePr>
    <w:tblStylePr w:type="band1Vert">
      <w:pPr>
        <w:pBdr/>
        <w:spacing/>
        <w:ind/>
      </w:pPr>
      <w:tblPr>
        <w:tblBorders/>
      </w:tblPr>
      <w:tcPr>
        <w:shd w:val="clear" w:color="ffffff"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3"/>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6eed5" w:themeFill="accent3" w:themeFillTint="40"/>
        <w:tcBorders/>
      </w:tcPr>
    </w:tblStylePr>
    <w:tblStylePr w:type="band1Vert">
      <w:pPr>
        <w:pBdr/>
        <w:spacing/>
        <w:ind/>
      </w:pPr>
      <w:tblPr>
        <w:tblBorders/>
      </w:tblPr>
      <w:tcPr>
        <w:shd w:val="clear" w:color="ffffff"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4"/>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fd8e8" w:themeFill="accent4" w:themeFillTint="40"/>
        <w:tcBorders/>
      </w:tcPr>
    </w:tblStylePr>
    <w:tblStylePr w:type="band1Vert">
      <w:pPr>
        <w:pBdr/>
        <w:spacing/>
        <w:ind/>
      </w:pPr>
      <w:tblPr>
        <w:tblBorders/>
      </w:tblPr>
      <w:tcPr>
        <w:shd w:val="clear" w:color="ffffff"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5"/>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2eaf1" w:themeFill="accent5" w:themeFillTint="40"/>
        <w:tcBorders/>
      </w:tcPr>
    </w:tblStylePr>
    <w:tblStylePr w:type="band1Vert">
      <w:pPr>
        <w:pBdr/>
        <w:spacing/>
        <w:ind/>
      </w:pPr>
      <w:tblPr>
        <w:tblBorders/>
      </w:tblPr>
      <w:tcPr>
        <w:shd w:val="clear" w:color="ffffff"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6"/>
    <w:basedOn w:val="89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e5d1" w:themeFill="accent6" w:themeFillTint="40"/>
        <w:tcBorders/>
      </w:tcPr>
    </w:tblStylePr>
    <w:tblStylePr w:type="band1Vert">
      <w:pPr>
        <w:pBdr/>
        <w:spacing/>
        <w:ind/>
      </w:pPr>
      <w:tblPr>
        <w:tblBorders/>
      </w:tblPr>
      <w:tcPr>
        <w:shd w:val="clear" w:color="ffffff"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w:basedOn w:val="894"/>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1"/>
    <w:basedOn w:val="894"/>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3dfee" w:themeFill="accent1" w:themeFillTint="40"/>
        <w:tcBorders/>
      </w:tcPr>
    </w:tblStylePr>
    <w:tblStylePr w:type="band1Vert">
      <w:rPr>
        <w:sz w:val="22"/>
      </w:rPr>
      <w:pPr>
        <w:pBdr/>
        <w:spacing/>
        <w:ind/>
      </w:pPr>
      <w:tblPr>
        <w:tblBorders/>
      </w:tblPr>
      <w:tcPr>
        <w:shd w:val="clear" w:color="ffffff"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2"/>
    <w:basedOn w:val="894"/>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efd3d2" w:themeFill="accent2" w:themeFillTint="40"/>
        <w:tcBorders/>
      </w:tcPr>
    </w:tblStylePr>
    <w:tblStylePr w:type="band1Vert">
      <w:rPr>
        <w:sz w:val="22"/>
      </w:rPr>
      <w:pPr>
        <w:pBdr/>
        <w:spacing/>
        <w:ind/>
      </w:pPr>
      <w:tblPr>
        <w:tblBorders/>
      </w:tblPr>
      <w:tcPr>
        <w:shd w:val="clear" w:color="ffffff"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3"/>
    <w:basedOn w:val="894"/>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6eed5" w:themeFill="accent3" w:themeFillTint="40"/>
        <w:tcBorders/>
      </w:tcPr>
    </w:tblStylePr>
    <w:tblStylePr w:type="band1Vert">
      <w:rPr>
        <w:sz w:val="22"/>
      </w:rPr>
      <w:pPr>
        <w:pBdr/>
        <w:spacing/>
        <w:ind/>
      </w:pPr>
      <w:tblPr>
        <w:tblBorders/>
      </w:tblPr>
      <w:tcPr>
        <w:shd w:val="clear" w:color="ffffff"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4"/>
    <w:basedOn w:val="894"/>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dfd8e8" w:themeFill="accent4" w:themeFillTint="40"/>
        <w:tcBorders/>
      </w:tcPr>
    </w:tblStylePr>
    <w:tblStylePr w:type="band1Vert">
      <w:rPr>
        <w:sz w:val="22"/>
      </w:rPr>
      <w:pPr>
        <w:pBdr/>
        <w:spacing/>
        <w:ind/>
      </w:pPr>
      <w:tblPr>
        <w:tblBorders/>
      </w:tblPr>
      <w:tcPr>
        <w:shd w:val="clear" w:color="ffffff"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5"/>
    <w:basedOn w:val="894"/>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2eaf1" w:themeFill="accent5" w:themeFillTint="40"/>
        <w:tcBorders/>
      </w:tcPr>
    </w:tblStylePr>
    <w:tblStylePr w:type="band1Vert">
      <w:rPr>
        <w:sz w:val="22"/>
      </w:rPr>
      <w:pPr>
        <w:pBdr/>
        <w:spacing/>
        <w:ind/>
      </w:pPr>
      <w:tblPr>
        <w:tblBorders/>
      </w:tblPr>
      <w:tcPr>
        <w:shd w:val="clear" w:color="ffffff"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6"/>
    <w:basedOn w:val="894"/>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de5d1" w:themeFill="accent6" w:themeFillTint="40"/>
        <w:tcBorders/>
      </w:tcPr>
    </w:tblStylePr>
    <w:tblStylePr w:type="band1Vert">
      <w:rPr>
        <w:sz w:val="22"/>
      </w:rPr>
      <w:pPr>
        <w:pBdr/>
        <w:spacing/>
        <w:ind/>
      </w:pPr>
      <w:tblPr>
        <w:tblBorders/>
      </w:tblPr>
      <w:tcPr>
        <w:shd w:val="clear" w:color="ffffff"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w:basedOn w:val="89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1"/>
    <w:basedOn w:val="89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f81bd"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2"/>
    <w:basedOn w:val="894"/>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a979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3"/>
    <w:basedOn w:val="894"/>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3d69c"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4"/>
    <w:basedOn w:val="894"/>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b2a1c7"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5"/>
    <w:basedOn w:val="894"/>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2cddd"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6"/>
    <w:basedOn w:val="894"/>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ac091"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w:basedOn w:val="89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1"/>
    <w:basedOn w:val="894"/>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3dfee" w:themeFill="accent1" w:themeFillTint="40"/>
        <w:tcBorders/>
      </w:tcPr>
    </w:tblStylePr>
    <w:tblStylePr w:type="band1Vert">
      <w:rPr>
        <w:sz w:val="22"/>
      </w:rPr>
      <w:pPr>
        <w:pBdr/>
        <w:spacing/>
        <w:ind/>
      </w:pPr>
      <w:tblPr>
        <w:tblBorders/>
      </w:tblPr>
      <w:tcPr>
        <w:shd w:val="clear" w:color="ffffff"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f81bd"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2"/>
    <w:basedOn w:val="894"/>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efd3d2" w:themeFill="accent2" w:themeFillTint="40"/>
        <w:tcBorders/>
      </w:tcPr>
    </w:tblStylePr>
    <w:tblStylePr w:type="band1Vert">
      <w:rPr>
        <w:sz w:val="22"/>
      </w:rPr>
      <w:pPr>
        <w:pBdr/>
        <w:spacing/>
        <w:ind/>
      </w:pPr>
      <w:tblPr>
        <w:tblBorders/>
      </w:tblPr>
      <w:tcPr>
        <w:shd w:val="clear" w:color="ffffff"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0504d"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3"/>
    <w:basedOn w:val="894"/>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6eed5" w:themeFill="accent3" w:themeFillTint="40"/>
        <w:tcBorders/>
      </w:tcPr>
    </w:tblStylePr>
    <w:tblStylePr w:type="band1Vert">
      <w:rPr>
        <w:sz w:val="22"/>
      </w:rPr>
      <w:pPr>
        <w:pBdr/>
        <w:spacing/>
        <w:ind/>
      </w:pPr>
      <w:tblPr>
        <w:tblBorders/>
      </w:tblPr>
      <w:tcPr>
        <w:shd w:val="clear" w:color="ffffff"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bbb59"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4"/>
    <w:basedOn w:val="894"/>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dfd8e8" w:themeFill="accent4" w:themeFillTint="40"/>
        <w:tcBorders/>
      </w:tcPr>
    </w:tblStylePr>
    <w:tblStylePr w:type="band1Vert">
      <w:rPr>
        <w:sz w:val="22"/>
      </w:rPr>
      <w:pPr>
        <w:pBdr/>
        <w:spacing/>
        <w:ind/>
      </w:pPr>
      <w:tblPr>
        <w:tblBorders/>
      </w:tblPr>
      <w:tcPr>
        <w:shd w:val="clear" w:color="ffffff"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064a2"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5"/>
    <w:basedOn w:val="894"/>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2eaf1" w:themeFill="accent5" w:themeFillTint="40"/>
        <w:tcBorders/>
      </w:tcPr>
    </w:tblStylePr>
    <w:tblStylePr w:type="band1Vert">
      <w:rPr>
        <w:sz w:val="22"/>
      </w:rPr>
      <w:pPr>
        <w:pBdr/>
        <w:spacing/>
        <w:ind/>
      </w:pPr>
      <w:tblPr>
        <w:tblBorders/>
      </w:tblPr>
      <w:tcPr>
        <w:shd w:val="clear" w:color="ffffff"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bacc6"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6"/>
    <w:basedOn w:val="894"/>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de5d1" w:themeFill="accent6" w:themeFillTint="40"/>
        <w:tcBorders/>
      </w:tcPr>
    </w:tblStylePr>
    <w:tblStylePr w:type="band1Vert">
      <w:rPr>
        <w:sz w:val="22"/>
      </w:rPr>
      <w:pPr>
        <w:pBdr/>
        <w:spacing/>
        <w:ind/>
      </w:pPr>
      <w:tblPr>
        <w:tblBorders/>
      </w:tblPr>
      <w:tcPr>
        <w:shd w:val="clear" w:color="ffffff"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79646"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5 Dark"/>
    <w:basedOn w:val="894"/>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3">
    <w:name w:val="List Table 5 Dark - Accent 1"/>
    <w:basedOn w:val="894"/>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4">
    <w:name w:val="List Table 5 Dark - Accent 2"/>
    <w:basedOn w:val="894"/>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a979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5">
    <w:name w:val="List Table 5 Dark - Accent 3"/>
    <w:basedOn w:val="894"/>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3d69c"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6">
    <w:name w:val="List Table 5 Dark - Accent 4"/>
    <w:basedOn w:val="894"/>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b2a1c7"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7">
    <w:name w:val="List Table 5 Dark - Accent 5"/>
    <w:basedOn w:val="894"/>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2cddd"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8">
    <w:name w:val="List Table 5 Dark - Accent 6"/>
    <w:basedOn w:val="894"/>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ac091"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59">
    <w:name w:val="List Table 6 Colorful"/>
    <w:basedOn w:val="894"/>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1"/>
    <w:basedOn w:val="894"/>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2b4b72" w:themeColor="accent1" w:themeShade="95"/>
        <w:sz w:val="22"/>
      </w:rPr>
      <w:pPr>
        <w:pBdr/>
        <w:spacing/>
        <w:ind/>
      </w:pPr>
      <w:tblPr>
        <w:tblBorders/>
      </w:tblPr>
      <w:tcPr>
        <w:shd w:val="clear" w:color="ffffff" w:fill="d3dfee" w:themeFill="accent1" w:themeFillTint="40"/>
        <w:tcBorders/>
      </w:tcPr>
    </w:tblStylePr>
    <w:tblStylePr w:type="band1Vert">
      <w:pPr>
        <w:pBdr/>
        <w:spacing/>
        <w:ind/>
      </w:pPr>
      <w:tblPr>
        <w:tblBorders/>
      </w:tblPr>
      <w:tcPr>
        <w:shd w:val="clear" w:color="ffffff" w:fill="d3dfee" w:themeFill="accent1" w:themeFillTint="40"/>
        <w:tcBorders/>
      </w:tcPr>
    </w:tblStylePr>
    <w:tblStylePr w:type="band2Horz">
      <w:rPr>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2"/>
    <w:basedOn w:val="894"/>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ffffff" w:fill="efd3d2" w:themeFill="accent2" w:themeFillTint="40"/>
        <w:tcBorders/>
      </w:tcPr>
    </w:tblStylePr>
    <w:tblStylePr w:type="band1Vert">
      <w:pPr>
        <w:pBdr/>
        <w:spacing/>
        <w:ind/>
      </w:pPr>
      <w:tblPr>
        <w:tblBorders/>
      </w:tblPr>
      <w:tcPr>
        <w:shd w:val="clear" w:color="ffffff" w:fill="efd3d2" w:themeFill="accent2" w:themeFillTint="40"/>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3"/>
    <w:basedOn w:val="894"/>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7c9a3f" w:themeColor="accent3" w:themeTint="98" w:themeShade="95"/>
        <w:sz w:val="22"/>
      </w:rPr>
      <w:pPr>
        <w:pBdr/>
        <w:spacing/>
        <w:ind/>
      </w:pPr>
      <w:tblPr>
        <w:tblBorders/>
      </w:tblPr>
      <w:tcPr>
        <w:shd w:val="clear" w:color="ffffff" w:fill="e6eed5" w:themeFill="accent3" w:themeFillTint="40"/>
        <w:tcBorders/>
      </w:tcPr>
    </w:tblStylePr>
    <w:tblStylePr w:type="band1Vert">
      <w:pPr>
        <w:pBdr/>
        <w:spacing/>
        <w:ind/>
      </w:pPr>
      <w:tblPr>
        <w:tblBorders/>
      </w:tblPr>
      <w:tcPr>
        <w:shd w:val="clear" w:color="ffffff" w:fill="e6eed5" w:themeFill="accent3" w:themeFillTint="40"/>
        <w:tcBorders/>
      </w:tcPr>
    </w:tblStylePr>
    <w:tblStylePr w:type="band2Horz">
      <w:rPr>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4"/>
    <w:basedOn w:val="894"/>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ffffff" w:fill="dfd8e8" w:themeFill="accent4" w:themeFillTint="40"/>
        <w:tcBorders/>
      </w:tcPr>
    </w:tblStylePr>
    <w:tblStylePr w:type="band1Vert">
      <w:pPr>
        <w:pBdr/>
        <w:spacing/>
        <w:ind/>
      </w:pPr>
      <w:tblPr>
        <w:tblBorders/>
      </w:tblPr>
      <w:tcPr>
        <w:shd w:val="clear" w:color="ffffff" w:fill="dfd8e8" w:themeFill="accent4" w:themeFillTint="40"/>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5"/>
    <w:basedOn w:val="894"/>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348ba3" w:themeColor="accent5" w:themeTint="9A" w:themeShade="95"/>
        <w:sz w:val="22"/>
      </w:rPr>
      <w:pPr>
        <w:pBdr/>
        <w:spacing/>
        <w:ind/>
      </w:pPr>
      <w:tblPr>
        <w:tblBorders/>
      </w:tblPr>
      <w:tcPr>
        <w:shd w:val="clear" w:color="ffffff" w:fill="d2eaf1" w:themeFill="accent5" w:themeFillTint="40"/>
        <w:tcBorders/>
      </w:tcPr>
    </w:tblStylePr>
    <w:tblStylePr w:type="band1Vert">
      <w:pPr>
        <w:pBdr/>
        <w:spacing/>
        <w:ind/>
      </w:pPr>
      <w:tblPr>
        <w:tblBorders/>
      </w:tblPr>
      <w:tcPr>
        <w:shd w:val="clear" w:color="ffffff" w:fill="d2eaf1" w:themeFill="accent5" w:themeFillTint="40"/>
        <w:tcBorders/>
      </w:tcPr>
    </w:tblStylePr>
    <w:tblStylePr w:type="band2Horz">
      <w:rPr>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6"/>
    <w:basedOn w:val="894"/>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dd690a" w:themeColor="accent6" w:themeTint="98" w:themeShade="95"/>
        <w:sz w:val="22"/>
      </w:rPr>
      <w:pPr>
        <w:pBdr/>
        <w:spacing/>
        <w:ind/>
      </w:pPr>
      <w:tblPr>
        <w:tblBorders/>
      </w:tblPr>
      <w:tcPr>
        <w:shd w:val="clear" w:color="ffffff" w:fill="fde5d1" w:themeFill="accent6" w:themeFillTint="40"/>
        <w:tcBorders/>
      </w:tcPr>
    </w:tblStylePr>
    <w:tblStylePr w:type="band1Vert">
      <w:pPr>
        <w:pBdr/>
        <w:spacing/>
        <w:ind/>
      </w:pPr>
      <w:tblPr>
        <w:tblBorders/>
      </w:tblPr>
      <w:tcPr>
        <w:shd w:val="clear" w:color="ffffff" w:fill="fde5d1" w:themeFill="accent6" w:themeFillTint="40"/>
        <w:tcBorders/>
      </w:tcPr>
    </w:tblStylePr>
    <w:tblStylePr w:type="band2Horz">
      <w:rPr>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7 Colorful"/>
    <w:basedOn w:val="894"/>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67">
    <w:name w:val="List Table 7 Colorful - Accent 1"/>
    <w:basedOn w:val="894"/>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b4b72" w:themeColor="accent1" w:themeShade="95"/>
        <w:sz w:val="22"/>
      </w:rPr>
      <w:pPr>
        <w:pBdr/>
        <w:spacing/>
        <w:ind/>
      </w:pPr>
      <w:tblPr>
        <w:tblBorders/>
      </w:tblPr>
      <w:tcPr>
        <w:shd w:val="clear" w:color="ffffff" w:fill="d3dfee" w:themeFill="accent1" w:themeFillTint="40"/>
        <w:tcBorders/>
      </w:tcPr>
    </w:tblStylePr>
    <w:tblStylePr w:type="band1Vert">
      <w:pPr>
        <w:pBdr/>
        <w:spacing/>
        <w:ind/>
      </w:pPr>
      <w:tblPr>
        <w:tblBorders/>
      </w:tblPr>
      <w:tcPr>
        <w:shd w:val="clear" w:color="ffffff" w:fill="d3dfee" w:themeFill="accent1" w:themeFillTint="40"/>
        <w:tcBorders/>
      </w:tcPr>
    </w:tblStylePr>
    <w:tblStylePr w:type="band2Horz">
      <w:rPr>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b4b7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b4b7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b4b72" w:themeColor="accent1" w:themeShade="95"/>
        <w:sz w:val="22"/>
      </w:rPr>
      <w:pPr>
        <w:pBdr/>
        <w:spacing/>
        <w:ind/>
      </w:pPr>
      <w:tblPr>
        <w:tblBorders/>
      </w:tblPr>
      <w:tcPr>
        <w:tcBorders/>
      </w:tcPr>
    </w:tblStylePr>
  </w:style>
  <w:style w:type="table" w:styleId="868">
    <w:name w:val="List Table 7 Colorful - Accent 2"/>
    <w:basedOn w:val="894"/>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9f3b38" w:themeColor="accent2" w:themeTint="97" w:themeShade="95"/>
        <w:sz w:val="22"/>
      </w:rPr>
      <w:pPr>
        <w:pBdr/>
        <w:spacing/>
        <w:ind/>
      </w:pPr>
      <w:tblPr>
        <w:tblBorders/>
      </w:tblPr>
      <w:tcPr>
        <w:shd w:val="clear" w:color="ffffff" w:fill="efd3d2" w:themeFill="accent2" w:themeFillTint="40"/>
        <w:tcBorders/>
      </w:tcPr>
    </w:tblStylePr>
    <w:tblStylePr w:type="band1Vert">
      <w:pPr>
        <w:pBdr/>
        <w:spacing/>
        <w:ind/>
      </w:pPr>
      <w:tblPr>
        <w:tblBorders/>
      </w:tblPr>
      <w:tcPr>
        <w:shd w:val="clear" w:color="ffffff" w:fill="efd3d2" w:themeFill="accent2" w:themeFillTint="40"/>
        <w:tcBorders/>
      </w:tcPr>
    </w:tblStylePr>
    <w:tblStylePr w:type="band2Horz">
      <w:rPr>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9f3b38"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9f3b38"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9f3b38"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f3b38" w:themeColor="accent2" w:themeTint="97" w:themeShade="95"/>
        <w:sz w:val="22"/>
      </w:rPr>
      <w:pPr>
        <w:pBdr/>
        <w:spacing/>
        <w:ind/>
      </w:pPr>
      <w:tblPr>
        <w:tblBorders/>
      </w:tblPr>
      <w:tcPr>
        <w:tcBorders/>
      </w:tcPr>
    </w:tblStylePr>
  </w:style>
  <w:style w:type="table" w:styleId="869">
    <w:name w:val="List Table 7 Colorful - Accent 3"/>
    <w:basedOn w:val="894"/>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c9a3f" w:themeColor="accent3" w:themeTint="98" w:themeShade="95"/>
        <w:sz w:val="22"/>
      </w:rPr>
      <w:pPr>
        <w:pBdr/>
        <w:spacing/>
        <w:ind/>
      </w:pPr>
      <w:tblPr>
        <w:tblBorders/>
      </w:tblPr>
      <w:tcPr>
        <w:shd w:val="clear" w:color="ffffff" w:fill="e6eed5" w:themeFill="accent3" w:themeFillTint="40"/>
        <w:tcBorders/>
      </w:tcPr>
    </w:tblStylePr>
    <w:tblStylePr w:type="band1Vert">
      <w:pPr>
        <w:pBdr/>
        <w:spacing/>
        <w:ind/>
      </w:pPr>
      <w:tblPr>
        <w:tblBorders/>
      </w:tblPr>
      <w:tcPr>
        <w:shd w:val="clear" w:color="ffffff" w:fill="e6eed5" w:themeFill="accent3" w:themeFillTint="40"/>
        <w:tcBorders/>
      </w:tcPr>
    </w:tblStylePr>
    <w:tblStylePr w:type="band2Horz">
      <w:rPr>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c9a3f"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c9a3f"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c9a3f"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c9a3f" w:themeColor="accent3" w:themeTint="98" w:themeShade="95"/>
        <w:sz w:val="22"/>
      </w:rPr>
      <w:pPr>
        <w:pBdr/>
        <w:spacing/>
        <w:ind/>
      </w:pPr>
      <w:tblPr>
        <w:tblBorders/>
      </w:tblPr>
      <w:tcPr>
        <w:tcBorders/>
      </w:tcPr>
    </w:tblStylePr>
  </w:style>
  <w:style w:type="table" w:styleId="870">
    <w:name w:val="List Table 7 Colorful - Accent 4"/>
    <w:basedOn w:val="894"/>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674f84" w:themeColor="accent4" w:themeTint="9A" w:themeShade="95"/>
        <w:sz w:val="22"/>
      </w:rPr>
      <w:pPr>
        <w:pBdr/>
        <w:spacing/>
        <w:ind/>
      </w:pPr>
      <w:tblPr>
        <w:tblBorders/>
      </w:tblPr>
      <w:tcPr>
        <w:shd w:val="clear" w:color="ffffff" w:fill="dfd8e8" w:themeFill="accent4" w:themeFillTint="40"/>
        <w:tcBorders/>
      </w:tcPr>
    </w:tblStylePr>
    <w:tblStylePr w:type="band1Vert">
      <w:pPr>
        <w:pBdr/>
        <w:spacing/>
        <w:ind/>
      </w:pPr>
      <w:tblPr>
        <w:tblBorders/>
      </w:tblPr>
      <w:tcPr>
        <w:shd w:val="clear" w:color="ffffff" w:fill="dfd8e8" w:themeFill="accent4" w:themeFillTint="40"/>
        <w:tcBorders/>
      </w:tcPr>
    </w:tblStylePr>
    <w:tblStylePr w:type="band2Horz">
      <w:rPr>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674f84"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674f84"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674f84"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74f84" w:themeColor="accent4" w:themeTint="9A" w:themeShade="95"/>
        <w:sz w:val="22"/>
      </w:rPr>
      <w:pPr>
        <w:pBdr/>
        <w:spacing/>
        <w:ind/>
      </w:pPr>
      <w:tblPr>
        <w:tblBorders/>
      </w:tblPr>
      <w:tcPr>
        <w:tcBorders/>
      </w:tcPr>
    </w:tblStylePr>
  </w:style>
  <w:style w:type="table" w:styleId="871">
    <w:name w:val="List Table 7 Colorful - Accent 5"/>
    <w:basedOn w:val="894"/>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348ba3" w:themeColor="accent5" w:themeTint="9A" w:themeShade="95"/>
        <w:sz w:val="22"/>
      </w:rPr>
      <w:pPr>
        <w:pBdr/>
        <w:spacing/>
        <w:ind/>
      </w:pPr>
      <w:tblPr>
        <w:tblBorders/>
      </w:tblPr>
      <w:tcPr>
        <w:shd w:val="clear" w:color="ffffff" w:fill="d2eaf1" w:themeFill="accent5" w:themeFillTint="40"/>
        <w:tcBorders/>
      </w:tcPr>
    </w:tblStylePr>
    <w:tblStylePr w:type="band1Vert">
      <w:pPr>
        <w:pBdr/>
        <w:spacing/>
        <w:ind/>
      </w:pPr>
      <w:tblPr>
        <w:tblBorders/>
      </w:tblPr>
      <w:tcPr>
        <w:shd w:val="clear" w:color="ffffff" w:fill="d2eaf1" w:themeFill="accent5" w:themeFillTint="40"/>
        <w:tcBorders/>
      </w:tcPr>
    </w:tblStylePr>
    <w:tblStylePr w:type="band2Horz">
      <w:rPr>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348ba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348ba3"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348ba3"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48ba3" w:themeColor="accent5" w:themeTint="9A" w:themeShade="95"/>
        <w:sz w:val="22"/>
      </w:rPr>
      <w:pPr>
        <w:pBdr/>
        <w:spacing/>
        <w:ind/>
      </w:pPr>
      <w:tblPr>
        <w:tblBorders/>
      </w:tblPr>
      <w:tcPr>
        <w:tcBorders/>
      </w:tcPr>
    </w:tblStylePr>
  </w:style>
  <w:style w:type="table" w:styleId="872">
    <w:name w:val="List Table 7 Colorful - Accent 6"/>
    <w:basedOn w:val="894"/>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dd690a" w:themeColor="accent6" w:themeTint="98" w:themeShade="95"/>
        <w:sz w:val="22"/>
      </w:rPr>
      <w:pPr>
        <w:pBdr/>
        <w:spacing/>
        <w:ind/>
      </w:pPr>
      <w:tblPr>
        <w:tblBorders/>
      </w:tblPr>
      <w:tcPr>
        <w:shd w:val="clear" w:color="ffffff" w:fill="fde5d1" w:themeFill="accent6" w:themeFillTint="40"/>
        <w:tcBorders/>
      </w:tcPr>
    </w:tblStylePr>
    <w:tblStylePr w:type="band1Vert">
      <w:pPr>
        <w:pBdr/>
        <w:spacing/>
        <w:ind/>
      </w:pPr>
      <w:tblPr>
        <w:tblBorders/>
      </w:tblPr>
      <w:tcPr>
        <w:shd w:val="clear" w:color="ffffff" w:fill="fde5d1" w:themeFill="accent6" w:themeFillTint="40"/>
        <w:tcBorders/>
      </w:tcPr>
    </w:tblStylePr>
    <w:tblStylePr w:type="band2Horz">
      <w:rPr>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dd690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dd690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dd690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d690a" w:themeColor="accent6" w:themeTint="98" w:themeShade="95"/>
        <w:sz w:val="22"/>
      </w:rPr>
      <w:pPr>
        <w:pBdr/>
        <w:spacing/>
        <w:ind/>
      </w:pPr>
      <w:tblPr>
        <w:tblBorders/>
      </w:tblPr>
      <w:tcPr>
        <w:tcBorders/>
      </w:tcPr>
    </w:tblStylePr>
  </w:style>
  <w:style w:type="table" w:styleId="873">
    <w:name w:val="Lined - Accent"/>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1"/>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8d7ea" w:themeFill="accent1" w:themeFillTint="50"/>
        <w:tcBorders/>
      </w:tcPr>
    </w:tblStylePr>
    <w:tblStylePr w:type="band2Vert">
      <w:rPr>
        <w:sz w:val="22"/>
      </w:rPr>
      <w:pPr>
        <w:pBdr/>
        <w:spacing/>
        <w:ind/>
      </w:pPr>
      <w:tblPr>
        <w:tblBorders/>
      </w:tblPr>
      <w:tcPr>
        <w:shd w:val="clear" w:color="ffffff" w:fill="c8d7ea" w:themeFill="accent1" w:themeFillTint="50"/>
        <w:tcBorders/>
      </w:tcPr>
    </w:tblStylePr>
    <w:tblStylePr w:type="firstCol">
      <w:rPr>
        <w:sz w:val="22"/>
      </w:rPr>
      <w:pPr>
        <w:pBdr/>
        <w:spacing/>
        <w:ind/>
      </w:pPr>
      <w:tblPr>
        <w:tblBorders/>
      </w:tblPr>
      <w:tcPr>
        <w:shd w:val="clear" w:color="ffffff" w:fill="5d8bc2" w:themeFill="accent1" w:themeFillTint="EA"/>
        <w:tcBorders/>
      </w:tcPr>
    </w:tblStylePr>
    <w:tblStylePr w:type="firstRow">
      <w:rPr>
        <w:sz w:val="22"/>
      </w:rPr>
      <w:pPr>
        <w:pBdr/>
        <w:spacing/>
        <w:ind/>
      </w:pPr>
      <w:tblPr>
        <w:tblBorders/>
      </w:tblPr>
      <w:tcPr>
        <w:shd w:val="clear" w:color="ffffff" w:fill="5d8bc2" w:themeFill="accent1" w:themeFillTint="EA"/>
        <w:tcBorders/>
      </w:tcPr>
    </w:tblStylePr>
    <w:tblStylePr w:type="lastCol">
      <w:rPr>
        <w:sz w:val="22"/>
      </w:rPr>
      <w:pPr>
        <w:pBdr/>
        <w:spacing/>
        <w:ind/>
      </w:pPr>
      <w:tblPr>
        <w:tblBorders/>
      </w:tblPr>
      <w:tcPr>
        <w:shd w:val="clear" w:color="ffffff" w:fill="5d8bc2" w:themeFill="accent1" w:themeFillTint="EA"/>
        <w:tcBorders/>
      </w:tcPr>
    </w:tblStylePr>
    <w:tblStylePr w:type="lastRow">
      <w:rPr>
        <w:sz w:val="22"/>
      </w:rPr>
      <w:pPr>
        <w:pBdr/>
        <w:spacing/>
        <w:ind/>
      </w:pPr>
      <w:tblPr>
        <w:tblBorders/>
      </w:tblPr>
      <w:tcPr>
        <w:shd w:val="clear" w:color="ffffff"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2"/>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3dddc" w:themeFill="accent2" w:themeFillTint="32"/>
        <w:tcBorders/>
      </w:tcPr>
    </w:tblStylePr>
    <w:tblStylePr w:type="band2Vert">
      <w:rPr>
        <w:sz w:val="22"/>
      </w:rPr>
      <w:pPr>
        <w:pBdr/>
        <w:spacing/>
        <w:ind/>
      </w:pPr>
      <w:tblPr>
        <w:tblBorders/>
      </w:tblPr>
      <w:tcPr>
        <w:shd w:val="clear" w:color="ffffff" w:fill="f3dddc" w:themeFill="accent2" w:themeFillTint="32"/>
        <w:tcBorders/>
      </w:tcPr>
    </w:tblStylePr>
    <w:tblStylePr w:type="firstCol">
      <w:rPr>
        <w:sz w:val="22"/>
      </w:rPr>
      <w:pPr>
        <w:pBdr/>
        <w:spacing/>
        <w:ind/>
      </w:pPr>
      <w:tblPr>
        <w:tblBorders/>
      </w:tblPr>
      <w:tcPr>
        <w:shd w:val="clear" w:color="ffffff" w:fill="da9796" w:themeFill="accent2" w:themeFillTint="97"/>
        <w:tcBorders/>
      </w:tcPr>
    </w:tblStylePr>
    <w:tblStylePr w:type="firstRow">
      <w:rPr>
        <w:sz w:val="22"/>
      </w:rPr>
      <w:pPr>
        <w:pBdr/>
        <w:spacing/>
        <w:ind/>
      </w:pPr>
      <w:tblPr>
        <w:tblBorders/>
      </w:tblPr>
      <w:tcPr>
        <w:shd w:val="clear" w:color="ffffff" w:fill="da9796" w:themeFill="accent2" w:themeFillTint="97"/>
        <w:tcBorders/>
      </w:tcPr>
    </w:tblStylePr>
    <w:tblStylePr w:type="lastCol">
      <w:rPr>
        <w:sz w:val="22"/>
      </w:rPr>
      <w:pPr>
        <w:pBdr/>
        <w:spacing/>
        <w:ind/>
      </w:pPr>
      <w:tblPr>
        <w:tblBorders/>
      </w:tblPr>
      <w:tcPr>
        <w:shd w:val="clear" w:color="ffffff" w:fill="da9796" w:themeFill="accent2" w:themeFillTint="97"/>
        <w:tcBorders/>
      </w:tcPr>
    </w:tblStylePr>
    <w:tblStylePr w:type="lastRow">
      <w:rPr>
        <w:sz w:val="22"/>
      </w:rPr>
      <w:pPr>
        <w:pBdr/>
        <w:spacing/>
        <w:ind/>
      </w:pPr>
      <w:tblPr>
        <w:tblBorders/>
      </w:tblPr>
      <w:tcPr>
        <w:shd w:val="clear" w:color="ffffff"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3"/>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bf1dd" w:themeFill="accent3" w:themeFillTint="34"/>
        <w:tcBorders/>
      </w:tcPr>
    </w:tblStylePr>
    <w:tblStylePr w:type="band2Vert">
      <w:rPr>
        <w:sz w:val="22"/>
      </w:rPr>
      <w:pPr>
        <w:pBdr/>
        <w:spacing/>
        <w:ind/>
      </w:pPr>
      <w:tblPr>
        <w:tblBorders/>
      </w:tblPr>
      <w:tcPr>
        <w:shd w:val="clear" w:color="ffffff" w:fill="ebf1dd" w:themeFill="accent3" w:themeFillTint="34"/>
        <w:tcBorders/>
      </w:tcPr>
    </w:tblStylePr>
    <w:tblStylePr w:type="firstCol">
      <w:rPr>
        <w:sz w:val="22"/>
      </w:rPr>
      <w:pPr>
        <w:pBdr/>
        <w:spacing/>
        <w:ind/>
      </w:pPr>
      <w:tblPr>
        <w:tblBorders/>
      </w:tblPr>
      <w:tcPr>
        <w:shd w:val="clear" w:color="ffffff" w:fill="9bbb5a" w:themeFill="accent3" w:themeFillTint="FE"/>
        <w:tcBorders/>
      </w:tcPr>
    </w:tblStylePr>
    <w:tblStylePr w:type="firstRow">
      <w:rPr>
        <w:sz w:val="22"/>
      </w:rPr>
      <w:pPr>
        <w:pBdr/>
        <w:spacing/>
        <w:ind/>
      </w:pPr>
      <w:tblPr>
        <w:tblBorders/>
      </w:tblPr>
      <w:tcPr>
        <w:shd w:val="clear" w:color="ffffff" w:fill="9bbb5a" w:themeFill="accent3" w:themeFillTint="FE"/>
        <w:tcBorders/>
      </w:tcPr>
    </w:tblStylePr>
    <w:tblStylePr w:type="lastCol">
      <w:rPr>
        <w:sz w:val="22"/>
      </w:rPr>
      <w:pPr>
        <w:pBdr/>
        <w:spacing/>
        <w:ind/>
      </w:pPr>
      <w:tblPr>
        <w:tblBorders/>
      </w:tblPr>
      <w:tcPr>
        <w:shd w:val="clear" w:color="ffffff" w:fill="9bbb5a" w:themeFill="accent3" w:themeFillTint="FE"/>
        <w:tcBorders/>
      </w:tcPr>
    </w:tblStylePr>
    <w:tblStylePr w:type="lastRow">
      <w:rPr>
        <w:sz w:val="22"/>
      </w:rPr>
      <w:pPr>
        <w:pBdr/>
        <w:spacing/>
        <w:ind/>
      </w:pPr>
      <w:tblPr>
        <w:tblBorders/>
      </w:tblPr>
      <w:tcPr>
        <w:shd w:val="clear" w:color="ffffff"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4"/>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5dfec" w:themeFill="accent4" w:themeFillTint="34"/>
        <w:tcBorders/>
      </w:tcPr>
    </w:tblStylePr>
    <w:tblStylePr w:type="band2Vert">
      <w:rPr>
        <w:sz w:val="22"/>
      </w:rPr>
      <w:pPr>
        <w:pBdr/>
        <w:spacing/>
        <w:ind/>
      </w:pPr>
      <w:tblPr>
        <w:tblBorders/>
      </w:tblPr>
      <w:tcPr>
        <w:shd w:val="clear" w:color="ffffff" w:fill="e5dfec" w:themeFill="accent4" w:themeFillTint="34"/>
        <w:tcBorders/>
      </w:tcPr>
    </w:tblStylePr>
    <w:tblStylePr w:type="firstCol">
      <w:rPr>
        <w:sz w:val="22"/>
      </w:rPr>
      <w:pPr>
        <w:pBdr/>
        <w:spacing/>
        <w:ind/>
      </w:pPr>
      <w:tblPr>
        <w:tblBorders/>
      </w:tblPr>
      <w:tcPr>
        <w:shd w:val="clear" w:color="ffffff" w:fill="b2a1c7" w:themeFill="accent4" w:themeFillTint="9A"/>
        <w:tcBorders/>
      </w:tcPr>
    </w:tblStylePr>
    <w:tblStylePr w:type="firstRow">
      <w:rPr>
        <w:sz w:val="22"/>
      </w:rPr>
      <w:pPr>
        <w:pBdr/>
        <w:spacing/>
        <w:ind/>
      </w:pPr>
      <w:tblPr>
        <w:tblBorders/>
      </w:tblPr>
      <w:tcPr>
        <w:shd w:val="clear" w:color="ffffff" w:fill="b2a1c7" w:themeFill="accent4" w:themeFillTint="9A"/>
        <w:tcBorders/>
      </w:tcPr>
    </w:tblStylePr>
    <w:tblStylePr w:type="lastCol">
      <w:rPr>
        <w:sz w:val="22"/>
      </w:rPr>
      <w:pPr>
        <w:pBdr/>
        <w:spacing/>
        <w:ind/>
      </w:pPr>
      <w:tblPr>
        <w:tblBorders/>
      </w:tblPr>
      <w:tcPr>
        <w:shd w:val="clear" w:color="ffffff" w:fill="b2a1c7" w:themeFill="accent4" w:themeFillTint="9A"/>
        <w:tcBorders/>
      </w:tcPr>
    </w:tblStylePr>
    <w:tblStylePr w:type="lastRow">
      <w:rPr>
        <w:sz w:val="22"/>
      </w:rPr>
      <w:pPr>
        <w:pBdr/>
        <w:spacing/>
        <w:ind/>
      </w:pPr>
      <w:tblPr>
        <w:tblBorders/>
      </w:tblPr>
      <w:tcPr>
        <w:shd w:val="clear" w:color="ffffff"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5"/>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aeef3" w:themeFill="accent5" w:themeFillTint="34"/>
        <w:tcBorders/>
      </w:tcPr>
    </w:tblStylePr>
    <w:tblStylePr w:type="band2Vert">
      <w:rPr>
        <w:sz w:val="22"/>
      </w:rPr>
      <w:pPr>
        <w:pBdr/>
        <w:spacing/>
        <w:ind/>
      </w:pPr>
      <w:tblPr>
        <w:tblBorders/>
      </w:tblPr>
      <w:tcPr>
        <w:shd w:val="clear" w:color="ffffff" w:fill="daeef3" w:themeFill="accent5" w:themeFillTint="34"/>
        <w:tcBorders/>
      </w:tcPr>
    </w:tblStylePr>
    <w:tblStylePr w:type="firstCol">
      <w:rPr>
        <w:sz w:val="22"/>
      </w:rPr>
      <w:pPr>
        <w:pBdr/>
        <w:spacing/>
        <w:ind/>
      </w:pPr>
      <w:tblPr>
        <w:tblBorders/>
      </w:tblPr>
      <w:tcPr>
        <w:shd w:val="clear" w:color="ffffff" w:fill="4bacc6" w:themeFill="accent5"/>
        <w:tcBorders/>
      </w:tcPr>
    </w:tblStylePr>
    <w:tblStylePr w:type="firstRow">
      <w:rPr>
        <w:sz w:val="22"/>
      </w:rPr>
      <w:pPr>
        <w:pBdr/>
        <w:spacing/>
        <w:ind/>
      </w:pPr>
      <w:tblPr>
        <w:tblBorders/>
      </w:tblPr>
      <w:tcPr>
        <w:shd w:val="clear" w:color="ffffff" w:fill="4bacc6" w:themeFill="accent5"/>
        <w:tcBorders/>
      </w:tcPr>
    </w:tblStylePr>
    <w:tblStylePr w:type="lastCol">
      <w:rPr>
        <w:sz w:val="22"/>
      </w:rPr>
      <w:pPr>
        <w:pBdr/>
        <w:spacing/>
        <w:ind/>
      </w:pPr>
      <w:tblPr>
        <w:tblBorders/>
      </w:tblPr>
      <w:tcPr>
        <w:shd w:val="clear" w:color="ffffff" w:fill="4bacc6" w:themeFill="accent5"/>
        <w:tcBorders/>
      </w:tcPr>
    </w:tblStylePr>
    <w:tblStylePr w:type="lastRow">
      <w:rPr>
        <w:sz w:val="22"/>
      </w:rPr>
      <w:pPr>
        <w:pBdr/>
        <w:spacing/>
        <w:ind/>
      </w:pPr>
      <w:tblPr>
        <w:tblBorders/>
      </w:tblPr>
      <w:tcPr>
        <w:shd w:val="clear" w:color="ffffff"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6"/>
    <w:basedOn w:val="894"/>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ead9" w:themeFill="accent6" w:themeFillTint="34"/>
        <w:tcBorders/>
      </w:tcPr>
    </w:tblStylePr>
    <w:tblStylePr w:type="band2Vert">
      <w:rPr>
        <w:sz w:val="22"/>
      </w:rPr>
      <w:pPr>
        <w:pBdr/>
        <w:spacing/>
        <w:ind/>
      </w:pPr>
      <w:tblPr>
        <w:tblBorders/>
      </w:tblPr>
      <w:tcPr>
        <w:shd w:val="clear" w:color="ffffff" w:fill="fdead9" w:themeFill="accent6" w:themeFillTint="34"/>
        <w:tcBorders/>
      </w:tcPr>
    </w:tblStylePr>
    <w:tblStylePr w:type="firstCol">
      <w:rPr>
        <w:sz w:val="22"/>
      </w:rPr>
      <w:pPr>
        <w:pBdr/>
        <w:spacing/>
        <w:ind/>
      </w:pPr>
      <w:tblPr>
        <w:tblBorders/>
      </w:tblPr>
      <w:tcPr>
        <w:shd w:val="clear" w:color="ffffff" w:fill="f79646" w:themeFill="accent6"/>
        <w:tcBorders/>
      </w:tcPr>
    </w:tblStylePr>
    <w:tblStylePr w:type="firstRow">
      <w:rPr>
        <w:sz w:val="22"/>
      </w:rPr>
      <w:pPr>
        <w:pBdr/>
        <w:spacing/>
        <w:ind/>
      </w:pPr>
      <w:tblPr>
        <w:tblBorders/>
      </w:tblPr>
      <w:tcPr>
        <w:shd w:val="clear" w:color="ffffff" w:fill="f79646" w:themeFill="accent6"/>
        <w:tcBorders/>
      </w:tcPr>
    </w:tblStylePr>
    <w:tblStylePr w:type="lastCol">
      <w:rPr>
        <w:sz w:val="22"/>
      </w:rPr>
      <w:pPr>
        <w:pBdr/>
        <w:spacing/>
        <w:ind/>
      </w:pPr>
      <w:tblPr>
        <w:tblBorders/>
      </w:tblPr>
      <w:tcPr>
        <w:shd w:val="clear" w:color="ffffff" w:fill="f79646" w:themeFill="accent6"/>
        <w:tcBorders/>
      </w:tcPr>
    </w:tblStylePr>
    <w:tblStylePr w:type="lastRow">
      <w:rPr>
        <w:sz w:val="22"/>
      </w:rPr>
      <w:pPr>
        <w:pBdr/>
        <w:spacing/>
        <w:ind/>
      </w:pPr>
      <w:tblPr>
        <w:tblBorders/>
      </w:tblPr>
      <w:tcPr>
        <w:shd w:val="clear" w:color="ffffff"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w:basedOn w:val="894"/>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1"/>
    <w:basedOn w:val="894"/>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8d7ea" w:themeFill="accent1" w:themeFillTint="50"/>
        <w:tcBorders/>
      </w:tcPr>
    </w:tblStylePr>
    <w:tblStylePr w:type="band2Vert">
      <w:rPr>
        <w:sz w:val="22"/>
      </w:rPr>
      <w:pPr>
        <w:pBdr/>
        <w:spacing/>
        <w:ind/>
      </w:pPr>
      <w:tblPr>
        <w:tblBorders/>
      </w:tblPr>
      <w:tcPr>
        <w:shd w:val="clear" w:color="ffffff" w:fill="c8d7ea" w:themeFill="accent1" w:themeFillTint="50"/>
        <w:tcBorders/>
      </w:tcPr>
    </w:tblStylePr>
    <w:tblStylePr w:type="firstCol">
      <w:rPr>
        <w:sz w:val="22"/>
      </w:rPr>
      <w:pPr>
        <w:pBdr/>
        <w:spacing/>
        <w:ind/>
      </w:pPr>
      <w:tblPr>
        <w:tblBorders/>
      </w:tblPr>
      <w:tcPr>
        <w:shd w:val="clear" w:color="ffffff" w:fill="5d8bc2" w:themeFill="accent1" w:themeFillTint="EA"/>
        <w:tcBorders/>
      </w:tcPr>
    </w:tblStylePr>
    <w:tblStylePr w:type="firstRow">
      <w:rPr>
        <w:sz w:val="22"/>
      </w:rPr>
      <w:pPr>
        <w:pBdr/>
        <w:spacing/>
        <w:ind/>
      </w:pPr>
      <w:tblPr>
        <w:tblBorders/>
      </w:tblPr>
      <w:tcPr>
        <w:shd w:val="clear" w:color="ffffff" w:fill="5d8bc2" w:themeFill="accent1" w:themeFillTint="EA"/>
        <w:tcBorders/>
      </w:tcPr>
    </w:tblStylePr>
    <w:tblStylePr w:type="lastCol">
      <w:rPr>
        <w:sz w:val="22"/>
      </w:rPr>
      <w:pPr>
        <w:pBdr/>
        <w:spacing/>
        <w:ind/>
      </w:pPr>
      <w:tblPr>
        <w:tblBorders/>
      </w:tblPr>
      <w:tcPr>
        <w:shd w:val="clear" w:color="ffffff" w:fill="5d8bc2" w:themeFill="accent1" w:themeFillTint="EA"/>
        <w:tcBorders/>
      </w:tcPr>
    </w:tblStylePr>
    <w:tblStylePr w:type="lastRow">
      <w:rPr>
        <w:sz w:val="22"/>
      </w:rPr>
      <w:pPr>
        <w:pBdr/>
        <w:spacing/>
        <w:ind/>
      </w:pPr>
      <w:tblPr>
        <w:tblBorders/>
      </w:tblPr>
      <w:tcPr>
        <w:shd w:val="clear" w:color="ffffff"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2"/>
    <w:basedOn w:val="894"/>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3dddc" w:themeFill="accent2" w:themeFillTint="32"/>
        <w:tcBorders/>
      </w:tcPr>
    </w:tblStylePr>
    <w:tblStylePr w:type="band2Vert">
      <w:rPr>
        <w:sz w:val="22"/>
      </w:rPr>
      <w:pPr>
        <w:pBdr/>
        <w:spacing/>
        <w:ind/>
      </w:pPr>
      <w:tblPr>
        <w:tblBorders/>
      </w:tblPr>
      <w:tcPr>
        <w:shd w:val="clear" w:color="ffffff" w:fill="f3dddc" w:themeFill="accent2" w:themeFillTint="32"/>
        <w:tcBorders/>
      </w:tcPr>
    </w:tblStylePr>
    <w:tblStylePr w:type="firstCol">
      <w:rPr>
        <w:sz w:val="22"/>
      </w:rPr>
      <w:pPr>
        <w:pBdr/>
        <w:spacing/>
        <w:ind/>
      </w:pPr>
      <w:tblPr>
        <w:tblBorders/>
      </w:tblPr>
      <w:tcPr>
        <w:shd w:val="clear" w:color="ffffff" w:fill="da9796" w:themeFill="accent2" w:themeFillTint="97"/>
        <w:tcBorders/>
      </w:tcPr>
    </w:tblStylePr>
    <w:tblStylePr w:type="firstRow">
      <w:rPr>
        <w:sz w:val="22"/>
      </w:rPr>
      <w:pPr>
        <w:pBdr/>
        <w:spacing/>
        <w:ind/>
      </w:pPr>
      <w:tblPr>
        <w:tblBorders/>
      </w:tblPr>
      <w:tcPr>
        <w:shd w:val="clear" w:color="ffffff" w:fill="da9796" w:themeFill="accent2" w:themeFillTint="97"/>
        <w:tcBorders/>
      </w:tcPr>
    </w:tblStylePr>
    <w:tblStylePr w:type="lastCol">
      <w:rPr>
        <w:sz w:val="22"/>
      </w:rPr>
      <w:pPr>
        <w:pBdr/>
        <w:spacing/>
        <w:ind/>
      </w:pPr>
      <w:tblPr>
        <w:tblBorders/>
      </w:tblPr>
      <w:tcPr>
        <w:shd w:val="clear" w:color="ffffff" w:fill="da9796" w:themeFill="accent2" w:themeFillTint="97"/>
        <w:tcBorders/>
      </w:tcPr>
    </w:tblStylePr>
    <w:tblStylePr w:type="lastRow">
      <w:rPr>
        <w:sz w:val="22"/>
      </w:rPr>
      <w:pPr>
        <w:pBdr/>
        <w:spacing/>
        <w:ind/>
      </w:pPr>
      <w:tblPr>
        <w:tblBorders/>
      </w:tblPr>
      <w:tcPr>
        <w:shd w:val="clear" w:color="ffffff"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3"/>
    <w:basedOn w:val="894"/>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bf1dd" w:themeFill="accent3" w:themeFillTint="34"/>
        <w:tcBorders/>
      </w:tcPr>
    </w:tblStylePr>
    <w:tblStylePr w:type="band2Vert">
      <w:rPr>
        <w:sz w:val="22"/>
      </w:rPr>
      <w:pPr>
        <w:pBdr/>
        <w:spacing/>
        <w:ind/>
      </w:pPr>
      <w:tblPr>
        <w:tblBorders/>
      </w:tblPr>
      <w:tcPr>
        <w:shd w:val="clear" w:color="ffffff" w:fill="ebf1dd" w:themeFill="accent3" w:themeFillTint="34"/>
        <w:tcBorders/>
      </w:tcPr>
    </w:tblStylePr>
    <w:tblStylePr w:type="firstCol">
      <w:rPr>
        <w:sz w:val="22"/>
      </w:rPr>
      <w:pPr>
        <w:pBdr/>
        <w:spacing/>
        <w:ind/>
      </w:pPr>
      <w:tblPr>
        <w:tblBorders/>
      </w:tblPr>
      <w:tcPr>
        <w:shd w:val="clear" w:color="ffffff" w:fill="9bbb5a" w:themeFill="accent3" w:themeFillTint="FE"/>
        <w:tcBorders/>
      </w:tcPr>
    </w:tblStylePr>
    <w:tblStylePr w:type="firstRow">
      <w:rPr>
        <w:sz w:val="22"/>
      </w:rPr>
      <w:pPr>
        <w:pBdr/>
        <w:spacing/>
        <w:ind/>
      </w:pPr>
      <w:tblPr>
        <w:tblBorders/>
      </w:tblPr>
      <w:tcPr>
        <w:shd w:val="clear" w:color="ffffff" w:fill="9bbb5a" w:themeFill="accent3" w:themeFillTint="FE"/>
        <w:tcBorders/>
      </w:tcPr>
    </w:tblStylePr>
    <w:tblStylePr w:type="lastCol">
      <w:rPr>
        <w:sz w:val="22"/>
      </w:rPr>
      <w:pPr>
        <w:pBdr/>
        <w:spacing/>
        <w:ind/>
      </w:pPr>
      <w:tblPr>
        <w:tblBorders/>
      </w:tblPr>
      <w:tcPr>
        <w:shd w:val="clear" w:color="ffffff" w:fill="9bbb5a" w:themeFill="accent3" w:themeFillTint="FE"/>
        <w:tcBorders/>
      </w:tcPr>
    </w:tblStylePr>
    <w:tblStylePr w:type="lastRow">
      <w:rPr>
        <w:sz w:val="22"/>
      </w:rPr>
      <w:pPr>
        <w:pBdr/>
        <w:spacing/>
        <w:ind/>
      </w:pPr>
      <w:tblPr>
        <w:tblBorders/>
      </w:tblPr>
      <w:tcPr>
        <w:shd w:val="clear" w:color="ffffff"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4"/>
    <w:basedOn w:val="894"/>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5dfec" w:themeFill="accent4" w:themeFillTint="34"/>
        <w:tcBorders/>
      </w:tcPr>
    </w:tblStylePr>
    <w:tblStylePr w:type="band2Vert">
      <w:rPr>
        <w:sz w:val="22"/>
      </w:rPr>
      <w:pPr>
        <w:pBdr/>
        <w:spacing/>
        <w:ind/>
      </w:pPr>
      <w:tblPr>
        <w:tblBorders/>
      </w:tblPr>
      <w:tcPr>
        <w:shd w:val="clear" w:color="ffffff" w:fill="e5dfec" w:themeFill="accent4" w:themeFillTint="34"/>
        <w:tcBorders/>
      </w:tcPr>
    </w:tblStylePr>
    <w:tblStylePr w:type="firstCol">
      <w:rPr>
        <w:sz w:val="22"/>
      </w:rPr>
      <w:pPr>
        <w:pBdr/>
        <w:spacing/>
        <w:ind/>
      </w:pPr>
      <w:tblPr>
        <w:tblBorders/>
      </w:tblPr>
      <w:tcPr>
        <w:shd w:val="clear" w:color="ffffff" w:fill="b2a1c7" w:themeFill="accent4" w:themeFillTint="9A"/>
        <w:tcBorders/>
      </w:tcPr>
    </w:tblStylePr>
    <w:tblStylePr w:type="firstRow">
      <w:rPr>
        <w:sz w:val="22"/>
      </w:rPr>
      <w:pPr>
        <w:pBdr/>
        <w:spacing/>
        <w:ind/>
      </w:pPr>
      <w:tblPr>
        <w:tblBorders/>
      </w:tblPr>
      <w:tcPr>
        <w:shd w:val="clear" w:color="ffffff" w:fill="b2a1c7" w:themeFill="accent4" w:themeFillTint="9A"/>
        <w:tcBorders/>
      </w:tcPr>
    </w:tblStylePr>
    <w:tblStylePr w:type="lastCol">
      <w:rPr>
        <w:sz w:val="22"/>
      </w:rPr>
      <w:pPr>
        <w:pBdr/>
        <w:spacing/>
        <w:ind/>
      </w:pPr>
      <w:tblPr>
        <w:tblBorders/>
      </w:tblPr>
      <w:tcPr>
        <w:shd w:val="clear" w:color="ffffff" w:fill="b2a1c7" w:themeFill="accent4" w:themeFillTint="9A"/>
        <w:tcBorders/>
      </w:tcPr>
    </w:tblStylePr>
    <w:tblStylePr w:type="lastRow">
      <w:rPr>
        <w:sz w:val="22"/>
      </w:rPr>
      <w:pPr>
        <w:pBdr/>
        <w:spacing/>
        <w:ind/>
      </w:pPr>
      <w:tblPr>
        <w:tblBorders/>
      </w:tblPr>
      <w:tcPr>
        <w:shd w:val="clear" w:color="ffffff"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5"/>
    <w:basedOn w:val="894"/>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aeef3" w:themeFill="accent5" w:themeFillTint="34"/>
        <w:tcBorders/>
      </w:tcPr>
    </w:tblStylePr>
    <w:tblStylePr w:type="band2Vert">
      <w:rPr>
        <w:sz w:val="22"/>
      </w:rPr>
      <w:pPr>
        <w:pBdr/>
        <w:spacing/>
        <w:ind/>
      </w:pPr>
      <w:tblPr>
        <w:tblBorders/>
      </w:tblPr>
      <w:tcPr>
        <w:shd w:val="clear" w:color="ffffff" w:fill="daeef3" w:themeFill="accent5" w:themeFillTint="34"/>
        <w:tcBorders/>
      </w:tcPr>
    </w:tblStylePr>
    <w:tblStylePr w:type="firstCol">
      <w:rPr>
        <w:sz w:val="22"/>
      </w:rPr>
      <w:pPr>
        <w:pBdr/>
        <w:spacing/>
        <w:ind/>
      </w:pPr>
      <w:tblPr>
        <w:tblBorders/>
      </w:tblPr>
      <w:tcPr>
        <w:shd w:val="clear" w:color="ffffff" w:fill="4bacc6" w:themeFill="accent5"/>
        <w:tcBorders/>
      </w:tcPr>
    </w:tblStylePr>
    <w:tblStylePr w:type="firstRow">
      <w:rPr>
        <w:sz w:val="22"/>
      </w:rPr>
      <w:pPr>
        <w:pBdr/>
        <w:spacing/>
        <w:ind/>
      </w:pPr>
      <w:tblPr>
        <w:tblBorders/>
      </w:tblPr>
      <w:tcPr>
        <w:shd w:val="clear" w:color="ffffff" w:fill="4bacc6" w:themeFill="accent5"/>
        <w:tcBorders/>
      </w:tcPr>
    </w:tblStylePr>
    <w:tblStylePr w:type="lastCol">
      <w:rPr>
        <w:sz w:val="22"/>
      </w:rPr>
      <w:pPr>
        <w:pBdr/>
        <w:spacing/>
        <w:ind/>
      </w:pPr>
      <w:tblPr>
        <w:tblBorders/>
      </w:tblPr>
      <w:tcPr>
        <w:shd w:val="clear" w:color="ffffff" w:fill="4bacc6" w:themeFill="accent5"/>
        <w:tcBorders/>
      </w:tcPr>
    </w:tblStylePr>
    <w:tblStylePr w:type="lastRow">
      <w:rPr>
        <w:sz w:val="22"/>
      </w:rPr>
      <w:pPr>
        <w:pBdr/>
        <w:spacing/>
        <w:ind/>
      </w:pPr>
      <w:tblPr>
        <w:tblBorders/>
      </w:tblPr>
      <w:tcPr>
        <w:shd w:val="clear" w:color="ffffff"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6"/>
    <w:basedOn w:val="894"/>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dead9" w:themeFill="accent6" w:themeFillTint="34"/>
        <w:tcBorders/>
      </w:tcPr>
    </w:tblStylePr>
    <w:tblStylePr w:type="band2Vert">
      <w:rPr>
        <w:sz w:val="22"/>
      </w:rPr>
      <w:pPr>
        <w:pBdr/>
        <w:spacing/>
        <w:ind/>
      </w:pPr>
      <w:tblPr>
        <w:tblBorders/>
      </w:tblPr>
      <w:tcPr>
        <w:shd w:val="clear" w:color="ffffff" w:fill="fdead9" w:themeFill="accent6" w:themeFillTint="34"/>
        <w:tcBorders/>
      </w:tcPr>
    </w:tblStylePr>
    <w:tblStylePr w:type="firstCol">
      <w:rPr>
        <w:sz w:val="22"/>
      </w:rPr>
      <w:pPr>
        <w:pBdr/>
        <w:spacing/>
        <w:ind/>
      </w:pPr>
      <w:tblPr>
        <w:tblBorders/>
      </w:tblPr>
      <w:tcPr>
        <w:shd w:val="clear" w:color="ffffff" w:fill="f79646" w:themeFill="accent6"/>
        <w:tcBorders/>
      </w:tcPr>
    </w:tblStylePr>
    <w:tblStylePr w:type="firstRow">
      <w:rPr>
        <w:sz w:val="22"/>
      </w:rPr>
      <w:pPr>
        <w:pBdr/>
        <w:spacing/>
        <w:ind/>
      </w:pPr>
      <w:tblPr>
        <w:tblBorders/>
      </w:tblPr>
      <w:tcPr>
        <w:shd w:val="clear" w:color="ffffff" w:fill="f79646" w:themeFill="accent6"/>
        <w:tcBorders/>
      </w:tcPr>
    </w:tblStylePr>
    <w:tblStylePr w:type="lastCol">
      <w:rPr>
        <w:sz w:val="22"/>
      </w:rPr>
      <w:pPr>
        <w:pBdr/>
        <w:spacing/>
        <w:ind/>
      </w:pPr>
      <w:tblPr>
        <w:tblBorders/>
      </w:tblPr>
      <w:tcPr>
        <w:shd w:val="clear" w:color="ffffff" w:fill="f79646" w:themeFill="accent6"/>
        <w:tcBorders/>
      </w:tcPr>
    </w:tblStylePr>
    <w:tblStylePr w:type="lastRow">
      <w:rPr>
        <w:sz w:val="22"/>
      </w:rPr>
      <w:pPr>
        <w:pBdr/>
        <w:spacing/>
        <w:ind/>
      </w:pPr>
      <w:tblPr>
        <w:tblBorders/>
      </w:tblPr>
      <w:tcPr>
        <w:shd w:val="clear" w:color="ffffff"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w:basedOn w:val="894"/>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1"/>
    <w:basedOn w:val="894"/>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2"/>
    <w:basedOn w:val="894"/>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3"/>
    <w:basedOn w:val="894"/>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4"/>
    <w:basedOn w:val="894"/>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5"/>
    <w:basedOn w:val="894"/>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6"/>
    <w:basedOn w:val="894"/>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Table Grid"/>
    <w:basedOn w:val="894"/>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ght Shading"/>
    <w:basedOn w:val="894"/>
    <w:uiPriority w:val="60"/>
    <w:pPr>
      <w:pBdr/>
      <w:spacing w:after="0" w:line="240" w:lineRule="auto"/>
      <w:ind/>
    </w:pPr>
    <w:rPr>
      <w:color w:val="000000" w:themeColor="text1" w:themeShade="BF"/>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ght Shading Accent 1"/>
    <w:basedOn w:val="894"/>
    <w:uiPriority w:val="60"/>
    <w:pPr>
      <w:pBdr/>
      <w:spacing w:after="0" w:line="240" w:lineRule="auto"/>
      <w:ind/>
    </w:pPr>
    <w:rPr>
      <w:color w:val="376092" w:themeColor="accent1" w:themeShade="BF"/>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ght Shading Accent 2"/>
    <w:basedOn w:val="894"/>
    <w:uiPriority w:val="60"/>
    <w:pPr>
      <w:pBdr/>
      <w:spacing w:after="0" w:line="240" w:lineRule="auto"/>
      <w:ind/>
    </w:pPr>
    <w:rPr>
      <w:color w:val="953735" w:themeColor="accent2" w:themeShade="BF"/>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ght Shading Accent 3"/>
    <w:basedOn w:val="894"/>
    <w:uiPriority w:val="60"/>
    <w:pPr>
      <w:pBdr/>
      <w:spacing w:after="0" w:line="240" w:lineRule="auto"/>
      <w:ind/>
    </w:pPr>
    <w:rPr>
      <w:color w:val="76933c" w:themeColor="accent3" w:themeShade="BF"/>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ght Shading Accent 4"/>
    <w:basedOn w:val="894"/>
    <w:uiPriority w:val="60"/>
    <w:pPr>
      <w:pBdr/>
      <w:spacing w:after="0" w:line="240" w:lineRule="auto"/>
      <w:ind/>
    </w:pPr>
    <w:rPr>
      <w:color w:val="604a7b" w:themeColor="accent4" w:themeShade="BF"/>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ght Shading Accent 5"/>
    <w:basedOn w:val="894"/>
    <w:uiPriority w:val="60"/>
    <w:pPr>
      <w:pBdr/>
      <w:spacing w:after="0" w:line="240" w:lineRule="auto"/>
      <w:ind/>
    </w:pPr>
    <w:rPr>
      <w:color w:val="31859b" w:themeColor="accent5" w:themeShade="BF"/>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ght Shading Accent 6"/>
    <w:basedOn w:val="894"/>
    <w:uiPriority w:val="60"/>
    <w:pPr>
      <w:pBdr/>
      <w:spacing w:after="0" w:line="240" w:lineRule="auto"/>
      <w:ind/>
    </w:pPr>
    <w:rPr>
      <w:color w:val="e46c0a" w:themeColor="accent6" w:themeShade="BF"/>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ght List"/>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ght List Accent 1"/>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ght List Accent 2"/>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ght List Accent 3"/>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ght List Accent 4"/>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ght List Accent 5"/>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ght List Accent 6"/>
    <w:basedOn w:val="894"/>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ght Grid"/>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ght Grid Accent 1"/>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ght Grid Accent 2"/>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ght Grid Accent 3"/>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ght Grid Accent 4"/>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ght Grid Accent 5"/>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ght Grid Accent 6"/>
    <w:basedOn w:val="894"/>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Medium Shading 1"/>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Medium Shading 1 Accent 1"/>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Medium Shading 1 Accent 2"/>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Medium Shading 1 Accent 3"/>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Medium Shading 1 Accent 4"/>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Medium Shading 1 Accent 5"/>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Medium Shading 1 Accent 6"/>
    <w:basedOn w:val="894"/>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Medium Shading 2"/>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Medium Shading 2 Accent 1"/>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Medium Shading 2 Accent 2"/>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Medium Shading 2 Accent 3"/>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Medium Shading 2 Accent 4"/>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Medium Shading 2 Accent 5"/>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Medium Shading 2 Accent 6"/>
    <w:basedOn w:val="894"/>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Medium List 1"/>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Medium List 1 Accent 1"/>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Medium List 1 Accent 2"/>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Medium List 1 Accent 3"/>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Medium List 1 Accent 4"/>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Medium List 1 Accent 5"/>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Medium List 1 Accent 6"/>
    <w:basedOn w:val="894"/>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Medium Lis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Medium List 2 Accent 1"/>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Medium List 2 Accent 2"/>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Medium List 2 Accent 3"/>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Medium List 2 Accent 4"/>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Medium List 2 Accent 5"/>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Medium List 2 Accent 6"/>
    <w:basedOn w:val="89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Medium Grid 1"/>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Medium Grid 1 Accent 1"/>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Medium Grid 1 Accent 2"/>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Medium Grid 1 Accent 3"/>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Medium Grid 1 Accent 4"/>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Medium Grid 1 Accent 5"/>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Medium Grid 1 Accent 6"/>
    <w:basedOn w:val="894"/>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Medium Grid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Medium Grid 2 Accent 1"/>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Medium Grid 2 Accent 2"/>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Medium Grid 2 Accent 3"/>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Grid 2 Accent 4"/>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Grid 2 Accent 5"/>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Grid 2 Accent 6"/>
    <w:basedOn w:val="89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Grid 3"/>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Grid 3 Accent 1"/>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Grid 3 Accent 2"/>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Grid 3 Accent 3"/>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Grid 3 Accent 4"/>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Grid 3 Accent 5"/>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Grid 3 Accent 6"/>
    <w:basedOn w:val="894"/>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Dark List"/>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Dark List Accent 1"/>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Dark List Accent 2"/>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Dark List Accent 3"/>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Dark List Accent 4"/>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Dark List Accent 5"/>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Dark List Accent 6"/>
    <w:basedOn w:val="894"/>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Colorful Shading"/>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Colorful Shading Accent 1"/>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Colorful Shading Accent 2"/>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Colorful Shading Accent 3"/>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Colorful Shading Accent 4"/>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Colorful Shading Accent 5"/>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Colorful Shading Accent 6"/>
    <w:basedOn w:val="894"/>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Colorful List"/>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Colorful List Accent 1"/>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Colorful List Accent 2"/>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Colorful List Accent 3"/>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Colorful List Accent 4"/>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Colorful List Accent 5"/>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Colorful List Accent 6"/>
    <w:basedOn w:val="894"/>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Colorful Grid"/>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Colorful Grid Accent 1"/>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Colorful Grid Accent 2"/>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Colorful Grid Accent 3"/>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Colorful Grid Accent 4"/>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Colorful Grid Accent 5"/>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Colorful Grid Accent 6"/>
    <w:basedOn w:val="894"/>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dc:language>en-US</dc:language>
  <cp:revision>4</cp:revision>
  <dcterms:created xsi:type="dcterms:W3CDTF">2013-12-23T23:15:00Z</dcterms:created>
  <dcterms:modified xsi:type="dcterms:W3CDTF">2026-10-21T22:56:22Z</dcterms:modified>
</cp:coreProperties>
</file>