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8"/>
          <w:szCs w:val="48"/>
        </w:rPr>
        <w:t xml:space="preserve">Customer Value &amp; Marketing Insights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SQL-Driven Analysis of Insurance Customer Data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Prepared for: Marketing &amp; Customer Value Review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Dataset: customers (MySQL)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Report Date: July 2026</w:t>
      </w:r>
    </w:p>
    <w:p>
      <w:pPr>
        <w:spacing w:after="200"/>
      </w:pPr>
      <w:r>
        <w:t xml:space="preserve">This report presents 11 business-critical SQL queries covering customer value, marketing effectiveness, risk, retention, and targeting. Each query is paired with the business question it answers, the finding it reveals, and a recommended action.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Customer Value &amp; Segmentation</w:t>
      </w:r>
    </w:p>
    <w:p>
      <w:pPr>
        <w:pStyle w:val="Heading2"/>
        <w:spacing w:after="150" w:before="300"/>
      </w:pPr>
      <w:r>
        <w:t xml:space="preserve">Q1: Who are our highest-value customers?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customer_id, state, clv, income, num_policies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clv DESC</w:t>
      </w:r>
      <w:r>
        <w:rPr>
          <w:rFonts w:ascii="Consolas" w:cs="Consolas" w:eastAsia="Consolas" w:hAnsi="Consolas"/>
          <w:sz w:val="18"/>
          <w:szCs w:val="18"/>
        </w:rPr>
        <w:br/>
        <w:t xml:space="preserve">LIMIT 20;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Returns the top 20 customers ranked by Customer Lifetime Value, alongside their income and policy count.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Enroll these customers in a loyalty/retention program immediately — losing even one is costly. Consider a dedicated relationship manager for this tier.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Q2: How do customers break down into value tiers, and what does each tier cost/earn us?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sz w:val="18"/>
          <w:szCs w:val="18"/>
        </w:rPr>
        <w:br/>
        <w:t xml:space="preserve">  CASE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WHEN clv &gt;= 20000 THEN 'High Value'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WHEN clv BETWEEN 8000 AND 19999 THEN 'Medium Value'</w:t>
      </w:r>
      <w:r>
        <w:rPr>
          <w:rFonts w:ascii="Consolas" w:cs="Consolas" w:eastAsia="Consolas" w:hAnsi="Consolas"/>
          <w:sz w:val="18"/>
          <w:szCs w:val="18"/>
        </w:rPr>
        <w:br/>
        <w:t xml:space="preserve">    ELSE 'Low Value'</w:t>
      </w:r>
      <w:r>
        <w:rPr>
          <w:rFonts w:ascii="Consolas" w:cs="Consolas" w:eastAsia="Consolas" w:hAnsi="Consolas"/>
          <w:sz w:val="18"/>
          <w:szCs w:val="18"/>
        </w:rPr>
        <w:br/>
        <w:t xml:space="preserve">  END AS clv_segment,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customer_count,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ROUND(AVG(income),0) AS avg_income,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ROUND(AVG(total_claim_amount),2) AS avg_claim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clv_segment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avg_claim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Segments the base into High/Medium/Low CLV tiers and compares average income and claims across them.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If High Value customers also show high average claims, profitability may be thinner than CLV suggests — validate margin per segment, not just revenue.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2. Marketing Campaign Effectiveness</w:t>
      </w:r>
    </w:p>
    <w:p>
      <w:pPr>
        <w:pStyle w:val="Heading2"/>
        <w:spacing w:after="150" w:before="300"/>
      </w:pPr>
      <w:r>
        <w:t xml:space="preserve">Q3: Which sales channel converts best?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sales_channel,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total_customers,</w:t>
      </w:r>
      <w:r>
        <w:rPr>
          <w:rFonts w:ascii="Consolas" w:cs="Consolas" w:eastAsia="Consolas" w:hAnsi="Consolas"/>
          <w:sz w:val="18"/>
          <w:szCs w:val="18"/>
        </w:rPr>
        <w:br/>
        <w:t xml:space="preserve">  SUM(CASE WHEN response='Yes' THEN 1 ELSE 0 END) AS responded_yes,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ROUND(SUM(CASE WHEN response='Yes' THEN 1 ELSE 0 END)*100.0/COUNT(*),2) AS response_rate_pct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sales_channel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response_rate_pct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Ranks each sales channel (Agent, Branch, Call Center, Web) by positive campaign response rate.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Reallocate marketing spend toward the top-performing channel(s) and audit or redesign campaigns on underperforming ones before cutting them entirely.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Q4: Which renewal offer type gets accepted most?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renew_offer_type,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total,</w:t>
      </w:r>
      <w:r>
        <w:rPr>
          <w:rFonts w:ascii="Consolas" w:cs="Consolas" w:eastAsia="Consolas" w:hAnsi="Consolas"/>
          <w:sz w:val="18"/>
          <w:szCs w:val="18"/>
        </w:rPr>
        <w:br/>
        <w:t xml:space="preserve">  SUM(CASE WHEN response='Yes' THEN 1 ELSE 0 END) AS accepted,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ROUND(SUM(CASE WHEN response='Yes' THEN 1 ELSE 0 END)*100.0/COUNT(*),2) AS acceptance_rate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renew_offer_type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acceptance_rate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Compares acceptance rate across the different renewal offer types presented to customers.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Standardize future renewal campaigns on the best-performing offer type; retire or redesign offers with consistently low acceptance.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3. Risk &amp; Profitability Analysis</w:t>
      </w:r>
    </w:p>
    <w:p>
      <w:pPr>
        <w:pStyle w:val="Heading2"/>
        <w:spacing w:after="150" w:before="300"/>
      </w:pPr>
      <w:r>
        <w:t xml:space="preserve">Q5: Which vehicle class is riskiest (claims vs. premium)?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vehicle_class,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ROUND(AVG(monthly_premium_auto),2) AS avg_premium,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ROUND(AVG(total_claim_amount),2) AS avg_claim,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ROUND(AVG(total_claim_amount)/AVG(monthly_premium_auto),2) AS loss_ratio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vehicle_class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loss_ratio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Calculates a loss ratio (avg claim ÷ avg premium) per vehicle class to flag where claims are eating into premium income.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Any vehicle class with loss ratio &gt; 1 is priced too low relative to risk — revise premiums or underwriting criteria for that class.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Q6: Which policy type is most profitable overall?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policy_type,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total_customers,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ROUND(SUM(monthly_premium_auto),2) AS total_premium_collected,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ROUND(SUM(total_claim_amount),2) AS total_claims_paid,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ROUND(SUM(monthly_premium_auto) - SUM(total_claim_amount),2) AS net_profit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policy_type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net_profit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Compares total premium collected against total claims paid per policy type to derive a simple net profit figure.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Grow distribution of the most profitable policy type; investigate whether the least profitable type needs repricing or should be phased out.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4. Customer Behavior &amp; Retention Risk</w:t>
      </w:r>
    </w:p>
    <w:p>
      <w:pPr>
        <w:pStyle w:val="Heading2"/>
        <w:spacing w:after="150" w:before="300"/>
      </w:pPr>
      <w:r>
        <w:t xml:space="preserve">Q7: Do complaints correlate with lower customer value?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open_complaints,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customers,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ROUND(AVG(clv),2) AS avg_clv,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ROUND(AVG(total_claim_amount),2) AS avg_claim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open_complaints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open_complaints;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Shows how average CLV and claim amount shift as the number of open complaints increases.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If CLV drops as complaints rise, complaint resolution speed/quality is a retention lever worth investing in, not just a service cost.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Q8: Which high-value customers are at risk right now?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customer_id, state, months_since_last_claim, open_complaints, clv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WHERE months_since_last_claim &lt;= 3 AND open_complaints &gt;= 2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clv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Flags customers who filed a claim recently AND have multiple open complaints — a classic churn-risk combination.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Hand this list directly to the retention/customer-success team for proactive outreach before these customers lapse or leave.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5. Demographics &amp; Targeting</w:t>
      </w:r>
    </w:p>
    <w:p>
      <w:pPr>
        <w:pStyle w:val="Heading2"/>
        <w:spacing w:after="150" w:before="300"/>
      </w:pPr>
      <w:r>
        <w:t xml:space="preserve">Q9: Which employment segment is worth targeting?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employment_status,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customers,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ROUND(AVG(income),0) AS avg_income,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ROUND(AVG(clv),2) AS avg_clv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employment_status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avg_clv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Compares average income and CLV across employment statuses (Employed, Unemployed, Retired, etc.).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Prioritize acquisition marketing spend toward the employment segment with the strongest CLV, not just the largest population.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Q10: Which states are our best markets?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state,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total_customers,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ROUND(AVG(clv),2) AS avg_clv,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ROUND(SUM(monthly_premium_auto),2) AS total_revenue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state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total_revenue DESC;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Ranks states by total revenue generated and average CLV per customer.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Use top states as a template for expansion (branch presence, localized campaigns); investigate low-revenue states for either untapped potential or poor fit.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Q11: Which education + coverage combination is most valuable?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SELECT education, coverage,</w:t>
      </w:r>
      <w:r>
        <w:rPr>
          <w:rFonts w:ascii="Consolas" w:cs="Consolas" w:eastAsia="Consolas" w:hAnsi="Consolas"/>
          <w:sz w:val="18"/>
          <w:szCs w:val="18"/>
        </w:rPr>
        <w:br/>
        <w:t xml:space="preserve">  COUNT(*) AS customers,</w:t>
      </w:r>
      <w:r>
        <w:rPr>
          <w:rFonts w:ascii="Consolas" w:cs="Consolas" w:eastAsia="Consolas" w:hAnsi="Consolas"/>
          <w:sz w:val="18"/>
          <w:szCs w:val="18"/>
        </w:rPr>
        <w:br/>
        <w:t xml:space="preserve">  ROUND(AVG(clv),2) AS avg_clv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education, coverage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avg_clv DESC</w:t>
      </w:r>
      <w:r>
        <w:rPr>
          <w:rFonts w:ascii="Consolas" w:cs="Consolas" w:eastAsia="Consolas" w:hAnsi="Consolas"/>
          <w:sz w:val="18"/>
          <w:szCs w:val="18"/>
        </w:rPr>
        <w:br/>
        <w:t xml:space="preserve">LIMIT 10;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Finding:  </w:t>
            </w:r>
            <w:r>
              <w:t xml:space="preserve">Cross-tabulates education level and coverage type to find the highest-CLV combinations.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F4E5F"/>
              </w:rPr>
              <w:t xml:space="preserve">Recommendation:  </w:t>
            </w:r>
            <w:r>
              <w:t xml:space="preserve">Target premium coverage upsells at the education segments that already show the highest average CLV for that coverage tier.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50"/>
      </w:pPr>
      <w:r>
        <w:t xml:space="preserve">Across all 11 analyses, four themes stand out: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Value concentration: A small group of high-CLV customers likely drives a disproportionate share of revenue — protect them with dedicated retention efforts.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Channel efficiency: Not all sales channels convert equally; reallocating spend toward the best performer should improve campaign ROI without increasing budget.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exposure: Certain vehicle classes and policy types may carry loss ratios that erode profitability — these need pricing or underwriting review.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Early warning signs: Customers combining recent claims with open complaints are a concrete, actionable churn-risk list for the retention team.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2026-07-05T13:13:41.345Z</dcterms:created>
  <dcterms:modified xsi:type="dcterms:W3CDTF">2026-07-05T13:13:41.345Z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