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受注処理業務マニュアル　第5版</w:t>
      </w:r>
    </w:p>
    <w:p>
      <w:pPr>
        <w:jc w:val="center"/>
      </w:pPr>
      <w:r>
        <w:rPr>
          <w:color w:val="707070"/>
        </w:rPr>
        <w:t>営業管理部　2024年4月1日改訂</w:t>
      </w:r>
    </w:p>
    <w:p/>
    <w:p>
      <w:pPr>
        <w:pStyle w:val="Heading2"/>
      </w:pPr>
      <w:r>
        <w:rPr>
          <w:color w:val="1F3864"/>
        </w:rPr>
        <w:t>改訂履歴</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改訂版</w:t>
            </w:r>
          </w:p>
        </w:tc>
        <w:tc>
          <w:tcPr>
            <w:tcW w:type="dxa" w:w="2160"/>
            <w:shd w:val="clear" w:color="auto" w:fill="2E74B5"/>
          </w:tcPr>
          <w:p>
            <w:r>
              <w:rPr>
                <w:b/>
                <w:color w:val="FFFFFF"/>
              </w:rPr>
              <w:t>改訂日</w:t>
            </w:r>
          </w:p>
        </w:tc>
        <w:tc>
          <w:tcPr>
            <w:tcW w:type="dxa" w:w="2160"/>
            <w:shd w:val="clear" w:color="auto" w:fill="2E74B5"/>
          </w:tcPr>
          <w:p>
            <w:r>
              <w:rPr>
                <w:b/>
                <w:color w:val="FFFFFF"/>
              </w:rPr>
              <w:t>改訂者</w:t>
            </w:r>
          </w:p>
        </w:tc>
        <w:tc>
          <w:tcPr>
            <w:tcW w:type="dxa" w:w="2160"/>
            <w:shd w:val="clear" w:color="auto" w:fill="2E74B5"/>
          </w:tcPr>
          <w:p>
            <w:r>
              <w:rPr>
                <w:b/>
                <w:color w:val="FFFFFF"/>
              </w:rPr>
              <w:t>主な改訂内容</w:t>
            </w:r>
          </w:p>
        </w:tc>
      </w:tr>
      <w:tr>
        <w:tc>
          <w:tcPr>
            <w:tcW w:type="dxa" w:w="2160"/>
          </w:tcPr>
          <w:p>
            <w:r>
              <w:t>第1版</w:t>
            </w:r>
          </w:p>
        </w:tc>
        <w:tc>
          <w:tcPr>
            <w:tcW w:type="dxa" w:w="2160"/>
          </w:tcPr>
          <w:p>
            <w:r>
              <w:t>2020年4月1日</w:t>
            </w:r>
          </w:p>
        </w:tc>
        <w:tc>
          <w:tcPr>
            <w:tcW w:type="dxa" w:w="2160"/>
          </w:tcPr>
          <w:p>
            <w:r>
              <w:t>営業管理部</w:t>
            </w:r>
          </w:p>
        </w:tc>
        <w:tc>
          <w:tcPr>
            <w:tcW w:type="dxa" w:w="2160"/>
          </w:tcPr>
          <w:p>
            <w:r>
              <w:t>初版作成</w:t>
            </w:r>
          </w:p>
        </w:tc>
      </w:tr>
      <w:tr>
        <w:tc>
          <w:tcPr>
            <w:tcW w:type="dxa" w:w="2160"/>
          </w:tcPr>
          <w:p>
            <w:r>
              <w:t>第2版</w:t>
            </w:r>
          </w:p>
        </w:tc>
        <w:tc>
          <w:tcPr>
            <w:tcW w:type="dxa" w:w="2160"/>
          </w:tcPr>
          <w:p>
            <w:r>
              <w:t>2021年10月1日</w:t>
            </w:r>
          </w:p>
        </w:tc>
        <w:tc>
          <w:tcPr>
            <w:tcW w:type="dxa" w:w="2160"/>
          </w:tcPr>
          <w:p>
            <w:r>
              <w:t>営業管理部</w:t>
            </w:r>
          </w:p>
        </w:tc>
        <w:tc>
          <w:tcPr>
            <w:tcW w:type="dxa" w:w="2160"/>
          </w:tcPr>
          <w:p>
            <w:r>
              <w:t>ECサイト連携フロー追加</w:t>
            </w:r>
          </w:p>
        </w:tc>
      </w:tr>
      <w:tr>
        <w:tc>
          <w:tcPr>
            <w:tcW w:type="dxa" w:w="2160"/>
          </w:tcPr>
          <w:p>
            <w:r>
              <w:t>第3版</w:t>
            </w:r>
          </w:p>
        </w:tc>
        <w:tc>
          <w:tcPr>
            <w:tcW w:type="dxa" w:w="2160"/>
          </w:tcPr>
          <w:p>
            <w:r>
              <w:t>2022年7月1日</w:t>
            </w:r>
          </w:p>
        </w:tc>
        <w:tc>
          <w:tcPr>
            <w:tcW w:type="dxa" w:w="2160"/>
          </w:tcPr>
          <w:p>
            <w:r>
              <w:t>営業管理部</w:t>
            </w:r>
          </w:p>
        </w:tc>
        <w:tc>
          <w:tcPr>
            <w:tcW w:type="dxa" w:w="2160"/>
          </w:tcPr>
          <w:p>
            <w:r>
              <w:t>与信審査プロセス強化</w:t>
            </w:r>
          </w:p>
        </w:tc>
      </w:tr>
      <w:tr>
        <w:tc>
          <w:tcPr>
            <w:tcW w:type="dxa" w:w="2160"/>
          </w:tcPr>
          <w:p>
            <w:r>
              <w:t>第4版</w:t>
            </w:r>
          </w:p>
        </w:tc>
        <w:tc>
          <w:tcPr>
            <w:tcW w:type="dxa" w:w="2160"/>
          </w:tcPr>
          <w:p>
            <w:r>
              <w:t>2023年4月1日</w:t>
            </w:r>
          </w:p>
        </w:tc>
        <w:tc>
          <w:tcPr>
            <w:tcW w:type="dxa" w:w="2160"/>
          </w:tcPr>
          <w:p>
            <w:r>
              <w:t>営業管理部</w:t>
            </w:r>
          </w:p>
        </w:tc>
        <w:tc>
          <w:tcPr>
            <w:tcW w:type="dxa" w:w="2160"/>
          </w:tcPr>
          <w:p>
            <w:r>
              <w:t>電子契約対応・押印廃止</w:t>
            </w:r>
          </w:p>
        </w:tc>
      </w:tr>
      <w:tr>
        <w:tc>
          <w:tcPr>
            <w:tcW w:type="dxa" w:w="2160"/>
          </w:tcPr>
          <w:p>
            <w:r>
              <w:t>第5版</w:t>
            </w:r>
          </w:p>
        </w:tc>
        <w:tc>
          <w:tcPr>
            <w:tcW w:type="dxa" w:w="2160"/>
          </w:tcPr>
          <w:p>
            <w:r>
              <w:t>2024年4月1日</w:t>
            </w:r>
          </w:p>
        </w:tc>
        <w:tc>
          <w:tcPr>
            <w:tcW w:type="dxa" w:w="2160"/>
          </w:tcPr>
          <w:p>
            <w:r>
              <w:t>営業管理部</w:t>
            </w:r>
          </w:p>
        </w:tc>
        <w:tc>
          <w:tcPr>
            <w:tcW w:type="dxa" w:w="2160"/>
          </w:tcPr>
          <w:p>
            <w:r>
              <w:t>AI自動審査システム導入対応</w:t>
            </w:r>
          </w:p>
        </w:tc>
      </w:tr>
    </w:tbl>
    <w:p/>
    <w:p>
      <w:pPr>
        <w:pStyle w:val="Heading2"/>
      </w:pPr>
      <w:r>
        <w:rPr>
          <w:color w:val="1F3864"/>
        </w:rPr>
        <w:t>1. 目的と適用範囲</w:t>
      </w:r>
    </w:p>
    <w:p>
      <w:r>
        <w:t>本マニュアルは、受注処理業務の標準化・品質向上を目的として作成した。国内法人顧客からの新規注文受付から出荷指示までのすべての業務フローに適用する。個人顧客向けEC受注については別マニュアル（EC受注処理規程）を参照すること。</w:t>
      </w:r>
    </w:p>
    <w:p>
      <w:pPr>
        <w:pStyle w:val="Heading2"/>
      </w:pPr>
      <w:r>
        <w:rPr>
          <w:color w:val="1F3864"/>
        </w:rPr>
        <w:t>2. 業務フロー概要</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rPr>
              <w:t>ステップ</w:t>
            </w:r>
          </w:p>
        </w:tc>
        <w:tc>
          <w:tcPr>
            <w:tcW w:type="dxa" w:w="2880"/>
            <w:shd w:val="clear" w:color="auto" w:fill="1F3864"/>
          </w:tcPr>
          <w:p>
            <w:r>
              <w:rPr>
                <w:b/>
                <w:color w:val="FFFFFF"/>
              </w:rPr>
              <w:t>処理名</w:t>
            </w:r>
          </w:p>
        </w:tc>
        <w:tc>
          <w:tcPr>
            <w:tcW w:type="dxa" w:w="2880"/>
            <w:shd w:val="clear" w:color="auto" w:fill="1F3864"/>
          </w:tcPr>
          <w:p>
            <w:r>
              <w:rPr>
                <w:b/>
                <w:color w:val="FFFFFF"/>
              </w:rPr>
              <w:t>内容・注意事項</w:t>
            </w:r>
          </w:p>
        </w:tc>
      </w:tr>
      <w:tr>
        <w:tc>
          <w:tcPr>
            <w:tcW w:type="dxa" w:w="2880"/>
          </w:tcPr>
          <w:p>
            <w:r>
              <w:t>STEP 1</w:t>
            </w:r>
          </w:p>
        </w:tc>
        <w:tc>
          <w:tcPr>
            <w:tcW w:type="dxa" w:w="2880"/>
          </w:tcPr>
          <w:p>
            <w:r>
              <w:t>注文受付</w:t>
            </w:r>
          </w:p>
        </w:tc>
        <w:tc>
          <w:tcPr>
            <w:tcW w:type="dxa" w:w="2880"/>
          </w:tcPr>
          <w:p>
            <w:r>
              <w:t>FAX・メール・EDI・Web受注フォームにて受付。</w:t>
              <w:br/>
              <w:t>システムへ24時間以内に入力すること。</w:t>
            </w:r>
          </w:p>
        </w:tc>
      </w:tr>
      <w:tr>
        <w:tc>
          <w:tcPr>
            <w:tcW w:type="dxa" w:w="2880"/>
            <w:shd w:val="clear" w:color="auto" w:fill="EBF3FB"/>
          </w:tcPr>
          <w:p>
            <w:r>
              <w:t>STEP 2</w:t>
            </w:r>
          </w:p>
        </w:tc>
        <w:tc>
          <w:tcPr>
            <w:tcW w:type="dxa" w:w="2880"/>
            <w:shd w:val="clear" w:color="auto" w:fill="EBF3FB"/>
          </w:tcPr>
          <w:p>
            <w:r>
              <w:t>与信確認</w:t>
            </w:r>
          </w:p>
        </w:tc>
        <w:tc>
          <w:tcPr>
            <w:tcW w:type="dxa" w:w="2880"/>
            <w:shd w:val="clear" w:color="auto" w:fill="EBF3FB"/>
          </w:tcPr>
          <w:p>
            <w:r>
              <w:t>AI与信審査システム（AutoCredit v3）で自動判定。</w:t>
              <w:br/>
              <w:t>スコア70以上：自動承認 / 50〜69：担当者確認 / 49以下：要申請。</w:t>
            </w:r>
          </w:p>
        </w:tc>
      </w:tr>
      <w:tr>
        <w:tc>
          <w:tcPr>
            <w:tcW w:type="dxa" w:w="2880"/>
          </w:tcPr>
          <w:p>
            <w:r>
              <w:t>STEP 3</w:t>
            </w:r>
          </w:p>
        </w:tc>
        <w:tc>
          <w:tcPr>
            <w:tcW w:type="dxa" w:w="2880"/>
          </w:tcPr>
          <w:p>
            <w:r>
              <w:t>在庫確認</w:t>
            </w:r>
          </w:p>
        </w:tc>
        <w:tc>
          <w:tcPr>
            <w:tcW w:type="dxa" w:w="2880"/>
          </w:tcPr>
          <w:p>
            <w:r>
              <w:t>基幹システム（ERP）で在庫照会。在庫不足の場合は生産管理部へ増産依頼フォームを送付。</w:t>
            </w:r>
          </w:p>
        </w:tc>
      </w:tr>
      <w:tr>
        <w:tc>
          <w:tcPr>
            <w:tcW w:type="dxa" w:w="2880"/>
            <w:shd w:val="clear" w:color="auto" w:fill="EBF3FB"/>
          </w:tcPr>
          <w:p>
            <w:r>
              <w:t>STEP 4</w:t>
            </w:r>
          </w:p>
        </w:tc>
        <w:tc>
          <w:tcPr>
            <w:tcW w:type="dxa" w:w="2880"/>
            <w:shd w:val="clear" w:color="auto" w:fill="EBF3FB"/>
          </w:tcPr>
          <w:p>
            <w:r>
              <w:t>受注確定</w:t>
            </w:r>
          </w:p>
        </w:tc>
        <w:tc>
          <w:tcPr>
            <w:tcW w:type="dxa" w:w="2880"/>
            <w:shd w:val="clear" w:color="auto" w:fill="EBF3FB"/>
          </w:tcPr>
          <w:p>
            <w:r>
              <w:t>与信OK・在庫確認完了後、顧客へ受注確認書をメール送付（自動送信）。</w:t>
            </w:r>
          </w:p>
        </w:tc>
      </w:tr>
      <w:tr>
        <w:tc>
          <w:tcPr>
            <w:tcW w:type="dxa" w:w="2880"/>
          </w:tcPr>
          <w:p>
            <w:r>
              <w:t>STEP 5</w:t>
            </w:r>
          </w:p>
        </w:tc>
        <w:tc>
          <w:tcPr>
            <w:tcW w:type="dxa" w:w="2880"/>
          </w:tcPr>
          <w:p>
            <w:r>
              <w:t>出荷指示</w:t>
            </w:r>
          </w:p>
        </w:tc>
        <w:tc>
          <w:tcPr>
            <w:tcW w:type="dxa" w:w="2880"/>
          </w:tcPr>
          <w:p>
            <w:r>
              <w:t>出荷日3営業日前までに倉庫管理システムへ出荷指示を登録。伝票・梱包仕様を添付。</w:t>
            </w:r>
          </w:p>
        </w:tc>
      </w:tr>
      <w:tr>
        <w:tc>
          <w:tcPr>
            <w:tcW w:type="dxa" w:w="2880"/>
            <w:shd w:val="clear" w:color="auto" w:fill="EBF3FB"/>
          </w:tcPr>
          <w:p>
            <w:r>
              <w:t>STEP 6</w:t>
            </w:r>
          </w:p>
        </w:tc>
        <w:tc>
          <w:tcPr>
            <w:tcW w:type="dxa" w:w="2880"/>
            <w:shd w:val="clear" w:color="auto" w:fill="EBF3FB"/>
          </w:tcPr>
          <w:p>
            <w:r>
              <w:t>完了確認</w:t>
            </w:r>
          </w:p>
        </w:tc>
        <w:tc>
          <w:tcPr>
            <w:tcW w:type="dxa" w:w="2880"/>
            <w:shd w:val="clear" w:color="auto" w:fill="EBF3FB"/>
          </w:tcPr>
          <w:p>
            <w:r>
              <w:t>出荷完了後、ERPの出荷ステータスをCOMPLETEに更新。請求書は翌月末発行。</w:t>
            </w:r>
          </w:p>
        </w:tc>
      </w:tr>
    </w:tbl>
    <w:p/>
    <w:p>
      <w:pPr>
        <w:pStyle w:val="Heading2"/>
      </w:pPr>
      <w:r>
        <w:rPr>
          <w:color w:val="1F3864"/>
        </w:rPr>
        <w:t>3. 与信審査基準</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75623"/>
          </w:tcPr>
          <w:p>
            <w:r>
              <w:rPr>
                <w:b/>
                <w:color w:val="FFFFFF"/>
              </w:rPr>
              <w:t>判定区分</w:t>
            </w:r>
          </w:p>
        </w:tc>
        <w:tc>
          <w:tcPr>
            <w:tcW w:type="dxa" w:w="2160"/>
            <w:shd w:val="clear" w:color="auto" w:fill="375623"/>
          </w:tcPr>
          <w:p>
            <w:r>
              <w:rPr>
                <w:b/>
                <w:color w:val="FFFFFF"/>
              </w:rPr>
              <w:t>スコア範囲</w:t>
            </w:r>
          </w:p>
        </w:tc>
        <w:tc>
          <w:tcPr>
            <w:tcW w:type="dxa" w:w="2160"/>
            <w:shd w:val="clear" w:color="auto" w:fill="375623"/>
          </w:tcPr>
          <w:p>
            <w:r>
              <w:rPr>
                <w:b/>
                <w:color w:val="FFFFFF"/>
              </w:rPr>
              <w:t>処理方法</w:t>
            </w:r>
          </w:p>
        </w:tc>
        <w:tc>
          <w:tcPr>
            <w:tcW w:type="dxa" w:w="2160"/>
            <w:shd w:val="clear" w:color="auto" w:fill="375623"/>
          </w:tcPr>
          <w:p>
            <w:r>
              <w:rPr>
                <w:b/>
                <w:color w:val="FFFFFF"/>
              </w:rPr>
              <w:t>対応期限</w:t>
            </w:r>
          </w:p>
        </w:tc>
      </w:tr>
      <w:tr>
        <w:tc>
          <w:tcPr>
            <w:tcW w:type="dxa" w:w="2160"/>
          </w:tcPr>
          <w:p>
            <w:r>
              <w:t>自動承認</w:t>
            </w:r>
          </w:p>
        </w:tc>
        <w:tc>
          <w:tcPr>
            <w:tcW w:type="dxa" w:w="2160"/>
          </w:tcPr>
          <w:p>
            <w:r>
              <w:t>70〜100点</w:t>
            </w:r>
          </w:p>
        </w:tc>
        <w:tc>
          <w:tcPr>
            <w:tcW w:type="dxa" w:w="2160"/>
          </w:tcPr>
          <w:p>
            <w:r>
              <w:t>システム自動承認・即時受注確定</w:t>
            </w:r>
          </w:p>
        </w:tc>
        <w:tc>
          <w:tcPr>
            <w:tcW w:type="dxa" w:w="2160"/>
          </w:tcPr>
          <w:p>
            <w:r>
              <w:t>0時間（即時）</w:t>
            </w:r>
          </w:p>
        </w:tc>
      </w:tr>
      <w:tr>
        <w:tc>
          <w:tcPr>
            <w:tcW w:type="dxa" w:w="2160"/>
          </w:tcPr>
          <w:p>
            <w:r>
              <w:t>担当者確認</w:t>
            </w:r>
          </w:p>
        </w:tc>
        <w:tc>
          <w:tcPr>
            <w:tcW w:type="dxa" w:w="2160"/>
          </w:tcPr>
          <w:p>
            <w:r>
              <w:t>60〜69点</w:t>
            </w:r>
          </w:p>
        </w:tc>
        <w:tc>
          <w:tcPr>
            <w:tcW w:type="dxa" w:w="2160"/>
          </w:tcPr>
          <w:p>
            <w:r>
              <w:t>営業担当者が顧客情報を確認後、判断</w:t>
            </w:r>
          </w:p>
        </w:tc>
        <w:tc>
          <w:tcPr>
            <w:tcW w:type="dxa" w:w="2160"/>
          </w:tcPr>
          <w:p>
            <w:r>
              <w:t>当日中</w:t>
            </w:r>
          </w:p>
        </w:tc>
      </w:tr>
      <w:tr>
        <w:tc>
          <w:tcPr>
            <w:tcW w:type="dxa" w:w="2160"/>
          </w:tcPr>
          <w:p>
            <w:r>
              <w:t>上長承認</w:t>
            </w:r>
          </w:p>
        </w:tc>
        <w:tc>
          <w:tcPr>
            <w:tcW w:type="dxa" w:w="2160"/>
          </w:tcPr>
          <w:p>
            <w:r>
              <w:t>50〜59点</w:t>
            </w:r>
          </w:p>
        </w:tc>
        <w:tc>
          <w:tcPr>
            <w:tcW w:type="dxa" w:w="2160"/>
          </w:tcPr>
          <w:p>
            <w:r>
              <w:t>部長クラスの承認が必要</w:t>
            </w:r>
          </w:p>
        </w:tc>
        <w:tc>
          <w:tcPr>
            <w:tcW w:type="dxa" w:w="2160"/>
          </w:tcPr>
          <w:p>
            <w:r>
              <w:t>翌営業日まで</w:t>
            </w:r>
          </w:p>
        </w:tc>
      </w:tr>
      <w:tr>
        <w:tc>
          <w:tcPr>
            <w:tcW w:type="dxa" w:w="2160"/>
          </w:tcPr>
          <w:p>
            <w:r>
              <w:t>与信申請</w:t>
            </w:r>
          </w:p>
        </w:tc>
        <w:tc>
          <w:tcPr>
            <w:tcW w:type="dxa" w:w="2160"/>
          </w:tcPr>
          <w:p>
            <w:r>
              <w:t>30〜49点</w:t>
            </w:r>
          </w:p>
        </w:tc>
        <w:tc>
          <w:tcPr>
            <w:tcW w:type="dxa" w:w="2160"/>
          </w:tcPr>
          <w:p>
            <w:r>
              <w:t>財務部へ与信枠拡大申請書を提出</w:t>
            </w:r>
          </w:p>
        </w:tc>
        <w:tc>
          <w:tcPr>
            <w:tcW w:type="dxa" w:w="2160"/>
          </w:tcPr>
          <w:p>
            <w:r>
              <w:t>3営業日</w:t>
            </w:r>
          </w:p>
        </w:tc>
      </w:tr>
      <w:tr>
        <w:tc>
          <w:tcPr>
            <w:tcW w:type="dxa" w:w="2160"/>
          </w:tcPr>
          <w:p>
            <w:r>
              <w:t>受注停止</w:t>
            </w:r>
          </w:p>
        </w:tc>
        <w:tc>
          <w:tcPr>
            <w:tcW w:type="dxa" w:w="2160"/>
          </w:tcPr>
          <w:p>
            <w:r>
              <w:t>0〜29点</w:t>
            </w:r>
          </w:p>
        </w:tc>
        <w:tc>
          <w:tcPr>
            <w:tcW w:type="dxa" w:w="2160"/>
          </w:tcPr>
          <w:p>
            <w:r>
              <w:t>受注不可。顧客へ理由を説明し代替案を提示</w:t>
            </w:r>
          </w:p>
        </w:tc>
        <w:tc>
          <w:tcPr>
            <w:tcW w:type="dxa" w:w="2160"/>
          </w:tcPr>
          <w:p>
            <w:r>
              <w:t>即時連絡</w:t>
            </w:r>
          </w:p>
        </w:tc>
      </w:tr>
    </w:tbl>
    <w:p>
      <w:pPr>
        <w:pStyle w:val="Heading2"/>
      </w:pPr>
      <w:r>
        <w:rPr>
          <w:color w:val="1F3864"/>
        </w:rPr>
        <w:t>4. よくあるトラブルと対応</w:t>
      </w:r>
    </w:p>
    <w:p>
      <w:pPr>
        <w:pStyle w:val="Heading3"/>
      </w:pPr>
      <w:r>
        <w:rPr>
          <w:color w:val="1F3864"/>
        </w:rPr>
        <w:t>■ 在庫切れ時の対応</w:t>
      </w:r>
    </w:p>
    <w:p>
      <w:r>
        <w:t>① 生産管理部へ緊急増産依頼フォーム（Form-P03）を送付</w:t>
        <w:br/>
        <w:t>② 顧客へ納期延長の連絡（納期+5営業日が目安）</w:t>
        <w:br/>
        <w:t>③ 代替品がある場合は顧客に提案。承諾得た場合は別注文として処理</w:t>
      </w:r>
    </w:p>
    <w:p>
      <w:pPr>
        <w:pStyle w:val="Heading3"/>
      </w:pPr>
      <w:r>
        <w:rPr>
          <w:color w:val="1F3864"/>
        </w:rPr>
        <w:t>■ EDI受信エラー</w:t>
      </w:r>
    </w:p>
    <w:p>
      <w:r>
        <w:t>① IT部門へエラーコードを報告</w:t>
        <w:br/>
        <w:t>② 顧客へFAXにて注文書の再送を依頼</w:t>
        <w:br/>
        <w:t>③ 手動入力後、備考欄に「EDIエラーによる手動入力」と記載</w:t>
      </w:r>
    </w:p>
    <w:p>
      <w:pPr>
        <w:pStyle w:val="Heading3"/>
      </w:pPr>
      <w:r>
        <w:rPr>
          <w:color w:val="1F3864"/>
        </w:rPr>
        <w:t>■ 与信審査の長期未完了</w:t>
      </w:r>
    </w:p>
    <w:p>
      <w:r>
        <w:t>① 3営業日経過後も審査未完了の場合、財務部長へエスカレーション</w:t>
        <w:br/>
        <w:t>② 顧客への状況報告を2日ごとに実施</w:t>
        <w:br/>
        <w:t>③ 最長10営業日で可否を決定すること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受注処理業務マニュアル</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