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カスタマーサクセス 問い合わせ対応フロー</w:t>
      </w:r>
    </w:p>
    <w:p>
      <w:pPr>
        <w:jc w:val="center"/>
      </w:pPr>
      <w:r>
        <w:rPr>
          <w:sz w:val="24"/>
        </w:rPr>
        <w:t>CS部 標準業務手順書　2024年4月版</w:t>
      </w:r>
    </w:p>
    <w:p/>
    <w:p>
      <w:pPr>
        <w:pStyle w:val="Heading2"/>
      </w:pPr>
      <w:r>
        <w:t>1. 概要</w:t>
      </w:r>
    </w:p>
    <w:p>
      <w:r>
        <w:t>本フローは、顧客から寄せられた問い合わせを適切に分類・対応するための標準プロセスを定めたものです。AIによる自動スコアリングで重要度を4段階（S/A/B/C）に判定し、各区分に応じた対応体制を取ります。具体的な対応時間・エスカレーション条件・判定ロジックは下記フロー図を参照してください。</w:t>
      </w:r>
    </w:p>
    <w:p>
      <w:pPr>
        <w:pStyle w:val="Heading2"/>
      </w:pPr>
      <w:r>
        <w:t>2. 対応フロー図</w:t>
      </w:r>
    </w:p>
    <w:p>
      <w:r>
        <w:t>※ 重要度ごとの対応時間・担当チーム・再調査ループの条件は下図を参照してください。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436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369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SLA・KPI目標値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color="auto" w:fill="1F3864"/>
          </w:tcPr>
          <w:p>
            <w:r>
              <w:rPr>
                <w:b/>
                <w:color w:val="FFFFFF"/>
              </w:rPr>
              <w:t>SLA項目</w:t>
            </w:r>
          </w:p>
        </w:tc>
        <w:tc>
          <w:tcPr>
            <w:tcW w:type="dxa" w:w="2769"/>
            <w:shd w:val="clear" w:color="auto" w:fill="1F3864"/>
          </w:tcPr>
          <w:p>
            <w:r>
              <w:rPr>
                <w:b/>
                <w:color w:val="FFFFFF"/>
              </w:rPr>
              <w:t>目標値</w:t>
            </w:r>
          </w:p>
        </w:tc>
        <w:tc>
          <w:tcPr>
            <w:tcW w:type="dxa" w:w="2769"/>
            <w:shd w:val="clear" w:color="auto" w:fill="1F3864"/>
          </w:tcPr>
          <w:p>
            <w:r>
              <w:rPr>
                <w:b/>
                <w:color w:val="FFFFFF"/>
              </w:rPr>
              <w:t>達成率目標</w:t>
            </w:r>
          </w:p>
        </w:tc>
      </w:tr>
      <w:tr>
        <w:tc>
          <w:tcPr>
            <w:tcW w:type="dxa" w:w="2769"/>
          </w:tcPr>
          <w:p>
            <w:r>
              <w:t>初回応答時間 （緊急S）</w:t>
            </w:r>
          </w:p>
        </w:tc>
        <w:tc>
          <w:tcPr>
            <w:tcW w:type="dxa" w:w="2769"/>
          </w:tcPr>
          <w:p>
            <w:r>
              <w:t>30分以内</w:t>
            </w:r>
          </w:p>
        </w:tc>
        <w:tc>
          <w:tcPr>
            <w:tcW w:type="dxa" w:w="2769"/>
          </w:tcPr>
          <w:p>
            <w:r>
              <w:t>99%以上</w:t>
            </w:r>
          </w:p>
        </w:tc>
      </w:tr>
      <w:tr>
        <w:tc>
          <w:tcPr>
            <w:tcW w:type="dxa" w:w="2769"/>
          </w:tcPr>
          <w:p>
            <w:r>
              <w:t>初回応答時間 （重要A）</w:t>
            </w:r>
          </w:p>
        </w:tc>
        <w:tc>
          <w:tcPr>
            <w:tcW w:type="dxa" w:w="2769"/>
          </w:tcPr>
          <w:p>
            <w:r>
              <w:t>2時間以内</w:t>
            </w:r>
          </w:p>
        </w:tc>
        <w:tc>
          <w:tcPr>
            <w:tcW w:type="dxa" w:w="2769"/>
          </w:tcPr>
          <w:p>
            <w:r>
              <w:t>95%以上</w:t>
            </w:r>
          </w:p>
        </w:tc>
      </w:tr>
      <w:tr>
        <w:tc>
          <w:tcPr>
            <w:tcW w:type="dxa" w:w="2769"/>
          </w:tcPr>
          <w:p>
            <w:r>
              <w:t>初回応答時間 （通常B/C）</w:t>
            </w:r>
          </w:p>
        </w:tc>
        <w:tc>
          <w:tcPr>
            <w:tcW w:type="dxa" w:w="2769"/>
          </w:tcPr>
          <w:p>
            <w:r>
              <w:t>翌営業日</w:t>
            </w:r>
          </w:p>
        </w:tc>
        <w:tc>
          <w:tcPr>
            <w:tcW w:type="dxa" w:w="2769"/>
          </w:tcPr>
          <w:p>
            <w:r>
              <w:t>90%以上</w:t>
            </w:r>
          </w:p>
        </w:tc>
      </w:tr>
      <w:tr>
        <w:tc>
          <w:tcPr>
            <w:tcW w:type="dxa" w:w="2769"/>
          </w:tcPr>
          <w:p>
            <w:r>
              <w:t>初回解決率</w:t>
            </w:r>
          </w:p>
        </w:tc>
        <w:tc>
          <w:tcPr>
            <w:tcW w:type="dxa" w:w="2769"/>
          </w:tcPr>
          <w:p>
            <w:r>
              <w:t>65%以上</w:t>
            </w:r>
          </w:p>
        </w:tc>
        <w:tc>
          <w:tcPr>
            <w:tcW w:type="dxa" w:w="2769"/>
          </w:tcPr>
          <w:p>
            <w:r>
              <w:t>─</w:t>
            </w:r>
          </w:p>
        </w:tc>
      </w:tr>
      <w:tr>
        <w:tc>
          <w:tcPr>
            <w:tcW w:type="dxa" w:w="2769"/>
          </w:tcPr>
          <w:p>
            <w:r>
              <w:t>顧客満足度スコア（CSAT）</w:t>
            </w:r>
          </w:p>
        </w:tc>
        <w:tc>
          <w:tcPr>
            <w:tcW w:type="dxa" w:w="2769"/>
          </w:tcPr>
          <w:p>
            <w:r>
              <w:t>4.0/5.0以上</w:t>
            </w:r>
          </w:p>
        </w:tc>
        <w:tc>
          <w:tcPr>
            <w:tcW w:type="dxa" w:w="2769"/>
          </w:tcPr>
          <w:p>
            <w:r>
              <w:t>─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