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7. Project Documentation Phase</w:t>
      </w:r>
    </w:p>
    <w:p>
      <w:pPr>
        <w:spacing w:after="160" w:line="276" w:lineRule="auto"/>
        <w:jc w:val="both"/>
      </w:pPr>
      <w:r>
        <w:rPr>
          <w:rFonts w:ascii="Times New Roman" w:hAnsi="Times New Roman" w:eastAsia="Times New Roman"/>
          <w:sz w:val="24"/>
        </w:rPr>
        <w:t>The project documentation phase involved organizing and recording the important information about ComicCraft. The documentation describes the project objective, system architecture, prerequisites, workflow, development activities, frontend pages, deployment process, testing process, and final outcome.</w:t>
      </w:r>
    </w:p>
    <w:p>
      <w:pPr>
        <w:spacing w:after="160" w:line="276" w:lineRule="auto"/>
        <w:jc w:val="both"/>
      </w:pPr>
      <w:r>
        <w:rPr>
          <w:rFonts w:ascii="Times New Roman" w:hAnsi="Times New Roman" w:eastAsia="Times New Roman"/>
          <w:sz w:val="24"/>
        </w:rPr>
        <w:t>The technical architecture and the responsibilities of the frontend, backend, and AI integration were documented. The different Python modules and their functions were also described so that the development process and the purpose of each component could be understood clearly.</w:t>
      </w:r>
    </w:p>
    <w:p>
      <w:pPr>
        <w:spacing w:after="160" w:line="276" w:lineRule="auto"/>
        <w:jc w:val="both"/>
      </w:pPr>
      <w:r>
        <w:rPr>
          <w:rFonts w:ascii="Times New Roman" w:hAnsi="Times New Roman" w:eastAsia="Times New Roman"/>
          <w:sz w:val="24"/>
        </w:rPr>
        <w:t>The user interface was documented through descriptions of the homepage, comic preview page, and export success page. The homepage collects the user's comic requirements, the preview page displays the generated panels with images and text, and the export success page confirms completion of the comic export process.</w:t>
      </w:r>
    </w:p>
    <w:p>
      <w:pPr>
        <w:spacing w:after="160" w:line="276" w:lineRule="auto"/>
        <w:jc w:val="both"/>
      </w:pPr>
      <w:r>
        <w:rPr>
          <w:rFonts w:ascii="Times New Roman" w:hAnsi="Times New Roman" w:eastAsia="Times New Roman"/>
          <w:sz w:val="24"/>
        </w:rPr>
        <w:t>The documentation also records the setup and execution procedure, including creation of a virtual environment, installation of required libraries, configuration of API keys, and starting the FastAPI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