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4F72"/>
          <w:sz w:val="56"/>
          <w:szCs w:val="56"/>
        </w:rPr>
        <w:t xml:space="preserve">GraphCodeRAG</w:t>
      </w:r>
    </w:p>
    <w:p>
      <w:pPr>
        <w:spacing w:after="120"/>
        <w:jc w:val="center"/>
      </w:pPr>
      <w:r>
        <w:rPr>
          <w:rFonts w:ascii="Arial" w:cs="Arial" w:eastAsia="Arial" w:hAnsi="Arial"/>
          <w:color w:val="2E75B6"/>
          <w:sz w:val="30"/>
          <w:szCs w:val="30"/>
        </w:rPr>
        <w:t xml:space="preserve">Evaluation Strategy &amp; Implementation Guide</w:t>
      </w:r>
    </w:p>
    <w:p>
      <w:pPr>
        <w:pBdr>
          <w:bottom w:val="single" w:color="2E75B6" w:sz="6" w:space="1"/>
        </w:pBdr>
        <w:spacing w:after="600"/>
        <w:jc w:val="center"/>
      </w:pPr>
      <w:r>
        <w:rPr>
          <w:rFonts w:ascii="Arial" w:cs="Arial" w:eastAsia="Arial" w:hAnsi="Arial"/>
          <w:color w:val="666666"/>
          <w:sz w:val="22"/>
          <w:szCs w:val="22"/>
        </w:rPr>
        <w:t xml:space="preserve">Practical decisions on dataset, metrics, models, and evaluation pipeline</w:t>
      </w:r>
    </w:p>
    <w:p>
      <w:pPr>
        <w:spacing w:before="600"/>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spacing w:after="200" w:before="360"/>
      </w:pPr>
      <w:r>
        <w:rPr>
          <w:rFonts w:ascii="Arial" w:cs="Arial" w:eastAsia="Arial" w:hAnsi="Arial"/>
        </w:rPr>
        <w:t xml:space="preserve">1. Practical Evaluation Scale — Don’t Get Paralyzed</w:t>
      </w:r>
    </w:p>
    <w:p>
      <w:pPr>
        <w:pStyle w:val="Heading2"/>
        <w:spacing w:after="160" w:before="280"/>
      </w:pPr>
      <w:r>
        <w:rPr>
          <w:rFonts w:ascii="Arial" w:cs="Arial" w:eastAsia="Arial" w:hAnsi="Arial"/>
        </w:rPr>
        <w:t xml:space="preserve">1.1 The core concern</w:t>
      </w:r>
    </w:p>
    <w:p>
      <w:pPr>
        <w:spacing w:after="160" w:line="300"/>
      </w:pPr>
      <w:r>
        <w:rPr>
          <w:rFonts w:ascii="Arial" w:cs="Arial" w:eastAsia="Arial" w:hAnsi="Arial"/>
          <w:color w:val="2C3E50"/>
          <w:sz w:val="22"/>
          <w:szCs w:val="22"/>
        </w:rPr>
        <w:t xml:space="preserve">SWE-bench’s per-commit evaluation model is genuinely expensive for a graph-based system. Every test instance requires a fresh repository checkout at a specific git commit, followed by full re-ingestion: AST parsing, graph construction in Neo4j, and embedding generation. Multiplied by hundreds of instances, this creates a real computational bottleneck.</w:t>
      </w:r>
    </w:p>
    <w:p>
      <w:pPr>
        <w:pStyle w:val="Heading2"/>
        <w:spacing w:after="160" w:before="280"/>
      </w:pPr>
      <w:r>
        <w:rPr>
          <w:rFonts w:ascii="Arial" w:cs="Arial" w:eastAsia="Arial" w:hAnsi="Arial"/>
        </w:rPr>
        <w:t xml:space="preserve">1.2 Why this is not a blocker</w:t>
      </w:r>
    </w:p>
    <w:p>
      <w:pPr>
        <w:spacing w:after="160" w:line="300"/>
      </w:pPr>
      <w:r>
        <w:rPr>
          <w:rFonts w:ascii="Arial" w:cs="Arial" w:eastAsia="Arial" w:hAnsi="Arial"/>
          <w:color w:val="2C3E50"/>
          <w:sz w:val="22"/>
          <w:szCs w:val="22"/>
        </w:rPr>
        <w:t xml:space="preserve">For a course project, you were never expected to run 500 instances. SWE-bench Lite contains around 300 instances, and even running 30–50 carefully selected instances across 3–4 repositories is a strong evaluation. No professor expects weeks of compute time.</w:t>
      </w:r>
    </w:p>
    <w:p>
      <w:pPr>
        <w:spacing w:after="160" w:line="300"/>
      </w:pPr>
      <w:r>
        <w:rPr>
          <w:rFonts w:ascii="Arial" w:cs="Arial" w:eastAsia="Arial" w:hAnsi="Arial"/>
          <w:color w:val="2C3E50"/>
          <w:sz w:val="22"/>
          <w:szCs w:val="22"/>
        </w:rPr>
        <w:t xml:space="preserve">The often-cited estimate of “30–60 minutes per commit for Django” is inflated. A well-optimized Tree-sitter parser can process Django’s Python files in under 2 minutes. Neo4j ingestion can be batched efficiently. The actual bottleneck is embedding generation (API calls), not parsing or graph construction. With proper batching and caching, a single repo ingestion takes 5–15 minutes, not an hour.</w:t>
      </w:r>
    </w:p>
    <w:p>
      <w:pPr>
        <w:pStyle w:val="Heading2"/>
        <w:spacing w:after="160" w:before="280"/>
      </w:pPr>
      <w:r>
        <w:rPr>
          <w:rFonts w:ascii="Arial" w:cs="Arial" w:eastAsia="Arial" w:hAnsi="Arial"/>
        </w:rPr>
        <w:t xml:space="preserve">1.3 Recommended approach</w:t>
      </w:r>
    </w:p>
    <w:p>
      <w:pPr>
        <w:spacing w:after="160" w:line="300"/>
      </w:pPr>
      <w:r>
        <w:rPr>
          <w:rFonts w:ascii="Arial" w:cs="Arial" w:eastAsia="Arial" w:hAnsi="Arial"/>
          <w:color w:val="2C3E50"/>
          <w:sz w:val="22"/>
          <w:szCs w:val="22"/>
        </w:rPr>
        <w:t xml:space="preserve">Pick 3–4 repositories of different sizes to show your system works across varying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 Repos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Approx. LOC</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SWE-bench Issues</w:t>
            </w:r>
          </w:p>
        </w:tc>
      </w:tr>
      <w:tr>
        <w:tc>
          <w:tcPr>
            <w:tcW w:type="dxa" w:w="23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2C3E50"/>
                <w:sz w:val="20"/>
                <w:szCs w:val="20"/>
              </w:rPr>
              <w:t xml:space="preserve">Small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click, flask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5k – 20k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10–15 issues</w:t>
            </w:r>
          </w:p>
        </w:tc>
      </w:tr>
      <w:tr>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requests, black</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30k – 50k</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10–15 issues</w:t>
            </w:r>
          </w:p>
        </w:tc>
      </w:tr>
      <w:tr>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2C3E50"/>
                <w:sz w:val="20"/>
                <w:szCs w:val="20"/>
              </w:rPr>
              <w:t xml:space="preserve">Large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django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300k+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10–15 issues</w:t>
            </w:r>
          </w:p>
        </w:tc>
      </w:tr>
    </w:tbl>
    <w:p>
      <w:pPr>
        <w:spacing w:after="160"/>
      </w:pPr>
    </w:p>
    <w:p>
      <w:pPr>
        <w:spacing w:after="160" w:line="300"/>
      </w:pPr>
      <w:r>
        <w:rPr>
          <w:rFonts w:ascii="Arial" w:cs="Arial" w:eastAsia="Arial" w:hAnsi="Arial"/>
          <w:color w:val="2C3E50"/>
          <w:sz w:val="22"/>
          <w:szCs w:val="22"/>
        </w:rPr>
        <w:t xml:space="preserve">This gives you 30–50 evaluation points across varying complexity — more than enough for a course project to show a meaningful trend.</w:t>
      </w:r>
    </w:p>
    <w:p>
      <w:pPr>
        <w:pStyle w:val="Heading2"/>
        <w:spacing w:after="160" w:before="280"/>
      </w:pPr>
      <w:r>
        <w:rPr>
          <w:rFonts w:ascii="Arial" w:cs="Arial" w:eastAsia="Arial" w:hAnsi="Arial"/>
        </w:rPr>
        <w:t xml:space="preserve">1.4 Two-pronged strategy</w:t>
      </w:r>
    </w:p>
    <w:p>
      <w:pPr>
        <w:spacing w:after="160" w:line="300"/>
      </w:pPr>
      <w:r>
        <w:rPr>
          <w:rFonts w:ascii="Arial" w:cs="Arial" w:eastAsia="Arial" w:hAnsi="Arial"/>
          <w:color w:val="2C3E50"/>
          <w:sz w:val="22"/>
          <w:szCs w:val="22"/>
        </w:rPr>
        <w:t xml:space="preserve">Do both Option A and Option B for maximum impact:</w:t>
      </w:r>
    </w:p>
    <w:p>
      <w:pPr>
        <w:spacing w:after="160" w:line="300"/>
      </w:pPr>
      <w:r>
        <w:rPr>
          <w:rFonts w:ascii="Arial" w:cs="Arial" w:eastAsia="Arial" w:hAnsi="Arial"/>
          <w:b/>
          <w:bCs/>
          <w:color w:val="2C3E50"/>
          <w:sz w:val="22"/>
          <w:szCs w:val="22"/>
        </w:rPr>
        <w:t xml:space="preserve">Option A (Real results): </w:t>
      </w:r>
      <w:r>
        <w:rPr>
          <w:rFonts w:ascii="Arial" w:cs="Arial" w:eastAsia="Arial" w:hAnsi="Arial"/>
          <w:color w:val="2C3E50"/>
          <w:sz w:val="22"/>
          <w:szCs w:val="22"/>
        </w:rPr>
        <w:t xml:space="preserve">Run actual evaluation on 30–50 selected instances. This gives you concrete numbers — MRR scores, Recall@K percentages, head-to-head win rates. Without real numbers, the project is just a design document.</w:t>
      </w:r>
    </w:p>
    <w:p>
      <w:pPr>
        <w:spacing w:after="160" w:line="300"/>
      </w:pPr>
      <w:r>
        <w:rPr>
          <w:rFonts w:ascii="Arial" w:cs="Arial" w:eastAsia="Arial" w:hAnsi="Arial"/>
          <w:b/>
          <w:bCs/>
          <w:color w:val="2C3E50"/>
          <w:sz w:val="22"/>
          <w:szCs w:val="22"/>
        </w:rPr>
        <w:t xml:space="preserve">Option B (Scaled methodology): </w:t>
      </w:r>
      <w:r>
        <w:rPr>
          <w:rFonts w:ascii="Arial" w:cs="Arial" w:eastAsia="Arial" w:hAnsi="Arial"/>
          <w:color w:val="2C3E50"/>
          <w:sz w:val="22"/>
          <w:szCs w:val="22"/>
        </w:rPr>
        <w:t xml:space="preserve">Document the full-scale evaluation architecture in your paper. Show how the system would scale to 500+ instances with parallel ingestion, commit-level caching, and distributed compute. This demonstrates engineering maturity without burning your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6EAF8" w:val="clear"/>
            <w:tcMar>
              <w:top w:type="dxa" w:w="120"/>
              <w:left w:type="dxa" w:w="200"/>
              <w:bottom w:type="dxa" w:w="120"/>
              <w:right w:type="dxa" w:w="200"/>
            </w:tcMar>
          </w:tcPr>
          <w:p>
            <w:r>
              <w:rPr>
                <w:rFonts w:ascii="Arial" w:cs="Arial" w:eastAsia="Arial" w:hAnsi="Arial"/>
                <w:color w:val="2C3E50"/>
                <w:sz w:val="22"/>
                <w:szCs w:val="22"/>
              </w:rPr>
              <w:t xml:space="preserve">Key insight: Professors want to see working results plus thoughtful engineering. A small, well-executed evaluation with a documented scaling plan is far more impressive than an ambitious plan that never ran.</w:t>
            </w:r>
          </w:p>
        </w:tc>
      </w:tr>
    </w:tbl>
    <w:p>
      <w:pPr>
        <w:pStyle w:val="Heading2"/>
        <w:spacing w:after="160" w:before="280"/>
      </w:pPr>
      <w:r>
        <w:rPr>
          <w:rFonts w:ascii="Arial" w:cs="Arial" w:eastAsia="Arial" w:hAnsi="Arial"/>
        </w:rPr>
        <w:t xml:space="preserve">1.5 Issue selection criteria</w:t>
      </w:r>
    </w:p>
    <w:p>
      <w:pPr>
        <w:spacing w:after="160" w:line="300"/>
      </w:pPr>
      <w:r>
        <w:rPr>
          <w:rFonts w:ascii="Arial" w:cs="Arial" w:eastAsia="Arial" w:hAnsi="Arial"/>
          <w:color w:val="2C3E50"/>
          <w:sz w:val="22"/>
          <w:szCs w:val="22"/>
        </w:rPr>
        <w:t xml:space="preserve">Not all SWE-bench issues are equally useful for demonstrating your system’s advantage. Select issues where:</w:t>
      </w:r>
    </w:p>
    <w:p>
      <w:pPr>
        <w:pStyle w:val="ListParagraph"/>
        <w:numPr>
          <w:ilvl w:val="0"/>
          <w:numId w:val="2"/>
        </w:numPr>
        <w:spacing w:after="100"/>
      </w:pPr>
      <w:r>
        <w:rPr>
          <w:rFonts w:ascii="Arial" w:cs="Arial" w:eastAsia="Arial" w:hAnsi="Arial"/>
          <w:color w:val="2C3E50"/>
          <w:sz w:val="22"/>
          <w:szCs w:val="22"/>
        </w:rPr>
        <w:t xml:space="preserve">The fix touches 2–4 files — these are multi-hop cases where GraphRAG should outperform standard RAG.</w:t>
      </w:r>
    </w:p>
    <w:p>
      <w:pPr>
        <w:pStyle w:val="ListParagraph"/>
        <w:numPr>
          <w:ilvl w:val="0"/>
          <w:numId w:val="2"/>
        </w:numPr>
        <w:spacing w:after="100"/>
      </w:pPr>
      <w:r>
        <w:rPr>
          <w:rFonts w:ascii="Arial" w:cs="Arial" w:eastAsia="Arial" w:hAnsi="Arial"/>
          <w:color w:val="2C3E50"/>
          <w:sz w:val="22"/>
          <w:szCs w:val="22"/>
        </w:rPr>
        <w:t xml:space="preserve">The fix involves function calls across modules — this tests your graph traversal directly.</w:t>
      </w:r>
    </w:p>
    <w:p>
      <w:pPr>
        <w:pStyle w:val="ListParagraph"/>
        <w:numPr>
          <w:ilvl w:val="0"/>
          <w:numId w:val="2"/>
        </w:numPr>
        <w:spacing w:after="100"/>
      </w:pPr>
      <w:r>
        <w:rPr>
          <w:rFonts w:ascii="Arial" w:cs="Arial" w:eastAsia="Arial" w:hAnsi="Arial"/>
          <w:color w:val="2C3E50"/>
          <w:sz w:val="22"/>
          <w:szCs w:val="22"/>
        </w:rPr>
        <w:t xml:space="preserve">The issue description is a clear question or bug report — vague issues make evaluation noisy.</w:t>
      </w:r>
    </w:p>
    <w:p>
      <w:pPr>
        <w:spacing w:after="160" w:line="300"/>
      </w:pPr>
      <w:r>
        <w:rPr>
          <w:rFonts w:ascii="Arial" w:cs="Arial" w:eastAsia="Arial" w:hAnsi="Arial"/>
          <w:color w:val="2C3E50"/>
          <w:sz w:val="22"/>
          <w:szCs w:val="22"/>
        </w:rPr>
        <w:t xml:space="preserve">Avoid issues where the fix touches only 1 file (no retrieval difference) or 10+ files (too noisy to evaluate cleanly).</w:t>
      </w:r>
    </w:p>
    <w:p>
      <w:r>
        <w:br w:type="page"/>
      </w:r>
    </w:p>
    <w:p>
      <w:pPr>
        <w:pStyle w:val="Heading1"/>
        <w:spacing w:after="200" w:before="360"/>
      </w:pPr>
      <w:r>
        <w:rPr>
          <w:rFonts w:ascii="Arial" w:cs="Arial" w:eastAsia="Arial" w:hAnsi="Arial"/>
        </w:rPr>
        <w:t xml:space="preserve">2. Evaluation Pipeline — How to Compare Standard RAG vs GraphRAG</w:t>
      </w:r>
    </w:p>
    <w:p>
      <w:pPr>
        <w:pStyle w:val="Heading2"/>
        <w:spacing w:after="160" w:before="280"/>
      </w:pPr>
      <w:r>
        <w:rPr>
          <w:rFonts w:ascii="Arial" w:cs="Arial" w:eastAsia="Arial" w:hAnsi="Arial"/>
        </w:rPr>
        <w:t xml:space="preserve">2.1 The fundamental evaluation logic</w:t>
      </w:r>
    </w:p>
    <w:p>
      <w:pPr>
        <w:spacing w:after="160" w:line="300"/>
      </w:pPr>
      <w:r>
        <w:rPr>
          <w:rFonts w:ascii="Arial" w:cs="Arial" w:eastAsia="Arial" w:hAnsi="Arial"/>
          <w:color w:val="2C3E50"/>
          <w:sz w:val="22"/>
          <w:szCs w:val="22"/>
        </w:rPr>
        <w:t xml:space="preserve">The evaluation is simple in concept: give both systems the same question, compare which one retrieves better code and generates a better answer. SWE-bench provides the questions (GitHub issues), the codebase (repositories), and the ground truth (pull request diffs showing which files/functions needed to change).</w:t>
      </w:r>
    </w:p>
    <w:p>
      <w:pPr>
        <w:pStyle w:val="Heading2"/>
        <w:spacing w:after="160" w:before="280"/>
      </w:pPr>
      <w:r>
        <w:rPr>
          <w:rFonts w:ascii="Arial" w:cs="Arial" w:eastAsia="Arial" w:hAnsi="Arial"/>
        </w:rPr>
        <w:t xml:space="preserve">2.2 The two pipelines</w:t>
      </w:r>
    </w:p>
    <w:p>
      <w:pPr>
        <w:spacing w:after="160" w:line="300"/>
      </w:pPr>
      <w:r>
        <w:rPr>
          <w:rFonts w:ascii="Arial" w:cs="Arial" w:eastAsia="Arial" w:hAnsi="Arial"/>
          <w:color w:val="2C3E50"/>
          <w:sz w:val="22"/>
          <w:szCs w:val="22"/>
        </w:rPr>
        <w:t xml:space="preserve">Both pipelines must be identical in every way except the retrieval strategy. This isolation ensures that any performance difference is attributable solely to your innovation.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20"/>
                <w:szCs w:val="20"/>
              </w:rPr>
              <w:t xml:space="preserve">Pipeline A: Standard RAG</w:t>
            </w:r>
          </w:p>
        </w:tc>
        <w:tc>
          <w:tcPr>
            <w:tcW w:type="dxa" w:w="351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20"/>
                <w:szCs w:val="20"/>
              </w:rPr>
              <w:t xml:space="preserve">Pipeline B: GraphCodeRAG</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Chunking</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Recursive character splitting, 512 tokens, 50-token overlap</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AST-aware chunking via Tree-sitter (one chunk per function/class)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Embedding model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text-embedding-3-small (SAME)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text-embedding-3-small (SAME)</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Vector store</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ChromaDB (SAME)</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ChromaDB (SAME) + Neo4j graph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Retrieval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Vector similarity search only (top-K cosine)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Hybrid: vector search + graph traversal (2–3 hops), merged and ranked</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LLM</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Qwen2.5-Coder 7B (SAME)</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Qwen2.5-Coder 7B (SAME)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Prompt template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Identical prompt (SAME)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Identical prompt (SAME)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6EAF8" w:val="clear"/>
            <w:tcMar>
              <w:top w:type="dxa" w:w="120"/>
              <w:left w:type="dxa" w:w="200"/>
              <w:bottom w:type="dxa" w:w="120"/>
              <w:right w:type="dxa" w:w="200"/>
            </w:tcMar>
          </w:tcPr>
          <w:p>
            <w:r>
              <w:rPr>
                <w:rFonts w:ascii="Arial" w:cs="Arial" w:eastAsia="Arial" w:hAnsi="Arial"/>
                <w:color w:val="2C3E50"/>
                <w:sz w:val="22"/>
                <w:szCs w:val="22"/>
              </w:rPr>
              <w:t xml:space="preserve">Critical: Everything identical except chunking strategy and retrieval method. This is what makes the comparison scientifically valid. If you change the LLM or prompt between pipelines, you cannot attribute results to retrieval alone.</w:t>
            </w:r>
          </w:p>
        </w:tc>
      </w:tr>
    </w:tbl>
    <w:p>
      <w:pPr>
        <w:pStyle w:val="Heading2"/>
        <w:spacing w:after="160" w:before="280"/>
      </w:pPr>
      <w:r>
        <w:rPr>
          <w:rFonts w:ascii="Arial" w:cs="Arial" w:eastAsia="Arial" w:hAnsi="Arial"/>
        </w:rPr>
        <w:t xml:space="preserve">2.3 What to measure</w:t>
      </w:r>
    </w:p>
    <w:p>
      <w:pPr>
        <w:pStyle w:val="Heading3"/>
        <w:spacing w:after="120" w:before="200"/>
      </w:pPr>
      <w:r>
        <w:rPr>
          <w:rFonts w:ascii="Arial" w:cs="Arial" w:eastAsia="Arial" w:hAnsi="Arial"/>
        </w:rPr>
        <w:t xml:space="preserve">2.3.1 Retrieval metrics (fully objective, no LLM needed)</w:t>
      </w:r>
    </w:p>
    <w:p>
      <w:pPr>
        <w:spacing w:after="160" w:line="300"/>
      </w:pPr>
      <w:r>
        <w:rPr>
          <w:rFonts w:ascii="Arial" w:cs="Arial" w:eastAsia="Arial" w:hAnsi="Arial"/>
          <w:color w:val="2C3E50"/>
          <w:sz w:val="22"/>
          <w:szCs w:val="22"/>
        </w:rPr>
        <w:t xml:space="preserve">You already have ground truth from the pull request — you know exactly which files and functions the fix touched. This enables fully automated, objective measurement:</w:t>
      </w:r>
    </w:p>
    <w:p>
      <w:pPr>
        <w:spacing w:after="160" w:line="300"/>
      </w:pPr>
      <w:r>
        <w:rPr>
          <w:rFonts w:ascii="Arial" w:cs="Arial" w:eastAsia="Arial" w:hAnsi="Arial"/>
          <w:b/>
          <w:bCs/>
          <w:color w:val="2C3E50"/>
          <w:sz w:val="22"/>
          <w:szCs w:val="22"/>
        </w:rPr>
        <w:t xml:space="preserve">Mean Reciprocal Rank (MRR): </w:t>
      </w:r>
      <w:r>
        <w:rPr>
          <w:rFonts w:ascii="Arial" w:cs="Arial" w:eastAsia="Arial" w:hAnsi="Arial"/>
          <w:color w:val="2C3E50"/>
          <w:sz w:val="22"/>
          <w:szCs w:val="22"/>
        </w:rPr>
        <w:t xml:space="preserve">How high does the correct file/function appear in retrieval results? MRR = 1.0 means the correct result is always ranked first. Formula: MRR = (1/N) × Σ(1/rank_i) where rank_i is the position of the first correct result for query i.</w:t>
      </w:r>
    </w:p>
    <w:p>
      <w:pPr>
        <w:spacing w:after="160" w:line="300"/>
      </w:pPr>
      <w:r>
        <w:rPr>
          <w:rFonts w:ascii="Arial" w:cs="Arial" w:eastAsia="Arial" w:hAnsi="Arial"/>
          <w:b/>
          <w:bCs/>
          <w:color w:val="2C3E50"/>
          <w:sz w:val="22"/>
          <w:szCs w:val="22"/>
        </w:rPr>
        <w:t xml:space="preserve">Recall@K: </w:t>
      </w:r>
      <w:r>
        <w:rPr>
          <w:rFonts w:ascii="Arial" w:cs="Arial" w:eastAsia="Arial" w:hAnsi="Arial"/>
          <w:color w:val="2C3E50"/>
          <w:sz w:val="22"/>
          <w:szCs w:val="22"/>
        </w:rPr>
        <w:t xml:space="preserve">Out of all the code pieces needed to answer the question, what fraction did the system retrieve in the top K results? Computed as a simple set intersection: |retrieved ∩ ground_truth| / |ground_truth|. Measure at K=5, K=10, and K=20.</w:t>
      </w:r>
    </w:p>
    <w:p>
      <w:pPr>
        <w:pStyle w:val="Heading3"/>
        <w:spacing w:after="120" w:before="200"/>
      </w:pPr>
      <w:r>
        <w:rPr>
          <w:rFonts w:ascii="Arial" w:cs="Arial" w:eastAsia="Arial" w:hAnsi="Arial"/>
        </w:rPr>
        <w:t xml:space="preserve">2.3.2 Generation metrics (LLM-as-Judge)</w:t>
      </w:r>
    </w:p>
    <w:p>
      <w:pPr>
        <w:spacing w:after="160" w:line="300"/>
      </w:pPr>
      <w:r>
        <w:rPr>
          <w:rFonts w:ascii="Arial" w:cs="Arial" w:eastAsia="Arial" w:hAnsi="Arial"/>
          <w:color w:val="2C3E50"/>
          <w:sz w:val="22"/>
          <w:szCs w:val="22"/>
        </w:rPr>
        <w:t xml:space="preserve">For generation quality, use LLM-as-Judge with Gemini 2.5 Flash. For each test case, provide the judge with the original GitHub issue, the ground truth pull request diff, the answer from standard RAG, and the answer from GraphCodeRAG. Score each answer on three dimensions (1–5 scale): accuracy, completeness, and helpfulness. Also collect a pairwise preference (“Which answer would be more helpful to a developer?”) to get head-to-head win rates.</w:t>
      </w:r>
    </w:p>
    <w:p>
      <w:pPr>
        <w:pStyle w:val="Heading3"/>
        <w:spacing w:after="120" w:before="200"/>
      </w:pPr>
      <w:r>
        <w:rPr>
          <w:rFonts w:ascii="Arial" w:cs="Arial" w:eastAsia="Arial" w:hAnsi="Arial"/>
        </w:rPr>
        <w:t xml:space="preserve">2.3.3 Pass@k (optional)</w:t>
      </w:r>
    </w:p>
    <w:p>
      <w:pPr>
        <w:spacing w:after="160" w:line="300"/>
      </w:pPr>
      <w:r>
        <w:rPr>
          <w:rFonts w:ascii="Arial" w:cs="Arial" w:eastAsia="Arial" w:hAnsi="Arial"/>
          <w:color w:val="2C3E50"/>
          <w:sz w:val="22"/>
          <w:szCs w:val="22"/>
        </w:rPr>
        <w:t xml:space="preserve">Only relevant if you generate actual code patches. This adds significant complexity (test harness, sandboxed execution, patch application). Skip for the course project unless you have extra time. Focus on retrieval + answer quality instead.</w:t>
      </w:r>
    </w:p>
    <w:p>
      <w:pPr>
        <w:pStyle w:val="Heading2"/>
        <w:spacing w:after="160" w:before="280"/>
      </w:pPr>
      <w:r>
        <w:rPr>
          <w:rFonts w:ascii="Arial" w:cs="Arial" w:eastAsia="Arial" w:hAnsi="Arial"/>
        </w:rPr>
        <w:t xml:space="preserve">2.4 Practical timeline</w:t>
      </w:r>
    </w:p>
    <w:p>
      <w:pPr>
        <w:spacing w:after="160" w:line="300"/>
      </w:pPr>
      <w:r>
        <w:rPr>
          <w:rFonts w:ascii="Arial" w:cs="Arial" w:eastAsia="Arial" w:hAnsi="Arial"/>
          <w:color w:val="2C3E50"/>
          <w:sz w:val="22"/>
          <w:szCs w:val="22"/>
        </w:rPr>
        <w:t xml:space="preserve">You only need to ingest each repository once (not per-issue). That’s 3 ingestion runs total. Running 30–50 queries through both pipelines takes roughly 1–2 hours of compute. The bottleneck is setting up the evaluation harness, not running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 Estimate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Ingest 3 repos (both pipelines)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30–45 minutes total</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One-time cost, results are cached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Run 30–50 queries × 2 pipelines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1–2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Bottleneck is LLM inference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LLM-as-Judge scoring</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20–30 minutes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API calls to Gemini Flash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Compute metrics + generate charts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5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Automated script</w:t>
            </w:r>
          </w:p>
        </w:tc>
      </w:tr>
    </w:tbl>
    <w:p>
      <w:r>
        <w:br w:type="page"/>
      </w:r>
    </w:p>
    <w:p>
      <w:pPr>
        <w:pStyle w:val="Heading1"/>
        <w:spacing w:after="200" w:before="360"/>
      </w:pPr>
      <w:r>
        <w:rPr>
          <w:rFonts w:ascii="Arial" w:cs="Arial" w:eastAsia="Arial" w:hAnsi="Arial"/>
        </w:rPr>
        <w:t xml:space="preserve">3. LLM-as-Judge — Why It Works and How to Do It Right</w:t>
      </w:r>
    </w:p>
    <w:p>
      <w:pPr>
        <w:pStyle w:val="Heading2"/>
        <w:spacing w:after="160" w:before="280"/>
      </w:pPr>
      <w:r>
        <w:rPr>
          <w:rFonts w:ascii="Arial" w:cs="Arial" w:eastAsia="Arial" w:hAnsi="Arial"/>
        </w:rPr>
        <w:t xml:space="preserve">3.1 Why LLM-as-Judge is the right choice</w:t>
      </w:r>
    </w:p>
    <w:p>
      <w:pPr>
        <w:spacing w:after="160" w:line="300"/>
      </w:pPr>
      <w:r>
        <w:rPr>
          <w:rFonts w:ascii="Arial" w:cs="Arial" w:eastAsia="Arial" w:hAnsi="Arial"/>
          <w:color w:val="2C3E50"/>
          <w:sz w:val="22"/>
          <w:szCs w:val="22"/>
        </w:rPr>
        <w:t xml:space="preserve">Human evaluation is the gold standard, but it’s impractical for a course project. You would need multiple developers to read 30–60 generated answers, understand the codebase context, compare against the ground truth, and score consistently. That’s days of manual work with a panel of expert reviewers you likely don’t have.</w:t>
      </w:r>
    </w:p>
    <w:p>
      <w:pPr>
        <w:spacing w:after="160" w:line="300"/>
      </w:pPr>
      <w:r>
        <w:rPr>
          <w:rFonts w:ascii="Arial" w:cs="Arial" w:eastAsia="Arial" w:hAnsi="Arial"/>
          <w:color w:val="2C3E50"/>
          <w:sz w:val="22"/>
          <w:szCs w:val="22"/>
        </w:rPr>
        <w:t xml:space="preserve">LLM-as-Judge provides a scalable, reproducible, and reasonably accurate proxy. Research from both Anthropic and OpenAI has shown that strong models correlate well with human judgment on factual accuracy and helpfulness — typically 80–85% agreement with human evaluators. For a course project, this is more than sufficient. It also provides structured, consistent scoring: a human reviewer might be stricter on question 15 than question 3 because of fatigue, but the judge model applies the same rubric every time.</w:t>
      </w:r>
    </w:p>
    <w:p>
      <w:pPr>
        <w:pStyle w:val="Heading2"/>
        <w:spacing w:after="160" w:before="280"/>
      </w:pPr>
      <w:r>
        <w:rPr>
          <w:rFonts w:ascii="Arial" w:cs="Arial" w:eastAsia="Arial" w:hAnsi="Arial"/>
        </w:rPr>
        <w:t xml:space="preserve">3.2 The scoring rubric</w:t>
      </w:r>
    </w:p>
    <w:p>
      <w:pPr>
        <w:spacing w:after="160" w:line="300"/>
      </w:pPr>
      <w:r>
        <w:rPr>
          <w:rFonts w:ascii="Arial" w:cs="Arial" w:eastAsia="Arial" w:hAnsi="Arial"/>
          <w:color w:val="2C3E50"/>
          <w:sz w:val="22"/>
          <w:szCs w:val="22"/>
        </w:rPr>
        <w:t xml:space="preserve">A vague prompt like “rate this answer 1–10” is weak and will produce inconsistent results. You need a specific, concrete rubric that the judge can apply mechanically: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8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Accuracy criteria</w:t>
            </w:r>
          </w:p>
        </w:tc>
      </w:tr>
      <w:tr>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Answer identifies completely wrong files and functions; no relevant code mentioned.</w:t>
            </w:r>
          </w:p>
        </w:tc>
      </w:tr>
      <w:tr>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8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Mentions some relevant code but misses the core issue; partially correct direction.</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2C3E50"/>
                <w:sz w:val="20"/>
                <w:szCs w:val="20"/>
              </w:rPr>
              <w:t xml:space="preserve">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Identifies the right area of the codebase but explanation is incomplete or surface-level.</w:t>
            </w:r>
          </w:p>
        </w:tc>
      </w:tr>
      <w:tr>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2C3E50"/>
                <w:sz w:val="20"/>
                <w:szCs w:val="20"/>
              </w:rPr>
              <w:t xml:space="preserve">4</w:t>
            </w:r>
          </w:p>
        </w:tc>
        <w:tc>
          <w:tcPr>
            <w:tcW w:type="dxa" w:w="8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Correctly identifies the root cause and most relevant files/functions; minor gaps only.</w:t>
            </w:r>
          </w:p>
        </w:tc>
      </w:tr>
      <w:tr>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2C3E50"/>
                <w:sz w:val="20"/>
                <w:szCs w:val="20"/>
              </w:rPr>
              <w:t xml:space="preserve">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Pinpoints the exact files, functions, and logic that need to change; matches ground truth.</w:t>
            </w:r>
          </w:p>
        </w:tc>
      </w:tr>
    </w:tbl>
    <w:p>
      <w:pPr>
        <w:spacing w:after="120"/>
      </w:pPr>
    </w:p>
    <w:p>
      <w:pPr>
        <w:spacing w:after="160" w:line="300"/>
      </w:pPr>
      <w:r>
        <w:rPr>
          <w:rFonts w:ascii="Arial" w:cs="Arial" w:eastAsia="Arial" w:hAnsi="Arial"/>
          <w:color w:val="2C3E50"/>
          <w:sz w:val="22"/>
          <w:szCs w:val="22"/>
        </w:rPr>
        <w:t xml:space="preserve">Apply the same 1–5 scale for Completeness (does it mention all relevant files/functions?) and Helpfulness (would a developer find this useful for fixing the bug?). Three dimensions × 5-point scale = 15 maximum composite score per answer.</w:t>
      </w:r>
    </w:p>
    <w:p>
      <w:pPr>
        <w:pStyle w:val="Heading2"/>
        <w:spacing w:after="160" w:before="280"/>
      </w:pPr>
      <w:r>
        <w:rPr>
          <w:rFonts w:ascii="Arial" w:cs="Arial" w:eastAsia="Arial" w:hAnsi="Arial"/>
        </w:rPr>
        <w:t xml:space="preserve">3.3 Known weaknesses and mitigations</w:t>
      </w:r>
    </w:p>
    <w:p>
      <w:pPr>
        <w:pStyle w:val="Heading3"/>
        <w:spacing w:after="120" w:before="200"/>
      </w:pPr>
      <w:r>
        <w:rPr>
          <w:rFonts w:ascii="Arial" w:cs="Arial" w:eastAsia="Arial" w:hAnsi="Arial"/>
        </w:rPr>
        <w:t xml:space="preserve">3.3.1 Self-bias</w:t>
      </w:r>
    </w:p>
    <w:p>
      <w:pPr>
        <w:spacing w:after="160" w:line="300"/>
      </w:pPr>
      <w:r>
        <w:rPr>
          <w:rFonts w:ascii="Arial" w:cs="Arial" w:eastAsia="Arial" w:hAnsi="Arial"/>
          <w:color w:val="2C3E50"/>
          <w:sz w:val="22"/>
          <w:szCs w:val="22"/>
        </w:rPr>
        <w:t xml:space="preserve">LLMs tend to rate LLM-generated text more favorably than humans would. The mitigation is straightforward: use a different model as judge than the one generating answers. Since you’re generating with Qwen2.5-Coder 7B (open-source, code-specific), use Gemini 2.5 Flash as judge (proprietary, general-purpose). This cross-model, cross-provider setup is widely accepted in the literature.</w:t>
      </w:r>
    </w:p>
    <w:p>
      <w:pPr>
        <w:pStyle w:val="Heading3"/>
        <w:spacing w:after="120" w:before="200"/>
      </w:pPr>
      <w:r>
        <w:rPr>
          <w:rFonts w:ascii="Arial" w:cs="Arial" w:eastAsia="Arial" w:hAnsi="Arial"/>
        </w:rPr>
        <w:t xml:space="preserve">3.3.2 Position bias</w:t>
      </w:r>
    </w:p>
    <w:p>
      <w:pPr>
        <w:spacing w:after="160" w:line="300"/>
      </w:pPr>
      <w:r>
        <w:rPr>
          <w:rFonts w:ascii="Arial" w:cs="Arial" w:eastAsia="Arial" w:hAnsi="Arial"/>
          <w:color w:val="2C3E50"/>
          <w:sz w:val="22"/>
          <w:szCs w:val="22"/>
        </w:rPr>
        <w:t xml:space="preserve">If you show the judge Answer A then Answer B, it sometimes favors whichever it reads second. The fix: run each pairwise comparison twice with the order swapped, and average the scores. This doubles your judge API calls (from ~50 to ~100) but eliminates positional effects.</w:t>
      </w:r>
    </w:p>
    <w:p>
      <w:pPr>
        <w:pStyle w:val="Heading3"/>
        <w:spacing w:after="120" w:before="200"/>
      </w:pPr>
      <w:r>
        <w:rPr>
          <w:rFonts w:ascii="Arial" w:cs="Arial" w:eastAsia="Arial" w:hAnsi="Arial"/>
        </w:rPr>
        <w:t xml:space="preserve">3.3.3 Verbosity bias</w:t>
      </w:r>
    </w:p>
    <w:p>
      <w:pPr>
        <w:spacing w:after="160" w:line="300"/>
      </w:pPr>
      <w:r>
        <w:rPr>
          <w:rFonts w:ascii="Arial" w:cs="Arial" w:eastAsia="Arial" w:hAnsi="Arial"/>
          <w:color w:val="2C3E50"/>
          <w:sz w:val="22"/>
          <w:szCs w:val="22"/>
        </w:rPr>
        <w:t xml:space="preserve">Judges sometimes favor longer answers regardless of quality. Mitigate by including in your prompt: “Length should not influence your scoring. A short, precise answer that identifies the correct root cause should score higher than a long, verbose answer that includes irrelevant information.”</w:t>
      </w:r>
    </w:p>
    <w:p>
      <w:pPr>
        <w:pStyle w:val="Heading2"/>
        <w:spacing w:after="160" w:before="280"/>
      </w:pPr>
      <w:r>
        <w:rPr>
          <w:rFonts w:ascii="Arial" w:cs="Arial" w:eastAsia="Arial" w:hAnsi="Arial"/>
        </w:rPr>
        <w:t xml:space="preserve">3.4 What to tell your professor if challenged</w:t>
      </w:r>
    </w:p>
    <w:p>
      <w:pPr>
        <w:spacing w:after="160" w:line="300"/>
      </w:pPr>
      <w:r>
        <w:rPr>
          <w:rFonts w:ascii="Arial" w:cs="Arial" w:eastAsia="Arial" w:hAnsi="Arial"/>
          <w:color w:val="2C3E50"/>
          <w:sz w:val="22"/>
          <w:szCs w:val="22"/>
        </w:rPr>
        <w:t xml:space="preserve">If your professor questions the validity of LLM-as-Judge, you have several strong responses:</w:t>
      </w:r>
    </w:p>
    <w:p>
      <w:pPr>
        <w:pStyle w:val="ListParagraph"/>
        <w:numPr>
          <w:ilvl w:val="0"/>
          <w:numId w:val="3"/>
        </w:numPr>
        <w:spacing w:after="100"/>
      </w:pPr>
      <w:r>
        <w:rPr>
          <w:rFonts w:ascii="Arial" w:cs="Arial" w:eastAsia="Arial" w:hAnsi="Arial"/>
          <w:color w:val="2C3E50"/>
          <w:sz w:val="22"/>
          <w:szCs w:val="22"/>
        </w:rPr>
        <w:t xml:space="preserve">Acknowledge it’s an approximation — but cite that it correlates 80–85% with human judgment in published research (Zheng et al., 2023, “Judging LLM-as-a-Judge”).</w:t>
      </w:r>
    </w:p>
    <w:p>
      <w:pPr>
        <w:pStyle w:val="ListParagraph"/>
        <w:numPr>
          <w:ilvl w:val="0"/>
          <w:numId w:val="3"/>
        </w:numPr>
        <w:spacing w:after="100"/>
      </w:pPr>
      <w:r>
        <w:rPr>
          <w:rFonts w:ascii="Arial" w:cs="Arial" w:eastAsia="Arial" w:hAnsi="Arial"/>
          <w:color w:val="2C3E50"/>
          <w:sz w:val="22"/>
          <w:szCs w:val="22"/>
        </w:rPr>
        <w:t xml:space="preserve">Explain your cross-model setup to avoid self-bias (Qwen generates, Gemini judges).</w:t>
      </w:r>
    </w:p>
    <w:p>
      <w:pPr>
        <w:pStyle w:val="ListParagraph"/>
        <w:numPr>
          <w:ilvl w:val="0"/>
          <w:numId w:val="3"/>
        </w:numPr>
        <w:spacing w:after="100"/>
      </w:pPr>
      <w:r>
        <w:rPr>
          <w:rFonts w:ascii="Arial" w:cs="Arial" w:eastAsia="Arial" w:hAnsi="Arial"/>
          <w:color w:val="2C3E50"/>
          <w:sz w:val="22"/>
          <w:szCs w:val="22"/>
        </w:rPr>
        <w:t xml:space="preserve">Point out that your retrieval metrics (MRR, Recall@K) are fully objective and don’t rely on any judge — they’re pure set intersection against ground truth.</w:t>
      </w:r>
    </w:p>
    <w:p>
      <w:pPr>
        <w:pStyle w:val="ListParagraph"/>
        <w:numPr>
          <w:ilvl w:val="0"/>
          <w:numId w:val="3"/>
        </w:numPr>
        <w:spacing w:after="100"/>
      </w:pPr>
      <w:r>
        <w:rPr>
          <w:rFonts w:ascii="Arial" w:cs="Arial" w:eastAsia="Arial" w:hAnsi="Arial"/>
          <w:color w:val="2C3E50"/>
          <w:sz w:val="22"/>
          <w:szCs w:val="22"/>
        </w:rPr>
        <w:t xml:space="preserve">Emphasize that LLM-as-Judge only evaluates generation quality (downstream effect). Your core contribution is retrieval improvement, measured with hard numbers.</w:t>
      </w:r>
    </w:p>
    <w:p>
      <w:r>
        <w:br w:type="page"/>
      </w:r>
    </w:p>
    <w:p>
      <w:pPr>
        <w:pStyle w:val="Heading1"/>
        <w:spacing w:after="200" w:before="360"/>
      </w:pPr>
      <w:r>
        <w:rPr>
          <w:rFonts w:ascii="Arial" w:cs="Arial" w:eastAsia="Arial" w:hAnsi="Arial"/>
        </w:rPr>
        <w:t xml:space="preserve">4. Model Selection — Which LLM to Use and Why</w:t>
      </w:r>
    </w:p>
    <w:p>
      <w:pPr>
        <w:pStyle w:val="Heading2"/>
        <w:spacing w:after="160" w:before="280"/>
      </w:pPr>
      <w:r>
        <w:rPr>
          <w:rFonts w:ascii="Arial" w:cs="Arial" w:eastAsia="Arial" w:hAnsi="Arial"/>
        </w:rPr>
        <w:t xml:space="preserve">4.1 Two separate jobs, two separate models</w:t>
      </w:r>
    </w:p>
    <w:p>
      <w:pPr>
        <w:spacing w:after="160" w:line="300"/>
      </w:pPr>
      <w:r>
        <w:rPr>
          <w:rFonts w:ascii="Arial" w:cs="Arial" w:eastAsia="Arial" w:hAnsi="Arial"/>
          <w:color w:val="2C3E50"/>
          <w:sz w:val="22"/>
          <w:szCs w:val="22"/>
        </w:rPr>
        <w:t xml:space="preserve">Your project requires an LLM for two distinct roles that should use different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Recommended Model</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234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color w:val="2C3E50"/>
                <w:sz w:val="20"/>
                <w:szCs w:val="20"/>
              </w:rPr>
              <w:t xml:space="preserve">Answer Generation</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Qwen2.5-Coder 7B (via Ollama)</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Open-source, code-specialized, free to run, reproducible</w:t>
            </w:r>
          </w:p>
        </w:tc>
      </w:tr>
      <w:tr>
        <w:tc>
          <w:tcPr>
            <w:tcW w:type="dxa" w:w="234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color w:val="2C3E50"/>
                <w:sz w:val="20"/>
                <w:szCs w:val="20"/>
              </w:rPr>
              <w:t xml:space="preserve">LLM-as-Judge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Gemini 2.5 Flash (via Google 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Strong general model, different provider avoids self-bias, generous free tier</w:t>
            </w:r>
          </w:p>
        </w:tc>
      </w:tr>
    </w:tbl>
    <w:p>
      <w:pPr>
        <w:pStyle w:val="Heading2"/>
        <w:spacing w:after="160" w:before="280"/>
      </w:pPr>
      <w:r>
        <w:rPr>
          <w:rFonts w:ascii="Arial" w:cs="Arial" w:eastAsia="Arial" w:hAnsi="Arial"/>
        </w:rPr>
        <w:t xml:space="preserve">4.2 Why Qwen2.5-Coder 7B for generation</w:t>
      </w:r>
    </w:p>
    <w:p>
      <w:pPr>
        <w:pStyle w:val="Heading3"/>
        <w:spacing w:after="120" w:before="200"/>
      </w:pPr>
      <w:r>
        <w:rPr>
          <w:rFonts w:ascii="Arial" w:cs="Arial" w:eastAsia="Arial" w:hAnsi="Arial"/>
        </w:rPr>
        <w:t xml:space="preserve">4.2.1 It’s code-specialized</w:t>
      </w:r>
    </w:p>
    <w:p>
      <w:pPr>
        <w:spacing w:after="160" w:line="300"/>
      </w:pPr>
      <w:r>
        <w:rPr>
          <w:rFonts w:ascii="Arial" w:cs="Arial" w:eastAsia="Arial" w:hAnsi="Arial"/>
          <w:color w:val="2C3E50"/>
          <w:sz w:val="22"/>
          <w:szCs w:val="22"/>
        </w:rPr>
        <w:t xml:space="preserve">Qwen2.5-Coder is specifically trained on code understanding, function signatures, debugging patterns, and code generation. A general-purpose model of the same size would perform measurably worse on code-specific tasks. For your project, where the LLM needs to reason about retrieved code context, a code-specialized model is the natural fit.</w:t>
      </w:r>
    </w:p>
    <w:p>
      <w:pPr>
        <w:pStyle w:val="Heading3"/>
        <w:spacing w:after="120" w:before="200"/>
      </w:pPr>
      <w:r>
        <w:rPr>
          <w:rFonts w:ascii="Arial" w:cs="Arial" w:eastAsia="Arial" w:hAnsi="Arial"/>
        </w:rPr>
        <w:t xml:space="preserve">4.2.2 It’s free and local</w:t>
      </w:r>
    </w:p>
    <w:p>
      <w:pPr>
        <w:spacing w:after="160" w:line="300"/>
      </w:pPr>
      <w:r>
        <w:rPr>
          <w:rFonts w:ascii="Arial" w:cs="Arial" w:eastAsia="Arial" w:hAnsi="Arial"/>
          <w:color w:val="2C3E50"/>
          <w:sz w:val="22"/>
          <w:szCs w:val="22"/>
        </w:rPr>
        <w:t xml:space="preserve">Running Qwen2.5-Coder 7B through Ollama means zero API costs. With 30–50 queries across two pipelines, that’s 60–100 LLM inference calls. With Claude or GPT-4, that could cost $10–30+. With Ollama, it’s free. For a course project with a limited budget, this matters.</w:t>
      </w:r>
    </w:p>
    <w:p>
      <w:pPr>
        <w:pStyle w:val="Heading3"/>
        <w:spacing w:after="120" w:before="200"/>
      </w:pPr>
      <w:r>
        <w:rPr>
          <w:rFonts w:ascii="Arial" w:cs="Arial" w:eastAsia="Arial" w:hAnsi="Arial"/>
        </w:rPr>
        <w:t xml:space="preserve">4.2.3 It makes your results more convincing</w:t>
      </w:r>
    </w:p>
    <w:p>
      <w:pPr>
        <w:spacing w:after="160" w:line="300"/>
      </w:pPr>
      <w:r>
        <w:rPr>
          <w:rFonts w:ascii="Arial" w:cs="Arial" w:eastAsia="Arial" w:hAnsi="Arial"/>
          <w:color w:val="2C3E50"/>
          <w:sz w:val="22"/>
          <w:szCs w:val="22"/>
        </w:rPr>
        <w:t xml:space="preserve">This is a strategic argument that will impress your professor. A smaller model is more dependent on the quality of retrieved context. If a 70B model receives poor context, it can often compensate with its own vast training knowledge. A 7B model cannot — it genuinely needs good retrieval to produce good answers. So if GraphCodeRAG improves a 7B model’s accuracy by 20%, that’s strong evidence that the retrieval improvement is real and not masked by model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6EAF8" w:val="clear"/>
            <w:tcMar>
              <w:top w:type="dxa" w:w="120"/>
              <w:left w:type="dxa" w:w="200"/>
              <w:bottom w:type="dxa" w:w="120"/>
              <w:right w:type="dxa" w:w="200"/>
            </w:tcMar>
          </w:tcPr>
          <w:p>
            <w:r>
              <w:rPr>
                <w:rFonts w:ascii="Arial" w:cs="Arial" w:eastAsia="Arial" w:hAnsi="Arial"/>
                <w:color w:val="2C3E50"/>
                <w:sz w:val="22"/>
                <w:szCs w:val="22"/>
              </w:rPr>
              <w:t xml:space="preserve">Presentation angle: “We deliberately chose a smaller, open-source code model to demonstrate that our retrieval improvement helps even modest LLMs produce better answers. If GraphCodeRAG improves a 7B model’s accuracy by 20%, imagine the impact on larger models.”</w:t>
            </w:r>
          </w:p>
        </w:tc>
      </w:tr>
    </w:tbl>
    <w:p>
      <w:pPr>
        <w:pStyle w:val="Heading3"/>
        <w:spacing w:after="120" w:before="200"/>
      </w:pPr>
      <w:r>
        <w:rPr>
          <w:rFonts w:ascii="Arial" w:cs="Arial" w:eastAsia="Arial" w:hAnsi="Arial"/>
        </w:rPr>
        <w:t xml:space="preserve">4.2.4 It’s reproducible</w:t>
      </w:r>
    </w:p>
    <w:p>
      <w:pPr>
        <w:spacing w:after="160" w:line="300"/>
      </w:pPr>
      <w:r>
        <w:rPr>
          <w:rFonts w:ascii="Arial" w:cs="Arial" w:eastAsia="Arial" w:hAnsi="Arial"/>
          <w:color w:val="2C3E50"/>
          <w:sz w:val="22"/>
          <w:szCs w:val="22"/>
        </w:rPr>
        <w:t xml:space="preserve">Anyone can download Ollama, pull the Qwen2.5-Coder model, and replicate your results without needing API keys or paid accounts. This is a significant advantage for academic work. Proprietary API models can change behavior between versions without notice, making reproduction difficult.</w:t>
      </w:r>
    </w:p>
    <w:p>
      <w:pPr>
        <w:pStyle w:val="Heading2"/>
        <w:spacing w:after="160" w:before="280"/>
      </w:pPr>
      <w:r>
        <w:rPr>
          <w:rFonts w:ascii="Arial" w:cs="Arial" w:eastAsia="Arial" w:hAnsi="Arial"/>
        </w:rPr>
        <w:t xml:space="preserve">4.3 Why Gemini 2.5 Flash as judge</w:t>
      </w:r>
    </w:p>
    <w:p>
      <w:pPr>
        <w:pStyle w:val="ListParagraph"/>
        <w:numPr>
          <w:ilvl w:val="0"/>
          <w:numId w:val="2"/>
        </w:numPr>
        <w:spacing w:after="100"/>
      </w:pPr>
      <w:r>
        <w:rPr>
          <w:rFonts w:ascii="Arial" w:cs="Arial" w:eastAsia="Arial" w:hAnsi="Arial"/>
          <w:color w:val="2C3E50"/>
          <w:sz w:val="22"/>
          <w:szCs w:val="22"/>
        </w:rPr>
        <w:t xml:space="preserve">Strong reasoning capabilities for evaluating answer quality against ground truth.</w:t>
      </w:r>
    </w:p>
    <w:p>
      <w:pPr>
        <w:pStyle w:val="ListParagraph"/>
        <w:numPr>
          <w:ilvl w:val="0"/>
          <w:numId w:val="2"/>
        </w:numPr>
        <w:spacing w:after="100"/>
      </w:pPr>
      <w:r>
        <w:rPr>
          <w:rFonts w:ascii="Arial" w:cs="Arial" w:eastAsia="Arial" w:hAnsi="Arial"/>
          <w:color w:val="2C3E50"/>
          <w:sz w:val="22"/>
          <w:szCs w:val="22"/>
        </w:rPr>
        <w:t xml:space="preserve">Different provider and model family from Qwen — eliminates self-bias completely.</w:t>
      </w:r>
    </w:p>
    <w:p>
      <w:pPr>
        <w:pStyle w:val="ListParagraph"/>
        <w:numPr>
          <w:ilvl w:val="0"/>
          <w:numId w:val="2"/>
        </w:numPr>
        <w:spacing w:after="100"/>
      </w:pPr>
      <w:r>
        <w:rPr>
          <w:rFonts w:ascii="Arial" w:cs="Arial" w:eastAsia="Arial" w:hAnsi="Arial"/>
          <w:color w:val="2C3E50"/>
          <w:sz w:val="22"/>
          <w:szCs w:val="22"/>
        </w:rPr>
        <w:t xml:space="preserve">Google provides generous free API credits (sufficient for 100–200 judge calls).</w:t>
      </w:r>
    </w:p>
    <w:p>
      <w:pPr>
        <w:pStyle w:val="ListParagraph"/>
        <w:numPr>
          <w:ilvl w:val="0"/>
          <w:numId w:val="2"/>
        </w:numPr>
        <w:spacing w:after="100"/>
      </w:pPr>
      <w:r>
        <w:rPr>
          <w:rFonts w:ascii="Arial" w:cs="Arial" w:eastAsia="Arial" w:hAnsi="Arial"/>
          <w:color w:val="2C3E50"/>
          <w:sz w:val="22"/>
          <w:szCs w:val="22"/>
        </w:rPr>
        <w:t xml:space="preserve">Fast inference speed — judging 60 answers takes under 30 minutes.</w:t>
      </w:r>
    </w:p>
    <w:p>
      <w:pPr>
        <w:pStyle w:val="Heading2"/>
        <w:spacing w:after="160" w:before="280"/>
      </w:pPr>
      <w:r>
        <w:rPr>
          <w:rFonts w:ascii="Arial" w:cs="Arial" w:eastAsia="Arial" w:hAnsi="Arial"/>
        </w:rPr>
        <w:t xml:space="preserve">4.4 Why not the other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not for this project</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Claude 3.7 Sonnet</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Excellent code understanding, strong reasoning</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API-only, costs money per call, too powerful (may mask retrieval differences)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GPT-4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Industry standard, well-studied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Expensive ($30–60/M tokens), API-only, same masking concern</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Gemini 2.5 Pro</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Strong general model, good pricing</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General-purpose, not code-specialized; better suited as judge than generator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Gemma 4 (8B)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Open-source, good quality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General-purpose; Qwen2.5-Coder outperforms on code tasks at similar size</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Llama 3 (8B)</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Popular, well-supported</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General-purpose; no code specialization advantage over Qwen</w:t>
            </w:r>
          </w:p>
        </w:tc>
      </w:tr>
    </w:tbl>
    <w:p>
      <w:pPr>
        <w:pStyle w:val="Heading2"/>
        <w:spacing w:after="160" w:before="280"/>
      </w:pPr>
      <w:r>
        <w:rPr>
          <w:rFonts w:ascii="Arial" w:cs="Arial" w:eastAsia="Arial" w:hAnsi="Arial"/>
        </w:rPr>
        <w:t xml:space="preserve">4.5 Practical setup instructions</w:t>
      </w:r>
    </w:p>
    <w:p>
      <w:pPr>
        <w:pStyle w:val="Heading3"/>
        <w:spacing w:after="120" w:before="200"/>
      </w:pPr>
      <w:r>
        <w:rPr>
          <w:rFonts w:ascii="Arial" w:cs="Arial" w:eastAsia="Arial" w:hAnsi="Arial"/>
        </w:rPr>
        <w:t xml:space="preserve">4.5.1 Setting up Qwen2.5-Coder via Ollama</w:t>
      </w:r>
    </w:p>
    <w:p>
      <w:pPr>
        <w:spacing w:after="160" w:line="300"/>
      </w:pPr>
      <w:r>
        <w:rPr>
          <w:rFonts w:ascii="Arial" w:cs="Arial" w:eastAsia="Arial" w:hAnsi="Arial"/>
          <w:color w:val="2C3E50"/>
          <w:sz w:val="22"/>
          <w:szCs w:val="22"/>
        </w:rPr>
        <w:t xml:space="preserve">Ollama makes running local models trivial. Install Ollama from ollama.com, then run a single command to download and start the model:</w:t>
      </w:r>
    </w:p>
    <w:p>
      <w:pPr>
        <w:spacing w:after="160" w:line="300"/>
      </w:pPr>
      <w:r>
        <w:rPr>
          <w:rFonts w:ascii="Arial" w:cs="Arial" w:eastAsia="Arial" w:hAnsi="Arial"/>
          <w:color w:val="2C3E50"/>
          <w:sz w:val="22"/>
          <w:szCs w:val="22"/>
        </w:rPr>
        <w:t xml:space="preserve">Terminal command: ollama pull qwen2.5-coder:7b</w:t>
      </w:r>
    </w:p>
    <w:p>
      <w:pPr>
        <w:spacing w:after="160" w:line="300"/>
      </w:pPr>
      <w:r>
        <w:rPr>
          <w:rFonts w:ascii="Arial" w:cs="Arial" w:eastAsia="Arial" w:hAnsi="Arial"/>
          <w:color w:val="2C3E50"/>
          <w:sz w:val="22"/>
          <w:szCs w:val="22"/>
        </w:rPr>
        <w:t xml:space="preserve">Once pulled, the model runs as a local API server on port 11434. LangChain and LlamaIndex both have built-in Ollama integrations, so connecting it to your pipeline requires minimal code. The model needs approximately 5–6 GB of RAM and runs well on any modern laptop with 16 GB total RAM.</w:t>
      </w:r>
    </w:p>
    <w:p>
      <w:pPr>
        <w:pStyle w:val="Heading3"/>
        <w:spacing w:after="120" w:before="200"/>
      </w:pPr>
      <w:r>
        <w:rPr>
          <w:rFonts w:ascii="Arial" w:cs="Arial" w:eastAsia="Arial" w:hAnsi="Arial"/>
        </w:rPr>
        <w:t xml:space="preserve">4.5.2 Setting up Gemini Flash for judging</w:t>
      </w:r>
    </w:p>
    <w:p>
      <w:pPr>
        <w:spacing w:after="160" w:line="300"/>
      </w:pPr>
      <w:r>
        <w:rPr>
          <w:rFonts w:ascii="Arial" w:cs="Arial" w:eastAsia="Arial" w:hAnsi="Arial"/>
          <w:color w:val="2C3E50"/>
          <w:sz w:val="22"/>
          <w:szCs w:val="22"/>
        </w:rPr>
        <w:t xml:space="preserve">Create a Google AI Studio account at aistudio.google.com, generate a free API key, and use the google-generativeai Python package. The free tier provides sufficient quota for 100–200 evaluation calls. Set the model to gemini-2.5-flash in your judge script.</w:t>
      </w:r>
    </w:p>
    <w:p>
      <w:r>
        <w:br w:type="page"/>
      </w:r>
    </w:p>
    <w:p>
      <w:pPr>
        <w:pStyle w:val="Heading1"/>
        <w:spacing w:after="200" w:before="360"/>
      </w:pPr>
      <w:r>
        <w:rPr>
          <w:rFonts w:ascii="Arial" w:cs="Arial" w:eastAsia="Arial" w:hAnsi="Arial"/>
        </w:rPr>
        <w:t xml:space="preserve">5. Summary — The Complete Evaluation Setup</w:t>
      </w:r>
    </w:p>
    <w:p>
      <w:pPr>
        <w:spacing w:after="160" w:line="300"/>
      </w:pPr>
      <w:r>
        <w:rPr>
          <w:rFonts w:ascii="Arial" w:cs="Arial" w:eastAsia="Arial" w:hAnsi="Arial"/>
          <w:color w:val="2C3E50"/>
          <w:sz w:val="22"/>
          <w:szCs w:val="22"/>
        </w:rPr>
        <w:t xml:space="preserve">Here is the complete, end-to-end evaluation setup for GraphCodeRAG: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Choice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Dataset</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SWE-bench Lite — 30–50 hand-picked issues across 3 repos (small, medium, large)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Issue selection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Multi-file fixes (2–4 files touched), clear bug descriptions, import/call chain dependencies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Baseline</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Standard RAG: recursive character chunking (512 tokens) + vector-only 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Proposed 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GraphCodeRAG: AST chunking + hybrid vector/graph retrieval</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Controlled variables</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Same embedding model, same vector store, same LLM, same prompt template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Retrieval metrics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MRR and Recall@K (K=5, 10, 20) — fully objective, computed from ground truth PR diffs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Generation metrics</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LLM-as-Judge (Gemini 2.5 Flash) scoring accuracy/completeness/helpfulness (1–5 scale) + pairwise preference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Generator 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Qwen2.5-Coder 7B via Ollama — free, code-specialized, reproducible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Judge model</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Gemini 2.5 Flash via Google API — different provider, avoids self-bias, free tier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Total compute 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~2–3 hours end-to-end (ingestion + queries + judging + metrics)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D6EAF8" w:val="clear"/>
            <w:tcMar>
              <w:top w:type="dxa" w:w="120"/>
              <w:left w:type="dxa" w:w="200"/>
              <w:bottom w:type="dxa" w:w="120"/>
              <w:right w:type="dxa" w:w="200"/>
            </w:tcMar>
          </w:tcPr>
          <w:p>
            <w:r>
              <w:rPr>
                <w:rFonts w:ascii="Arial" w:cs="Arial" w:eastAsia="Arial" w:hAnsi="Arial"/>
                <w:color w:val="2C3E50"/>
                <w:sz w:val="22"/>
                <w:szCs w:val="22"/>
              </w:rPr>
              <w:t xml:space="preserve">This setup is clean, defensible, reproducible, and achievable within a course project timeline. The retrieval metrics provide objective proof of improvement, the LLM-as-Judge provides generation quality evidence, and the controlled A/B design makes the results scientifically credible.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999999"/>
        <w:sz w:val="18"/>
        <w:szCs w:val="18"/>
      </w:rPr>
      <w:t xml:space="preserve">GraphCodeRAG — Evaluation Strategy &amp;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2026-04-19T23:32:07.967Z</dcterms:created>
  <dcterms:modified xsi:type="dcterms:W3CDTF">2026-04-19T23:32:07.968Z</dcterms:modified>
</cp:coreProperties>
</file>

<file path=docProps/custom.xml><?xml version="1.0" encoding="utf-8"?>
<Properties xmlns="http://schemas.openxmlformats.org/officeDocument/2006/custom-properties" xmlns:vt="http://schemas.openxmlformats.org/officeDocument/2006/docPropsVTypes"/>
</file>