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288" w:lineRule="auto" w:after="80" w:before="0"/>
        <w:jc w:val="center"/>
      </w:pPr>
      <w:r>
        <w:rPr>
          <w:rFonts w:ascii="Times New Roman" w:hAnsi="Times New Roman"/>
          <w:b/>
          <w:sz w:val="36"/>
        </w:rPr>
        <w:t>CAPSTONE PROJECT REPORT</w:t>
      </w:r>
    </w:p>
    <w:p>
      <w:pPr>
        <w:spacing w:line="288" w:lineRule="auto" w:after="80" w:before="0"/>
        <w:jc w:val="center"/>
      </w:pPr>
      <w:r>
        <w:rPr>
          <w:rFonts w:ascii="Times New Roman" w:hAnsi="Times New Roman"/>
          <w:b w:val="0"/>
          <w:sz w:val="24"/>
        </w:rPr>
        <w:t>(Project Term January-May 2026)</w:t>
      </w:r>
    </w:p>
    <w:p/>
    <w:p/>
    <w:p>
      <w:pPr>
        <w:spacing w:line="288" w:lineRule="auto" w:after="80" w:before="0"/>
        <w:jc w:val="center"/>
      </w:pPr>
      <w:r>
        <w:rPr>
          <w:rFonts w:ascii="Times New Roman" w:hAnsi="Times New Roman"/>
          <w:b/>
          <w:sz w:val="32"/>
        </w:rPr>
        <w:t>SCROPIDS</w:t>
      </w:r>
    </w:p>
    <w:p>
      <w:pPr>
        <w:spacing w:line="288" w:lineRule="auto" w:after="80" w:before="0"/>
        <w:jc w:val="center"/>
      </w:pPr>
      <w:r>
        <w:rPr>
          <w:rFonts w:ascii="Times New Roman" w:hAnsi="Times New Roman"/>
          <w:b w:val="0"/>
          <w:sz w:val="26"/>
        </w:rPr>
        <w:t>Multi-Tenant Cloud-Native Intrusion Detection Platform with Scheduler-Driven Aggregation and LLM-Assisted Threat Triage</w:t>
      </w:r>
    </w:p>
    <w:p/>
    <w:p/>
    <w:p>
      <w:pPr>
        <w:spacing w:line="288" w:lineRule="auto" w:after="80" w:before="0"/>
        <w:jc w:val="center"/>
      </w:pPr>
      <w:r>
        <w:rPr>
          <w:rFonts w:ascii="Times New Roman" w:hAnsi="Times New Roman"/>
          <w:b/>
          <w:sz w:val="24"/>
        </w:rPr>
        <w:t>Submitted by</w:t>
      </w:r>
    </w:p>
    <w:p/>
    <w:p>
      <w:pPr>
        <w:spacing w:line="288" w:lineRule="auto" w:after="80" w:before="0"/>
        <w:jc w:val="center"/>
      </w:pPr>
      <w:r>
        <w:rPr>
          <w:rFonts w:ascii="Times New Roman" w:hAnsi="Times New Roman"/>
          <w:b w:val="0"/>
          <w:sz w:val="24"/>
        </w:rPr>
        <w:t>[Student Name 1]    Registration Number: [Registration Number 1]</w:t>
      </w:r>
    </w:p>
    <w:p>
      <w:pPr>
        <w:spacing w:line="288" w:lineRule="auto" w:after="80" w:before="0"/>
        <w:jc w:val="center"/>
      </w:pPr>
      <w:r>
        <w:rPr>
          <w:rFonts w:ascii="Times New Roman" w:hAnsi="Times New Roman"/>
          <w:b w:val="0"/>
          <w:sz w:val="24"/>
        </w:rPr>
        <w:t>[Student Name 2]    Registration Number: [Registration Number 2]</w:t>
      </w:r>
    </w:p>
    <w:p>
      <w:pPr>
        <w:spacing w:line="288" w:lineRule="auto" w:after="80" w:before="0"/>
        <w:jc w:val="center"/>
      </w:pPr>
      <w:r>
        <w:rPr>
          <w:rFonts w:ascii="Times New Roman" w:hAnsi="Times New Roman"/>
          <w:b w:val="0"/>
          <w:sz w:val="24"/>
        </w:rPr>
        <w:t>[Student Name 3]    Registration Number: [Registration Number 3]</w:t>
      </w:r>
    </w:p>
    <w:p/>
    <w:p/>
    <w:p>
      <w:pPr>
        <w:spacing w:line="288" w:lineRule="auto" w:after="80" w:before="0"/>
        <w:jc w:val="center"/>
      </w:pPr>
      <w:r>
        <w:rPr>
          <w:rFonts w:ascii="Times New Roman" w:hAnsi="Times New Roman"/>
          <w:b w:val="0"/>
          <w:sz w:val="24"/>
        </w:rPr>
        <w:t>Project Group Number: [Project Group Number]</w:t>
      </w:r>
    </w:p>
    <w:p>
      <w:pPr>
        <w:spacing w:line="288" w:lineRule="auto" w:after="80" w:before="0"/>
        <w:jc w:val="center"/>
      </w:pPr>
      <w:r>
        <w:rPr>
          <w:rFonts w:ascii="Times New Roman" w:hAnsi="Times New Roman"/>
          <w:b w:val="0"/>
          <w:sz w:val="24"/>
        </w:rPr>
        <w:t>Course Code: CSE439</w:t>
      </w:r>
    </w:p>
    <w:p/>
    <w:p/>
    <w:p>
      <w:pPr>
        <w:spacing w:line="288" w:lineRule="auto" w:after="80" w:before="0"/>
        <w:jc w:val="center"/>
      </w:pPr>
      <w:r>
        <w:rPr>
          <w:rFonts w:ascii="Times New Roman" w:hAnsi="Times New Roman"/>
          <w:b/>
          <w:sz w:val="24"/>
        </w:rPr>
        <w:t>Under the Guidance of</w:t>
      </w:r>
    </w:p>
    <w:p>
      <w:pPr>
        <w:spacing w:line="288" w:lineRule="auto" w:after="80" w:before="0"/>
        <w:jc w:val="center"/>
      </w:pPr>
      <w:r>
        <w:rPr>
          <w:rFonts w:ascii="Times New Roman" w:hAnsi="Times New Roman"/>
          <w:b w:val="0"/>
          <w:sz w:val="24"/>
        </w:rPr>
        <w:t>[Mentor Name]</w:t>
      </w:r>
    </w:p>
    <w:p>
      <w:pPr>
        <w:spacing w:line="288" w:lineRule="auto" w:after="80" w:before="0"/>
        <w:jc w:val="center"/>
      </w:pPr>
      <w:r>
        <w:rPr>
          <w:rFonts w:ascii="Times New Roman" w:hAnsi="Times New Roman"/>
          <w:b w:val="0"/>
          <w:sz w:val="24"/>
        </w:rPr>
        <w:t>School of Computer Science and Engineering</w:t>
      </w:r>
    </w:p>
    <w:p>
      <w:pPr>
        <w:spacing w:line="288" w:lineRule="auto" w:after="80" w:before="0"/>
        <w:jc w:val="center"/>
      </w:pPr>
      <w:r>
        <w:rPr>
          <w:rFonts w:ascii="Times New Roman" w:hAnsi="Times New Roman"/>
          <w:b w:val="0"/>
          <w:sz w:val="24"/>
        </w:rPr>
        <w:t>Lovely Professional University, Punjab</w:t>
      </w:r>
    </w:p>
    <w:p>
      <w:pPr>
        <w:spacing w:line="288" w:lineRule="auto" w:after="80" w:before="0"/>
        <w:jc w:val="center"/>
      </w:pPr>
      <w:r>
        <w:rPr>
          <w:rFonts w:ascii="Times New Roman" w:hAnsi="Times New Roman"/>
          <w:b w:val="0"/>
          <w:sz w:val="24"/>
        </w:rPr>
        <w:t>Academic Year: 2025-2026</w:t>
      </w:r>
    </w:p>
    <w:p>
      <w:r>
        <w:br w:type="page"/>
      </w:r>
    </w:p>
    <w:p>
      <w:pPr>
        <w:pStyle w:val="Heading1"/>
        <w:spacing w:line="288" w:lineRule="auto" w:after="80" w:before="160"/>
        <w:jc w:val="left"/>
      </w:pPr>
      <w:r>
        <w:t>PAC Form</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Department Form Placeholder</w:t>
              <w:br/>
            </w:r>
            <w:r>
              <w:rPr>
                <w:rFonts w:ascii="Times New Roman" w:hAnsi="Times New Roman"/>
                <w:sz w:val="22"/>
              </w:rPr>
              <w:t>Insert the signed PAC form or evaluation sheet issued by the department before final submission.</w:t>
            </w:r>
          </w:p>
        </w:tc>
      </w:tr>
    </w:tbl>
    <w:p>
      <w:r>
        <w:br w:type="page"/>
      </w:r>
    </w:p>
    <w:p>
      <w:pPr>
        <w:pStyle w:val="Heading1"/>
        <w:spacing w:line="288" w:lineRule="auto" w:after="80" w:before="160"/>
        <w:jc w:val="left"/>
      </w:pPr>
      <w:r>
        <w:t>DECLARATION</w:t>
      </w:r>
    </w:p>
    <w:p>
      <w:pPr>
        <w:spacing w:line="360" w:lineRule="auto" w:after="120" w:before="0"/>
        <w:jc w:val="both"/>
      </w:pPr>
      <w:r>
        <w:t>We hereby declare that the project work entitled 'ScropIDS - Multi-Tenant Cloud-Native Intrusion Detection Platform with Scheduler-Driven Aggregation and LLM-Assisted Threat Triage' is an authentic record of our own work carried out as a requirement of the Capstone Project for the award of B.Tech degree in Computer Science / Data Science under the guidance of the project mentor named on the title page. All information furnished in this report is based on our own study, design, implementation, and testing. No part of this work has been submitted elsewhere for any other degree or diploma.</w:t>
      </w:r>
    </w:p>
    <w:p>
      <w:pPr>
        <w:spacing w:line="360" w:lineRule="auto" w:after="120" w:before="0"/>
        <w:jc w:val="both"/>
      </w:pPr>
      <w:r>
        <w:t>Student signatures and dates may be added below before final submission.</w:t>
      </w:r>
    </w:p>
    <w:p>
      <w:r>
        <w:t>[Student Name 1]: ____________________    Date: ____________________</w:t>
      </w:r>
    </w:p>
    <w:p>
      <w:r>
        <w:t>[Student Name 2]: ____________________    Date: ____________________</w:t>
      </w:r>
    </w:p>
    <w:p>
      <w:r>
        <w:t>[Student Name 3]: ____________________    Date: ____________________</w:t>
      </w:r>
    </w:p>
    <w:p>
      <w:r>
        <w:br w:type="page"/>
      </w:r>
    </w:p>
    <w:p>
      <w:pPr>
        <w:pStyle w:val="Heading1"/>
        <w:spacing w:line="288" w:lineRule="auto" w:after="80" w:before="160"/>
        <w:jc w:val="left"/>
      </w:pPr>
      <w:r>
        <w:t>CERTIFICATE</w:t>
      </w:r>
    </w:p>
    <w:p>
      <w:pPr>
        <w:spacing w:line="360" w:lineRule="auto" w:after="120" w:before="0"/>
        <w:jc w:val="both"/>
      </w:pPr>
      <w:r>
        <w:t>This is to certify that the declaration statement made by the students for the project 'ScropIDS - Multi-Tenant Cloud-Native Intrusion Detection Platform with Scheduler-Driven Aggregation and LLM-Assisted Threat Triage' is correct to the best of my knowledge and belief. The work has been completed under my guidance and supervision. The present report reflects the students' original investigation, implementation effort, and analysis, and is fit for submission towards the capstone project requirement.</w:t>
      </w:r>
    </w:p>
    <w:p>
      <w:pPr>
        <w:spacing w:line="360" w:lineRule="auto" w:after="120" w:before="0"/>
        <w:jc w:val="both"/>
      </w:pPr>
      <w:r>
        <w:t>Signature and Name of the Mentor: [Mentor Name]</w:t>
        <w:br/>
        <w:t>Designation: [Designation]</w:t>
        <w:br/>
        <w:t>School of Computer Science and Engineering</w:t>
        <w:br/>
        <w:t>Lovely Professional University, Punjab</w:t>
        <w:br/>
        <w:t>Date: ____________________</w:t>
      </w:r>
    </w:p>
    <w:p>
      <w:r>
        <w:br w:type="page"/>
      </w:r>
    </w:p>
    <w:p>
      <w:pPr>
        <w:pStyle w:val="Heading1"/>
        <w:spacing w:line="288" w:lineRule="auto" w:after="80" w:before="160"/>
        <w:jc w:val="left"/>
      </w:pPr>
      <w:r>
        <w:t>ACKNOWLEDGEMENT</w:t>
      </w:r>
    </w:p>
    <w:p>
      <w:pPr>
        <w:spacing w:line="360" w:lineRule="auto" w:after="120" w:before="0"/>
        <w:jc w:val="both"/>
      </w:pPr>
      <w:r>
        <w:t>The successful completion of this project would not have been possible without the guidance, support, and encouragement of many people. We express our sincere gratitude to our project mentor for continuous feedback, technical direction, and academic support throughout the capstone cycle.</w:t>
      </w:r>
    </w:p>
    <w:p>
      <w:pPr>
        <w:spacing w:line="360" w:lineRule="auto" w:after="120" w:before="0"/>
        <w:jc w:val="both"/>
      </w:pPr>
      <w:r>
        <w:t>We also acknowledge the broader open-source communities behind Django, Django REST Framework, React, Vite, Tailwind CSS, PostgreSQL, Redis, Celery, Go, and Docker. Their documentation and tooling enabled rapid prototyping, repeatable deployment, and a strong engineering foundation for the project.</w:t>
      </w:r>
    </w:p>
    <w:p>
      <w:pPr>
        <w:spacing w:line="360" w:lineRule="auto" w:after="120" w:before="0"/>
        <w:jc w:val="both"/>
      </w:pPr>
      <w:r>
        <w:t>Finally, we thank our classmates, peers, and family members for their encouragement during the design, implementation, testing, and documentation stages of this project.</w:t>
      </w:r>
    </w:p>
    <w:p>
      <w:r>
        <w:br w:type="page"/>
      </w:r>
    </w:p>
    <w:p>
      <w:pPr>
        <w:pStyle w:val="Heading1"/>
        <w:spacing w:line="288" w:lineRule="auto" w:after="80" w:before="160"/>
        <w:jc w:val="left"/>
      </w:pPr>
      <w:r>
        <w:t>TABLE OF CONTENTS</w:t>
      </w:r>
    </w:p>
    <w:p>
      <w:pPr>
        <w:jc w:val="left"/>
      </w:pPr>
      <w:r>
        <w:fldChar w:fldCharType="begin"/>
        <w:instrText xml:space="preserve">TOC \o "1-3" \h \z \u</w:instrText>
        <w:fldChar w:fldCharType="separate">
          <w:t>Right-click and update the table of contents in Word if it does not refresh automatically.</w:t>
        </w:fldChar>
        <w:fldChar w:fldCharType="end"/>
      </w:r>
    </w:p>
    <w:p>
      <w:r>
        <w:br w:type="page"/>
      </w:r>
    </w:p>
    <w:p>
      <w:pPr>
        <w:pStyle w:val="Heading1"/>
        <w:spacing w:line="288" w:lineRule="auto" w:after="80" w:before="160"/>
        <w:jc w:val="left"/>
      </w:pPr>
      <w:r>
        <w:t>2. PROFILE OF THE PROBLEM, RATIONALE &amp; SCOPE OF THE STUDY</w:t>
      </w:r>
    </w:p>
    <w:p>
      <w:pPr>
        <w:pStyle w:val="Heading2"/>
        <w:spacing w:line="288" w:lineRule="auto" w:after="80" w:before="80"/>
        <w:jc w:val="left"/>
      </w:pPr>
      <w:r>
        <w:t>2.1 Profile of the Problem</w:t>
      </w:r>
    </w:p>
    <w:p>
      <w:pPr>
        <w:spacing w:line="360" w:lineRule="auto" w:after="120" w:before="0"/>
        <w:jc w:val="both"/>
      </w:pPr>
      <w:r>
        <w:t>Modern organizations generate a high volume of endpoint telemetry from workstations, servers, and mobile devices. Although these logs can reveal signs of credential abuse, malicious execution, or suspicious outbound communication, the data often arrives in inconsistent formats and in volumes that are difficult for small security teams to interpret quickly.</w:t>
      </w:r>
    </w:p>
    <w:p>
      <w:pPr>
        <w:spacing w:line="360" w:lineRule="auto" w:after="120" w:before="0"/>
        <w:jc w:val="both"/>
      </w:pPr>
      <w:r>
        <w:t>The challenge becomes more complex in a multi-tenant Software-as-a-Service environment. A shared platform must isolate tenant data, support safe agent onboarding, provide centralized administration, and still expose only the information each analyst is authorized to see. Traditional tools often solve only part of this problem, forcing teams to combine multiple products and manual workflows.</w:t>
      </w:r>
    </w:p>
    <w:p>
      <w:pPr>
        <w:pStyle w:val="Heading2"/>
        <w:spacing w:line="288" w:lineRule="auto" w:after="80" w:before="80"/>
        <w:jc w:val="left"/>
      </w:pPr>
      <w:r>
        <w:t>2.2 Rationale</w:t>
      </w:r>
    </w:p>
    <w:p>
      <w:pPr>
        <w:spacing w:line="360" w:lineRule="auto" w:after="120" w:before="0"/>
        <w:jc w:val="both"/>
      </w:pPr>
      <w:r>
        <w:t>The rationale behind ScropIDS is to build a single platform that combines endpoint telemetry collection, secure ingestion, scheduler-driven aggregation, explainable threat triage, and a usable dashboard. Instead of asking analysts to read raw logs first, the platform transforms collected data into summarized windows and prioritizes threats using a hybrid rule-and-LLM workflow.</w:t>
      </w:r>
    </w:p>
    <w:p>
      <w:pPr>
        <w:spacing w:line="360" w:lineRule="auto" w:after="120" w:before="0"/>
        <w:jc w:val="both"/>
      </w:pPr>
      <w:r>
        <w:t>This project is especially relevant in academic and startup-like environments where cost, customizability, and reproducibility matter. By relying primarily on open-source components and a modular design, the platform remains suitable both for capstone evaluation and for future production hardening.</w:t>
      </w:r>
    </w:p>
    <w:p>
      <w:pPr>
        <w:pStyle w:val="Heading2"/>
        <w:spacing w:line="288" w:lineRule="auto" w:after="80" w:before="80"/>
        <w:jc w:val="left"/>
      </w:pPr>
      <w:r>
        <w:t>2.3 Scope of the Study</w:t>
      </w:r>
    </w:p>
    <w:p>
      <w:pPr>
        <w:pStyle w:val="ListBullet"/>
        <w:spacing w:line="360" w:lineRule="auto" w:after="120" w:before="0"/>
        <w:jc w:val="both"/>
      </w:pPr>
      <w:r>
        <w:t>Cross-platform endpoint agent starter for Windows, Linux, and macOS.</w:t>
      </w:r>
    </w:p>
    <w:p>
      <w:pPr>
        <w:pStyle w:val="ListBullet"/>
        <w:spacing w:line="360" w:lineRule="auto" w:after="120" w:before="0"/>
        <w:jc w:val="both"/>
      </w:pPr>
      <w:r>
        <w:t>Django + Django REST Framework backend for multi-tenant ingestion, aggregation, alerting, and administration.</w:t>
      </w:r>
    </w:p>
    <w:p>
      <w:pPr>
        <w:pStyle w:val="ListBullet"/>
        <w:spacing w:line="360" w:lineRule="auto" w:after="120" w:before="0"/>
        <w:jc w:val="both"/>
      </w:pPr>
      <w:r>
        <w:t>Scheduler-controlled analysis pipeline using Celery and Redis.</w:t>
      </w:r>
    </w:p>
    <w:p>
      <w:pPr>
        <w:pStyle w:val="ListBullet"/>
        <w:spacing w:line="360" w:lineRule="auto" w:after="120" w:before="0"/>
        <w:jc w:val="both"/>
      </w:pPr>
      <w:r>
        <w:t>Dual-mode LLM integration that supports both OpenAI-compatible APIs and local Ollama deployments.</w:t>
      </w:r>
    </w:p>
    <w:p>
      <w:pPr>
        <w:pStyle w:val="ListBullet"/>
        <w:spacing w:line="360" w:lineRule="auto" w:after="120" w:before="0"/>
        <w:jc w:val="both"/>
      </w:pPr>
      <w:r>
        <w:t>React-based dashboard for overview metrics, alerts, agents, LLM configuration, scheduler settings, and rules.</w:t>
      </w:r>
    </w:p>
    <w:p>
      <w:pPr>
        <w:pStyle w:val="ListBullet"/>
        <w:spacing w:line="360" w:lineRule="auto" w:after="120" w:before="0"/>
        <w:jc w:val="both"/>
      </w:pPr>
      <w:r>
        <w:t>Docker Compose deployment model for local demonstration and repeatable evaluation.</w:t>
      </w:r>
    </w:p>
    <w:p>
      <w:pPr>
        <w:spacing w:line="360" w:lineRule="auto" w:after="120" w:before="0"/>
        <w:jc w:val="both"/>
      </w:pPr>
      <w:r>
        <w:t>The present scope focuses on a production-oriented platform foundation. It does not attempt to replace full commercial EDR tooling, deep kernel-level telemetry, or enterprise-scale orchestration in the current capstone phase.</w:t>
      </w:r>
    </w:p>
    <w:p>
      <w:pPr>
        <w:pStyle w:val="Heading2"/>
        <w:spacing w:line="288" w:lineRule="auto" w:after="80" w:before="80"/>
        <w:jc w:val="left"/>
      </w:pPr>
      <w:r>
        <w:t>2.4 Problem Statement</w:t>
      </w:r>
    </w:p>
    <w:p>
      <w:pPr>
        <w:spacing w:line="360" w:lineRule="auto" w:after="120" w:before="0"/>
        <w:jc w:val="both"/>
      </w:pPr>
      <w:r>
        <w:t>The problem addressed in this capstone is the design and implementation of a cloud-native, multi-tenant intrusion detection platform that can securely onboard endpoint agents, accept normalized event streams, aggregate suspicious activity, produce explainable threat assessments, and present actionable alerts through a centralized web interface.</w:t>
      </w:r>
    </w:p>
    <w:p>
      <w:pPr>
        <w:pStyle w:val="Heading1"/>
        <w:spacing w:line="288" w:lineRule="auto" w:after="80" w:before="160"/>
        <w:jc w:val="left"/>
      </w:pPr>
      <w:r>
        <w:t>3. EXISTING SYSTEM</w:t>
      </w:r>
    </w:p>
    <w:p>
      <w:pPr>
        <w:pStyle w:val="Heading2"/>
        <w:spacing w:line="288" w:lineRule="auto" w:after="80" w:before="80"/>
        <w:jc w:val="left"/>
      </w:pPr>
      <w:r>
        <w:t>3.1 Introduction</w:t>
      </w:r>
    </w:p>
    <w:p>
      <w:pPr>
        <w:spacing w:line="360" w:lineRule="auto" w:after="120" w:before="0"/>
        <w:jc w:val="both"/>
      </w:pPr>
      <w:r>
        <w:t>Existing security monitoring approaches generally fall into four groups: host-based intrusion detection systems, security information and event management platforms, commercial endpoint detection and response suites, and ad-hoc manual monitoring. Each provides useful capabilities, but each also carries trade-offs related to complexity, cost, customization, or explainability.</w:t>
      </w:r>
    </w:p>
    <w:p>
      <w:pPr>
        <w:pStyle w:val="Heading2"/>
        <w:spacing w:line="288" w:lineRule="auto" w:after="80" w:before="80"/>
        <w:jc w:val="left"/>
      </w:pPr>
      <w:r>
        <w:t>3.2 Existing Software Analysis</w:t>
      </w:r>
    </w:p>
    <w:p>
      <w:pPr>
        <w:pStyle w:val="Heading3"/>
        <w:spacing w:line="288" w:lineRule="auto" w:after="80" w:before="80"/>
        <w:jc w:val="left"/>
      </w:pPr>
      <w:r>
        <w:t>3.2.1 Traditional HIDS Platforms (OSSEC / Wazuh)</w:t>
      </w:r>
    </w:p>
    <w:p>
      <w:pPr>
        <w:spacing w:line="360" w:lineRule="auto" w:after="120" w:before="0"/>
        <w:jc w:val="both"/>
      </w:pPr>
      <w:r>
        <w:t>Traditional host-based IDS tools are effective for centralized rule-based monitoring and integrity checks. They are strong on baseline detection workflows, but multi-tenant SaaS isolation, flexible cloud-native dashboards, and custom LLM-assisted analyst reasoning typically require additional integration work.</w:t>
      </w:r>
    </w:p>
    <w:p>
      <w:pPr>
        <w:pStyle w:val="Heading3"/>
        <w:spacing w:line="288" w:lineRule="auto" w:after="80" w:before="80"/>
        <w:jc w:val="left"/>
      </w:pPr>
      <w:r>
        <w:t>3.2.2 SIEM Platforms</w:t>
      </w:r>
    </w:p>
    <w:p>
      <w:pPr>
        <w:spacing w:line="360" w:lineRule="auto" w:after="120" w:before="0"/>
        <w:jc w:val="both"/>
      </w:pPr>
      <w:r>
        <w:t>SIEM platforms provide broad log ingestion, search, and correlation. They are powerful for mature security teams, but the operational overhead, infrastructure cost, and tuning requirements can be significant for smaller organizations or academic projects.</w:t>
      </w:r>
    </w:p>
    <w:p>
      <w:pPr>
        <w:pStyle w:val="Heading3"/>
        <w:spacing w:line="288" w:lineRule="auto" w:after="80" w:before="80"/>
        <w:jc w:val="left"/>
      </w:pPr>
      <w:r>
        <w:t>3.2.3 Commercial EDR Platforms</w:t>
      </w:r>
    </w:p>
    <w:p>
      <w:pPr>
        <w:spacing w:line="360" w:lineRule="auto" w:after="120" w:before="0"/>
        <w:jc w:val="both"/>
      </w:pPr>
      <w:r>
        <w:t>Commercial EDR solutions provide rich telemetry and strong incident-response workflows. However, they are often closed platforms with pricing and deployment assumptions that are not ideal for a custom capstone system intended for learning, experimentation, and transparent extensibility.</w:t>
      </w:r>
    </w:p>
    <w:p>
      <w:pPr>
        <w:pStyle w:val="Heading3"/>
        <w:spacing w:line="288" w:lineRule="auto" w:after="80" w:before="80"/>
        <w:jc w:val="left"/>
      </w:pPr>
      <w:r>
        <w:t>3.2.4 Manual Monitoring and Script-Based Review</w:t>
      </w:r>
    </w:p>
    <w:p>
      <w:pPr>
        <w:spacing w:line="360" w:lineRule="auto" w:after="120" w:before="0"/>
        <w:jc w:val="both"/>
      </w:pPr>
      <w:r>
        <w:t>Many small teams still rely on shell scripts, local log files, and periodic manual inspection. This approach has low entry cost but poor scalability, inconsistent data formats, and delayed response cycles when suspicious activity spans multiple hosts or event types.</w:t>
      </w:r>
    </w:p>
    <w:p>
      <w:pPr>
        <w:pStyle w:val="Heading2"/>
        <w:spacing w:line="288" w:lineRule="auto" w:after="80" w:before="80"/>
        <w:jc w:val="left"/>
      </w:pPr>
      <w:r>
        <w:t>3.3 Data Flow Diagram: Existing System</w:t>
      </w:r>
    </w:p>
    <w:p>
      <w:pPr>
        <w:spacing w:line="360" w:lineRule="auto" w:after="120" w:before="0"/>
        <w:jc w:val="both"/>
      </w:pPr>
      <w:r>
        <w:t>A simplified data flow for a conventional manual or loosely integrated monitoring setup is shown below.</w:t>
      </w:r>
    </w:p>
    <w:p>
      <w:pPr>
        <w:spacing w:line="276" w:lineRule="auto" w:after="160" w:before="0"/>
        <w:jc w:val="left"/>
      </w:pPr>
      <w:r>
        <w:rPr>
          <w:rFonts w:ascii="Courier New" w:hAnsi="Courier New"/>
          <w:sz w:val="20"/>
        </w:rPr>
        <w:t>Endpoint or Server Logs</w:t>
        <w:br/>
        <w:t xml:space="preserve">        -&gt;</w:t>
        <w:br/>
        <w:t>Separate Local Tools / Scripts</w:t>
        <w:br/>
        <w:t xml:space="preserve">        -&gt;</w:t>
        <w:br/>
        <w:t>Raw Log Files / Search Outputs</w:t>
        <w:br/>
        <w:t xml:space="preserve">        -&gt;</w:t>
        <w:br/>
        <w:t>Manual Analyst Review</w:t>
        <w:br/>
        <w:t xml:space="preserve">        -&gt;</w:t>
        <w:br/>
        <w:t>Delayed Escalation or Ticket Creation</w:t>
      </w:r>
    </w:p>
    <w:p>
      <w:pPr>
        <w:pStyle w:val="Heading2"/>
        <w:spacing w:line="288" w:lineRule="auto" w:after="80" w:before="80"/>
        <w:jc w:val="left"/>
      </w:pPr>
      <w:r>
        <w:t>3.4 Innovations in the Proposed ScropIDS System</w:t>
      </w:r>
    </w:p>
    <w:p>
      <w:pPr>
        <w:pStyle w:val="ListBullet"/>
        <w:spacing w:line="360" w:lineRule="auto" w:after="120" w:before="0"/>
        <w:jc w:val="both"/>
      </w:pPr>
      <w:r>
        <w:t>Tenant-scoped data model and access control for SaaS-style isolation.</w:t>
      </w:r>
    </w:p>
    <w:p>
      <w:pPr>
        <w:pStyle w:val="ListBullet"/>
        <w:spacing w:line="360" w:lineRule="auto" w:after="120" w:before="0"/>
        <w:jc w:val="both"/>
      </w:pPr>
      <w:r>
        <w:t>Organization access token and one-time enrollment token workflows for controlled onboarding.</w:t>
      </w:r>
    </w:p>
    <w:p>
      <w:pPr>
        <w:pStyle w:val="ListBullet"/>
        <w:spacing w:line="360" w:lineRule="auto" w:after="120" w:before="0"/>
        <w:jc w:val="both"/>
      </w:pPr>
      <w:r>
        <w:t>Scheduler-driven event aggregation that reduces alert noise before triage.</w:t>
      </w:r>
    </w:p>
    <w:p>
      <w:pPr>
        <w:pStyle w:val="ListBullet"/>
        <w:spacing w:line="360" w:lineRule="auto" w:after="120" w:before="0"/>
        <w:jc w:val="both"/>
      </w:pPr>
      <w:r>
        <w:t>Hybrid threat assessment using built-in rules plus validated LLM JSON output.</w:t>
      </w:r>
    </w:p>
    <w:p>
      <w:pPr>
        <w:pStyle w:val="ListBullet"/>
        <w:spacing w:line="360" w:lineRule="auto" w:after="120" w:before="0"/>
        <w:jc w:val="both"/>
      </w:pPr>
      <w:r>
        <w:t>Cross-platform agent packaging for Windows, Linux, and macOS.</w:t>
      </w:r>
    </w:p>
    <w:p>
      <w:pPr>
        <w:pStyle w:val="ListBullet"/>
        <w:spacing w:line="360" w:lineRule="auto" w:after="120" w:before="0"/>
        <w:jc w:val="both"/>
      </w:pPr>
      <w:r>
        <w:t>Unified web console for alerts, agents, LLM configuration, scheduler control, and rules.</w:t>
      </w:r>
    </w:p>
    <w:p>
      <w:pPr>
        <w:pStyle w:val="Heading1"/>
        <w:spacing w:line="288" w:lineRule="auto" w:after="80" w:before="160"/>
        <w:jc w:val="left"/>
      </w:pPr>
      <w:r>
        <w:t>4. PROBLEM ANALYSIS</w:t>
      </w:r>
    </w:p>
    <w:p>
      <w:pPr>
        <w:pStyle w:val="Heading2"/>
        <w:spacing w:line="288" w:lineRule="auto" w:after="80" w:before="80"/>
        <w:jc w:val="left"/>
      </w:pPr>
      <w:r>
        <w:t>4.1 Product Definition</w:t>
      </w:r>
    </w:p>
    <w:p>
      <w:pPr>
        <w:spacing w:line="360" w:lineRule="auto" w:after="120" w:before="0"/>
        <w:jc w:val="both"/>
      </w:pPr>
      <w:r>
        <w:t>ScropIDS is a multi-tenant cloud-native intrusion detection platform. It collects normalized endpoint telemetry from distributed agents, stores events in a tenant-aware backend, groups suspicious activity into aggregate windows, evaluates those windows through rules and optional LLM analysis, and exposes the results through a dashboard designed for analysts and administrators.</w:t>
      </w:r>
    </w:p>
    <w:p>
      <w:pPr>
        <w:pStyle w:val="Heading2"/>
        <w:spacing w:line="288" w:lineRule="auto" w:after="80" w:before="80"/>
        <w:jc w:val="left"/>
      </w:pPr>
      <w:r>
        <w:t>4.2 Feasibility Analysis</w:t>
      </w:r>
    </w:p>
    <w:p>
      <w:pPr>
        <w:pStyle w:val="Heading3"/>
        <w:spacing w:line="288" w:lineRule="auto" w:after="80" w:before="80"/>
        <w:jc w:val="left"/>
      </w:pPr>
      <w:r>
        <w:t>4.2.1 Technical Feasibility</w:t>
      </w:r>
    </w:p>
    <w:p>
      <w:pPr>
        <w:spacing w:line="360" w:lineRule="auto" w:after="120" w:before="0"/>
        <w:jc w:val="both"/>
      </w:pPr>
      <w:r>
        <w:t>The project is technically feasible because it uses proven technologies with strong ecosystem support: Django and DRF for APIs, PostgreSQL for persistent data, Redis and Celery for scheduled background processing, React for the frontend, and Go for the endpoint agent. The repository already contains a working backend, dashboard pages, packaging scripts, and documented API flows.</w:t>
      </w:r>
    </w:p>
    <w:p>
      <w:pPr>
        <w:pStyle w:val="Heading3"/>
        <w:spacing w:line="288" w:lineRule="auto" w:after="80" w:before="80"/>
        <w:jc w:val="left"/>
      </w:pPr>
      <w:r>
        <w:t>4.2.2 Economic Feasibility</w:t>
      </w:r>
    </w:p>
    <w:p>
      <w:pPr>
        <w:spacing w:line="360" w:lineRule="auto" w:after="120" w:before="0"/>
        <w:jc w:val="both"/>
      </w:pPr>
      <w:r>
        <w:t>The core platform is economically feasible for academic and small-scale deployment because the primary stack is open source. Optional LLM inference can be directed either to paid API providers or to local Ollama-based models, giving the operator flexibility based on budget and infrastructure.</w:t>
      </w:r>
    </w:p>
    <w:p>
      <w:pPr>
        <w:pStyle w:val="Heading3"/>
        <w:spacing w:line="288" w:lineRule="auto" w:after="80" w:before="80"/>
        <w:jc w:val="left"/>
      </w:pPr>
      <w:r>
        <w:t>4.2.3 Operational Feasibility</w:t>
      </w:r>
    </w:p>
    <w:p>
      <w:pPr>
        <w:spacing w:line="360" w:lineRule="auto" w:after="120" w:before="0"/>
        <w:jc w:val="both"/>
      </w:pPr>
      <w:r>
        <w:t>The system is operationally feasible because administrators can manage organizations, tokens, agent downloads, scheduler settings, and LLM providers from a central web interface. Docker Compose also simplifies reproducible deployment for demos and controlled environments.</w:t>
      </w:r>
    </w:p>
    <w:p>
      <w:pPr>
        <w:pStyle w:val="Heading3"/>
        <w:spacing w:line="288" w:lineRule="auto" w:after="80" w:before="80"/>
        <w:jc w:val="left"/>
      </w:pPr>
      <w:r>
        <w:t>4.2.4 Time Feasibility</w:t>
      </w:r>
    </w:p>
    <w:p>
      <w:pPr>
        <w:spacing w:line="360" w:lineRule="auto" w:after="120" w:before="0"/>
        <w:jc w:val="both"/>
      </w:pPr>
      <w:r>
        <w:t>The implementation is suitable for capstone timelines because it is modular. Core milestones such as requirements capture, data model design, API development, agent onboarding, dashboard workflows, and documentation can be completed incrementally and validated independently.</w:t>
      </w:r>
    </w:p>
    <w:p>
      <w:pPr>
        <w:pStyle w:val="Heading3"/>
        <w:spacing w:line="288" w:lineRule="auto" w:after="80" w:before="80"/>
        <w:jc w:val="left"/>
      </w:pPr>
      <w:r>
        <w:t>4.2.5 Legal and Ethical Feasibility</w:t>
      </w:r>
    </w:p>
    <w:p>
      <w:pPr>
        <w:spacing w:line="360" w:lineRule="auto" w:after="120" w:before="0"/>
        <w:jc w:val="both"/>
      </w:pPr>
      <w:r>
        <w:t>Endpoint monitoring must always be deployed with organizational authorization, clear user policies, and least-privilege data handling. ScropIDS addresses this by emphasizing token-based authentication, tenant isolation, encrypted provider secrets, and a human-in-the-loop approach in which LLM output is treated as advisory rather than autonomous enforcement.</w:t>
      </w:r>
    </w:p>
    <w:p>
      <w:pPr>
        <w:pStyle w:val="Heading2"/>
        <w:spacing w:line="288" w:lineRule="auto" w:after="80" w:before="80"/>
        <w:jc w:val="left"/>
      </w:pPr>
      <w:r>
        <w:t>4.3 Project Plan</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Phase</w:t>
            </w:r>
          </w:p>
        </w:tc>
        <w:tc>
          <w:tcPr>
            <w:tcW w:type="dxa" w:w="3010"/>
          </w:tcPr>
          <w:p>
            <w:r>
              <w:rPr>
                <w:rFonts w:ascii="Times New Roman" w:hAnsi="Times New Roman"/>
                <w:b/>
                <w:sz w:val="22"/>
              </w:rPr>
              <w:t>Primary Activities</w:t>
            </w:r>
          </w:p>
        </w:tc>
        <w:tc>
          <w:tcPr>
            <w:tcW w:type="dxa" w:w="3010"/>
          </w:tcPr>
          <w:p>
            <w:r>
              <w:rPr>
                <w:rFonts w:ascii="Times New Roman" w:hAnsi="Times New Roman"/>
                <w:b/>
                <w:sz w:val="22"/>
              </w:rPr>
              <w:t>Key Outcome</w:t>
            </w:r>
          </w:p>
        </w:tc>
      </w:tr>
      <w:tr>
        <w:tc>
          <w:tcPr>
            <w:tcW w:type="dxa" w:w="3010"/>
          </w:tcPr>
          <w:p>
            <w:r>
              <w:rPr>
                <w:rFonts w:ascii="Times New Roman" w:hAnsi="Times New Roman"/>
                <w:sz w:val="22"/>
              </w:rPr>
              <w:t>Phase 1</w:t>
            </w:r>
          </w:p>
        </w:tc>
        <w:tc>
          <w:tcPr>
            <w:tcW w:type="dxa" w:w="3010"/>
          </w:tcPr>
          <w:p>
            <w:r>
              <w:rPr>
                <w:rFonts w:ascii="Times New Roman" w:hAnsi="Times New Roman"/>
                <w:sz w:val="22"/>
              </w:rPr>
              <w:t>Requirement study, problem analysis, literature and tool review</w:t>
            </w:r>
          </w:p>
        </w:tc>
        <w:tc>
          <w:tcPr>
            <w:tcW w:type="dxa" w:w="3010"/>
          </w:tcPr>
          <w:p>
            <w:r>
              <w:rPr>
                <w:rFonts w:ascii="Times New Roman" w:hAnsi="Times New Roman"/>
                <w:sz w:val="22"/>
              </w:rPr>
              <w:t>Scope and goals finalized</w:t>
            </w:r>
          </w:p>
        </w:tc>
      </w:tr>
      <w:tr>
        <w:tc>
          <w:tcPr>
            <w:tcW w:type="dxa" w:w="3010"/>
          </w:tcPr>
          <w:p>
            <w:r>
              <w:rPr>
                <w:rFonts w:ascii="Times New Roman" w:hAnsi="Times New Roman"/>
                <w:sz w:val="22"/>
              </w:rPr>
              <w:t>Phase 2</w:t>
            </w:r>
          </w:p>
        </w:tc>
        <w:tc>
          <w:tcPr>
            <w:tcW w:type="dxa" w:w="3010"/>
          </w:tcPr>
          <w:p>
            <w:r>
              <w:rPr>
                <w:rFonts w:ascii="Times New Roman" w:hAnsi="Times New Roman"/>
                <w:sz w:val="22"/>
              </w:rPr>
              <w:t>Architecture design, tenancy model, API and data schema planning</w:t>
            </w:r>
          </w:p>
        </w:tc>
        <w:tc>
          <w:tcPr>
            <w:tcW w:type="dxa" w:w="3010"/>
          </w:tcPr>
          <w:p>
            <w:r>
              <w:rPr>
                <w:rFonts w:ascii="Times New Roman" w:hAnsi="Times New Roman"/>
                <w:sz w:val="22"/>
              </w:rPr>
              <w:t>Core design approved</w:t>
            </w:r>
          </w:p>
        </w:tc>
      </w:tr>
      <w:tr>
        <w:tc>
          <w:tcPr>
            <w:tcW w:type="dxa" w:w="3010"/>
          </w:tcPr>
          <w:p>
            <w:r>
              <w:rPr>
                <w:rFonts w:ascii="Times New Roman" w:hAnsi="Times New Roman"/>
                <w:sz w:val="22"/>
              </w:rPr>
              <w:t>Phase 3</w:t>
            </w:r>
          </w:p>
        </w:tc>
        <w:tc>
          <w:tcPr>
            <w:tcW w:type="dxa" w:w="3010"/>
          </w:tcPr>
          <w:p>
            <w:r>
              <w:rPr>
                <w:rFonts w:ascii="Times New Roman" w:hAnsi="Times New Roman"/>
                <w:sz w:val="22"/>
              </w:rPr>
              <w:t>Backend implementation for organizations, agents, ingest, aggregation, alerts</w:t>
            </w:r>
          </w:p>
        </w:tc>
        <w:tc>
          <w:tcPr>
            <w:tcW w:type="dxa" w:w="3010"/>
          </w:tcPr>
          <w:p>
            <w:r>
              <w:rPr>
                <w:rFonts w:ascii="Times New Roman" w:hAnsi="Times New Roman"/>
                <w:sz w:val="22"/>
              </w:rPr>
              <w:t>Working service layer</w:t>
            </w:r>
          </w:p>
        </w:tc>
      </w:tr>
      <w:tr>
        <w:tc>
          <w:tcPr>
            <w:tcW w:type="dxa" w:w="3010"/>
          </w:tcPr>
          <w:p>
            <w:r>
              <w:rPr>
                <w:rFonts w:ascii="Times New Roman" w:hAnsi="Times New Roman"/>
                <w:sz w:val="22"/>
              </w:rPr>
              <w:t>Phase 4</w:t>
            </w:r>
          </w:p>
        </w:tc>
        <w:tc>
          <w:tcPr>
            <w:tcW w:type="dxa" w:w="3010"/>
          </w:tcPr>
          <w:p>
            <w:r>
              <w:rPr>
                <w:rFonts w:ascii="Times New Roman" w:hAnsi="Times New Roman"/>
                <w:sz w:val="22"/>
              </w:rPr>
              <w:t>Frontend dashboard pages and operational workflows</w:t>
            </w:r>
          </w:p>
        </w:tc>
        <w:tc>
          <w:tcPr>
            <w:tcW w:type="dxa" w:w="3010"/>
          </w:tcPr>
          <w:p>
            <w:r>
              <w:rPr>
                <w:rFonts w:ascii="Times New Roman" w:hAnsi="Times New Roman"/>
                <w:sz w:val="22"/>
              </w:rPr>
              <w:t>Usable analyst/admin interface</w:t>
            </w:r>
          </w:p>
        </w:tc>
      </w:tr>
      <w:tr>
        <w:tc>
          <w:tcPr>
            <w:tcW w:type="dxa" w:w="3010"/>
          </w:tcPr>
          <w:p>
            <w:r>
              <w:rPr>
                <w:rFonts w:ascii="Times New Roman" w:hAnsi="Times New Roman"/>
                <w:sz w:val="22"/>
              </w:rPr>
              <w:t>Phase 5</w:t>
            </w:r>
          </w:p>
        </w:tc>
        <w:tc>
          <w:tcPr>
            <w:tcW w:type="dxa" w:w="3010"/>
          </w:tcPr>
          <w:p>
            <w:r>
              <w:rPr>
                <w:rFonts w:ascii="Times New Roman" w:hAnsi="Times New Roman"/>
                <w:sz w:val="22"/>
              </w:rPr>
              <w:t>Go agent onboarding, packaging, and runtime sync</w:t>
            </w:r>
          </w:p>
        </w:tc>
        <w:tc>
          <w:tcPr>
            <w:tcW w:type="dxa" w:w="3010"/>
          </w:tcPr>
          <w:p>
            <w:r>
              <w:rPr>
                <w:rFonts w:ascii="Times New Roman" w:hAnsi="Times New Roman"/>
                <w:sz w:val="22"/>
              </w:rPr>
              <w:t>Cross-platform starter agent flow</w:t>
            </w:r>
          </w:p>
        </w:tc>
      </w:tr>
      <w:tr>
        <w:tc>
          <w:tcPr>
            <w:tcW w:type="dxa" w:w="3010"/>
          </w:tcPr>
          <w:p>
            <w:r>
              <w:rPr>
                <w:rFonts w:ascii="Times New Roman" w:hAnsi="Times New Roman"/>
                <w:sz w:val="22"/>
              </w:rPr>
              <w:t>Phase 6</w:t>
            </w:r>
          </w:p>
        </w:tc>
        <w:tc>
          <w:tcPr>
            <w:tcW w:type="dxa" w:w="3010"/>
          </w:tcPr>
          <w:p>
            <w:r>
              <w:rPr>
                <w:rFonts w:ascii="Times New Roman" w:hAnsi="Times New Roman"/>
                <w:sz w:val="22"/>
              </w:rPr>
              <w:t>Testing, smoke validation, report writing, and documentation</w:t>
            </w:r>
          </w:p>
        </w:tc>
        <w:tc>
          <w:tcPr>
            <w:tcW w:type="dxa" w:w="3010"/>
          </w:tcPr>
          <w:p>
            <w:r>
              <w:rPr>
                <w:rFonts w:ascii="Times New Roman" w:hAnsi="Times New Roman"/>
                <w:sz w:val="22"/>
              </w:rPr>
              <w:t>Capstone deliverables ready</w:t>
            </w:r>
          </w:p>
        </w:tc>
      </w:tr>
    </w:tbl>
    <w:p>
      <w:pPr>
        <w:pStyle w:val="Heading1"/>
        <w:spacing w:line="288" w:lineRule="auto" w:after="80" w:before="160"/>
        <w:jc w:val="left"/>
      </w:pPr>
      <w:r>
        <w:t>5. SOFTWARE REQUIREMENT ANALYSIS</w:t>
      </w:r>
    </w:p>
    <w:p>
      <w:pPr>
        <w:pStyle w:val="Heading2"/>
        <w:spacing w:line="288" w:lineRule="auto" w:after="80" w:before="80"/>
        <w:jc w:val="left"/>
      </w:pPr>
      <w:r>
        <w:t>5.1 Introduction</w:t>
      </w:r>
    </w:p>
    <w:p>
      <w:pPr>
        <w:spacing w:line="360" w:lineRule="auto" w:after="120" w:before="0"/>
        <w:jc w:val="both"/>
      </w:pPr>
      <w:r>
        <w:t>The software requirement analysis for ScropIDS focuses on the needs of three main stakeholders: tenant owners or administrators, security analysts, and endpoint agents. The system must provide secure onboarding, clear multi-tenant boundaries, reliable event handling, configurable detection logic, and a practical monitoring interface.</w:t>
      </w:r>
    </w:p>
    <w:p>
      <w:pPr>
        <w:pStyle w:val="Heading2"/>
        <w:spacing w:line="288" w:lineRule="auto" w:after="80" w:before="80"/>
        <w:jc w:val="left"/>
      </w:pPr>
      <w:r>
        <w:t>5.2 General Description</w:t>
      </w:r>
    </w:p>
    <w:tbl>
      <w:tblPr>
        <w:tblStyle w:val="TableGrid"/>
        <w:tblW w:type="auto" w:w="0"/>
        <w:tblLook w:firstColumn="1" w:firstRow="1" w:lastColumn="0" w:lastRow="0" w:noHBand="0" w:noVBand="1" w:val="04A0"/>
      </w:tblPr>
      <w:tblGrid>
        <w:gridCol w:w="4514"/>
        <w:gridCol w:w="4514"/>
      </w:tblGrid>
      <w:tr>
        <w:tc>
          <w:tcPr>
            <w:tcW w:type="dxa" w:w="4514"/>
          </w:tcPr>
          <w:p>
            <w:r>
              <w:rPr>
                <w:rFonts w:ascii="Times New Roman" w:hAnsi="Times New Roman"/>
                <w:b/>
                <w:sz w:val="22"/>
              </w:rPr>
              <w:t>Actor</w:t>
            </w:r>
          </w:p>
        </w:tc>
        <w:tc>
          <w:tcPr>
            <w:tcW w:type="dxa" w:w="4514"/>
          </w:tcPr>
          <w:p>
            <w:r>
              <w:rPr>
                <w:rFonts w:ascii="Times New Roman" w:hAnsi="Times New Roman"/>
                <w:b/>
                <w:sz w:val="22"/>
              </w:rPr>
              <w:t>Role in the System</w:t>
            </w:r>
          </w:p>
        </w:tc>
      </w:tr>
      <w:tr>
        <w:tc>
          <w:tcPr>
            <w:tcW w:type="dxa" w:w="4514"/>
          </w:tcPr>
          <w:p>
            <w:r>
              <w:rPr>
                <w:rFonts w:ascii="Times New Roman" w:hAnsi="Times New Roman"/>
                <w:sz w:val="22"/>
              </w:rPr>
              <w:t>Tenant Owner / Admin</w:t>
            </w:r>
          </w:p>
        </w:tc>
        <w:tc>
          <w:tcPr>
            <w:tcW w:type="dxa" w:w="4514"/>
          </w:tcPr>
          <w:p>
            <w:r>
              <w:rPr>
                <w:rFonts w:ascii="Times New Roman" w:hAnsi="Times New Roman"/>
                <w:sz w:val="22"/>
              </w:rPr>
              <w:t>Creates organizations, manages tokens, configures providers, adjusts scheduler and rules</w:t>
            </w:r>
          </w:p>
        </w:tc>
      </w:tr>
      <w:tr>
        <w:tc>
          <w:tcPr>
            <w:tcW w:type="dxa" w:w="4514"/>
          </w:tcPr>
          <w:p>
            <w:r>
              <w:rPr>
                <w:rFonts w:ascii="Times New Roman" w:hAnsi="Times New Roman"/>
                <w:sz w:val="22"/>
              </w:rPr>
              <w:t>Security Analyst</w:t>
            </w:r>
          </w:p>
        </w:tc>
        <w:tc>
          <w:tcPr>
            <w:tcW w:type="dxa" w:w="4514"/>
          </w:tcPr>
          <w:p>
            <w:r>
              <w:rPr>
                <w:rFonts w:ascii="Times New Roman" w:hAnsi="Times New Roman"/>
                <w:sz w:val="22"/>
              </w:rPr>
              <w:t>Views alerts, reviews reasoning, changes alert status, monitors dashboard metrics</w:t>
            </w:r>
          </w:p>
        </w:tc>
      </w:tr>
      <w:tr>
        <w:tc>
          <w:tcPr>
            <w:tcW w:type="dxa" w:w="4514"/>
          </w:tcPr>
          <w:p>
            <w:r>
              <w:rPr>
                <w:rFonts w:ascii="Times New Roman" w:hAnsi="Times New Roman"/>
                <w:sz w:val="22"/>
              </w:rPr>
              <w:t>Endpoint Agent</w:t>
            </w:r>
          </w:p>
        </w:tc>
        <w:tc>
          <w:tcPr>
            <w:tcW w:type="dxa" w:w="4514"/>
          </w:tcPr>
          <w:p>
            <w:r>
              <w:rPr>
                <w:rFonts w:ascii="Times New Roman" w:hAnsi="Times New Roman"/>
                <w:sz w:val="22"/>
              </w:rPr>
              <w:t>Enrolls with backend, sends event batches and heartbeat, receives runtime profile</w:t>
            </w:r>
          </w:p>
        </w:tc>
      </w:tr>
    </w:tbl>
    <w:p>
      <w:pPr>
        <w:pStyle w:val="Heading2"/>
        <w:spacing w:line="288" w:lineRule="auto" w:after="80" w:before="80"/>
        <w:jc w:val="left"/>
      </w:pPr>
      <w:r>
        <w:t>5.3 Specific Requirements</w:t>
      </w:r>
    </w:p>
    <w:p>
      <w:pPr>
        <w:pStyle w:val="Heading3"/>
        <w:spacing w:line="288" w:lineRule="auto" w:after="80" w:before="80"/>
        <w:jc w:val="left"/>
      </w:pPr>
      <w:r>
        <w:t>5.3.1 Functional Requirements</w:t>
      </w:r>
    </w:p>
    <w:tbl>
      <w:tblPr>
        <w:tblStyle w:val="TableGrid"/>
        <w:tblW w:type="auto" w:w="0"/>
        <w:tblLook w:firstColumn="1" w:firstRow="1" w:lastColumn="0" w:lastRow="0" w:noHBand="0" w:noVBand="1" w:val="04A0"/>
      </w:tblPr>
      <w:tblGrid>
        <w:gridCol w:w="4514"/>
        <w:gridCol w:w="4514"/>
      </w:tblGrid>
      <w:tr>
        <w:tc>
          <w:tcPr>
            <w:tcW w:type="dxa" w:w="4514"/>
          </w:tcPr>
          <w:p>
            <w:r>
              <w:rPr>
                <w:rFonts w:ascii="Times New Roman" w:hAnsi="Times New Roman"/>
                <w:b/>
                <w:sz w:val="22"/>
              </w:rPr>
              <w:t>ID</w:t>
            </w:r>
          </w:p>
        </w:tc>
        <w:tc>
          <w:tcPr>
            <w:tcW w:type="dxa" w:w="4514"/>
          </w:tcPr>
          <w:p>
            <w:r>
              <w:rPr>
                <w:rFonts w:ascii="Times New Roman" w:hAnsi="Times New Roman"/>
                <w:b/>
                <w:sz w:val="22"/>
              </w:rPr>
              <w:t>Requirement</w:t>
            </w:r>
          </w:p>
        </w:tc>
      </w:tr>
      <w:tr>
        <w:tc>
          <w:tcPr>
            <w:tcW w:type="dxa" w:w="4514"/>
          </w:tcPr>
          <w:p>
            <w:r>
              <w:rPr>
                <w:rFonts w:ascii="Times New Roman" w:hAnsi="Times New Roman"/>
                <w:sz w:val="22"/>
              </w:rPr>
              <w:t>FR-01</w:t>
            </w:r>
          </w:p>
        </w:tc>
        <w:tc>
          <w:tcPr>
            <w:tcW w:type="dxa" w:w="4514"/>
          </w:tcPr>
          <w:p>
            <w:r>
              <w:rPr>
                <w:rFonts w:ascii="Times New Roman" w:hAnsi="Times New Roman"/>
                <w:sz w:val="22"/>
              </w:rPr>
              <w:t>The system shall create and manage tenant organizations.</w:t>
            </w:r>
          </w:p>
        </w:tc>
      </w:tr>
      <w:tr>
        <w:tc>
          <w:tcPr>
            <w:tcW w:type="dxa" w:w="4514"/>
          </w:tcPr>
          <w:p>
            <w:r>
              <w:rPr>
                <w:rFonts w:ascii="Times New Roman" w:hAnsi="Times New Roman"/>
                <w:sz w:val="22"/>
              </w:rPr>
              <w:t>FR-02</w:t>
            </w:r>
          </w:p>
        </w:tc>
        <w:tc>
          <w:tcPr>
            <w:tcW w:type="dxa" w:w="4514"/>
          </w:tcPr>
          <w:p>
            <w:r>
              <w:rPr>
                <w:rFonts w:ascii="Times New Roman" w:hAnsi="Times New Roman"/>
                <w:sz w:val="22"/>
              </w:rPr>
              <w:t>The system shall support secure agent onboarding through one-time tokens or organization access tokens.</w:t>
            </w:r>
          </w:p>
        </w:tc>
      </w:tr>
      <w:tr>
        <w:tc>
          <w:tcPr>
            <w:tcW w:type="dxa" w:w="4514"/>
          </w:tcPr>
          <w:p>
            <w:r>
              <w:rPr>
                <w:rFonts w:ascii="Times New Roman" w:hAnsi="Times New Roman"/>
                <w:sz w:val="22"/>
              </w:rPr>
              <w:t>FR-03</w:t>
            </w:r>
          </w:p>
        </w:tc>
        <w:tc>
          <w:tcPr>
            <w:tcW w:type="dxa" w:w="4514"/>
          </w:tcPr>
          <w:p>
            <w:r>
              <w:rPr>
                <w:rFonts w:ascii="Times New Roman" w:hAnsi="Times New Roman"/>
                <w:sz w:val="22"/>
              </w:rPr>
              <w:t>The system shall authenticate enrolled agents using agent ID and agent token headers.</w:t>
            </w:r>
          </w:p>
        </w:tc>
      </w:tr>
      <w:tr>
        <w:tc>
          <w:tcPr>
            <w:tcW w:type="dxa" w:w="4514"/>
          </w:tcPr>
          <w:p>
            <w:r>
              <w:rPr>
                <w:rFonts w:ascii="Times New Roman" w:hAnsi="Times New Roman"/>
                <w:sz w:val="22"/>
              </w:rPr>
              <w:t>FR-04</w:t>
            </w:r>
          </w:p>
        </w:tc>
        <w:tc>
          <w:tcPr>
            <w:tcW w:type="dxa" w:w="4514"/>
          </w:tcPr>
          <w:p>
            <w:r>
              <w:rPr>
                <w:rFonts w:ascii="Times New Roman" w:hAnsi="Times New Roman"/>
                <w:sz w:val="22"/>
              </w:rPr>
              <w:t>The system shall ingest normalized event batches and store them in tenant-scoped records.</w:t>
            </w:r>
          </w:p>
        </w:tc>
      </w:tr>
      <w:tr>
        <w:tc>
          <w:tcPr>
            <w:tcW w:type="dxa" w:w="4514"/>
          </w:tcPr>
          <w:p>
            <w:r>
              <w:rPr>
                <w:rFonts w:ascii="Times New Roman" w:hAnsi="Times New Roman"/>
                <w:sz w:val="22"/>
              </w:rPr>
              <w:t>FR-05</w:t>
            </w:r>
          </w:p>
        </w:tc>
        <w:tc>
          <w:tcPr>
            <w:tcW w:type="dxa" w:w="4514"/>
          </w:tcPr>
          <w:p>
            <w:r>
              <w:rPr>
                <w:rFonts w:ascii="Times New Roman" w:hAnsi="Times New Roman"/>
                <w:sz w:val="22"/>
              </w:rPr>
              <w:t>The scheduler shall aggregate unprocessed events using configurable intervals and severity thresholds.</w:t>
            </w:r>
          </w:p>
        </w:tc>
      </w:tr>
      <w:tr>
        <w:tc>
          <w:tcPr>
            <w:tcW w:type="dxa" w:w="4514"/>
          </w:tcPr>
          <w:p>
            <w:r>
              <w:rPr>
                <w:rFonts w:ascii="Times New Roman" w:hAnsi="Times New Roman"/>
                <w:sz w:val="22"/>
              </w:rPr>
              <w:t>FR-06</w:t>
            </w:r>
          </w:p>
        </w:tc>
        <w:tc>
          <w:tcPr>
            <w:tcW w:type="dxa" w:w="4514"/>
          </w:tcPr>
          <w:p>
            <w:r>
              <w:rPr>
                <w:rFonts w:ascii="Times New Roman" w:hAnsi="Times New Roman"/>
                <w:sz w:val="22"/>
              </w:rPr>
              <w:t>The system shall analyze aggregate windows using a configured LLM provider and a rule escalation engine.</w:t>
            </w:r>
          </w:p>
        </w:tc>
      </w:tr>
      <w:tr>
        <w:tc>
          <w:tcPr>
            <w:tcW w:type="dxa" w:w="4514"/>
          </w:tcPr>
          <w:p>
            <w:r>
              <w:rPr>
                <w:rFonts w:ascii="Times New Roman" w:hAnsi="Times New Roman"/>
                <w:sz w:val="22"/>
              </w:rPr>
              <w:t>FR-07</w:t>
            </w:r>
          </w:p>
        </w:tc>
        <w:tc>
          <w:tcPr>
            <w:tcW w:type="dxa" w:w="4514"/>
          </w:tcPr>
          <w:p>
            <w:r>
              <w:rPr>
                <w:rFonts w:ascii="Times New Roman" w:hAnsi="Times New Roman"/>
                <w:sz w:val="22"/>
              </w:rPr>
              <w:t>The system shall create alerts when the resulting threat level crosses the configured threshold.</w:t>
            </w:r>
          </w:p>
        </w:tc>
      </w:tr>
      <w:tr>
        <w:tc>
          <w:tcPr>
            <w:tcW w:type="dxa" w:w="4514"/>
          </w:tcPr>
          <w:p>
            <w:r>
              <w:rPr>
                <w:rFonts w:ascii="Times New Roman" w:hAnsi="Times New Roman"/>
                <w:sz w:val="22"/>
              </w:rPr>
              <w:t>FR-08</w:t>
            </w:r>
          </w:p>
        </w:tc>
        <w:tc>
          <w:tcPr>
            <w:tcW w:type="dxa" w:w="4514"/>
          </w:tcPr>
          <w:p>
            <w:r>
              <w:rPr>
                <w:rFonts w:ascii="Times New Roman" w:hAnsi="Times New Roman"/>
                <w:sz w:val="22"/>
              </w:rPr>
              <w:t>The dashboard shall expose overview, alerts, agents, LLM configuration, scheduler, and rule management pages.</w:t>
            </w:r>
          </w:p>
        </w:tc>
      </w:tr>
      <w:tr>
        <w:tc>
          <w:tcPr>
            <w:tcW w:type="dxa" w:w="4514"/>
          </w:tcPr>
          <w:p>
            <w:r>
              <w:rPr>
                <w:rFonts w:ascii="Times New Roman" w:hAnsi="Times New Roman"/>
                <w:sz w:val="22"/>
              </w:rPr>
              <w:t>FR-09</w:t>
            </w:r>
          </w:p>
        </w:tc>
        <w:tc>
          <w:tcPr>
            <w:tcW w:type="dxa" w:w="4514"/>
          </w:tcPr>
          <w:p>
            <w:r>
              <w:rPr>
                <w:rFonts w:ascii="Times New Roman" w:hAnsi="Times New Roman"/>
                <w:sz w:val="22"/>
              </w:rPr>
              <w:t>The platform shall provide downloadable agent artifacts for multiple operating systems and architectures.</w:t>
            </w:r>
          </w:p>
        </w:tc>
      </w:tr>
    </w:tbl>
    <w:p>
      <w:pPr>
        <w:pStyle w:val="Heading3"/>
        <w:spacing w:line="288" w:lineRule="auto" w:after="80" w:before="80"/>
        <w:jc w:val="left"/>
      </w:pPr>
      <w:r>
        <w:t>5.3.2 Non-Functional Requirements</w:t>
      </w:r>
    </w:p>
    <w:tbl>
      <w:tblPr>
        <w:tblStyle w:val="TableGrid"/>
        <w:tblW w:type="auto" w:w="0"/>
        <w:tblLook w:firstColumn="1" w:firstRow="1" w:lastColumn="0" w:lastRow="0" w:noHBand="0" w:noVBand="1" w:val="04A0"/>
      </w:tblPr>
      <w:tblGrid>
        <w:gridCol w:w="4514"/>
        <w:gridCol w:w="4514"/>
      </w:tblGrid>
      <w:tr>
        <w:tc>
          <w:tcPr>
            <w:tcW w:type="dxa" w:w="4514"/>
          </w:tcPr>
          <w:p>
            <w:r>
              <w:rPr>
                <w:rFonts w:ascii="Times New Roman" w:hAnsi="Times New Roman"/>
                <w:b/>
                <w:sz w:val="22"/>
              </w:rPr>
              <w:t>ID</w:t>
            </w:r>
          </w:p>
        </w:tc>
        <w:tc>
          <w:tcPr>
            <w:tcW w:type="dxa" w:w="4514"/>
          </w:tcPr>
          <w:p>
            <w:r>
              <w:rPr>
                <w:rFonts w:ascii="Times New Roman" w:hAnsi="Times New Roman"/>
                <w:b/>
                <w:sz w:val="22"/>
              </w:rPr>
              <w:t>Requirement</w:t>
            </w:r>
          </w:p>
        </w:tc>
      </w:tr>
      <w:tr>
        <w:tc>
          <w:tcPr>
            <w:tcW w:type="dxa" w:w="4514"/>
          </w:tcPr>
          <w:p>
            <w:r>
              <w:rPr>
                <w:rFonts w:ascii="Times New Roman" w:hAnsi="Times New Roman"/>
                <w:sz w:val="22"/>
              </w:rPr>
              <w:t>NFR-01</w:t>
            </w:r>
          </w:p>
        </w:tc>
        <w:tc>
          <w:tcPr>
            <w:tcW w:type="dxa" w:w="4514"/>
          </w:tcPr>
          <w:p>
            <w:r>
              <w:rPr>
                <w:rFonts w:ascii="Times New Roman" w:hAnsi="Times New Roman"/>
                <w:sz w:val="22"/>
              </w:rPr>
              <w:t>Tenant data must remain isolated through organization ownership and scoped access control.</w:t>
            </w:r>
          </w:p>
        </w:tc>
      </w:tr>
      <w:tr>
        <w:tc>
          <w:tcPr>
            <w:tcW w:type="dxa" w:w="4514"/>
          </w:tcPr>
          <w:p>
            <w:r>
              <w:rPr>
                <w:rFonts w:ascii="Times New Roman" w:hAnsi="Times New Roman"/>
                <w:sz w:val="22"/>
              </w:rPr>
              <w:t>NFR-02</w:t>
            </w:r>
          </w:p>
        </w:tc>
        <w:tc>
          <w:tcPr>
            <w:tcW w:type="dxa" w:w="4514"/>
          </w:tcPr>
          <w:p>
            <w:r>
              <w:rPr>
                <w:rFonts w:ascii="Times New Roman" w:hAnsi="Times New Roman"/>
                <w:sz w:val="22"/>
              </w:rPr>
              <w:t>Provider API keys must be stored securely and not exposed in plaintext to the frontend.</w:t>
            </w:r>
          </w:p>
        </w:tc>
      </w:tr>
      <w:tr>
        <w:tc>
          <w:tcPr>
            <w:tcW w:type="dxa" w:w="4514"/>
          </w:tcPr>
          <w:p>
            <w:r>
              <w:rPr>
                <w:rFonts w:ascii="Times New Roman" w:hAnsi="Times New Roman"/>
                <w:sz w:val="22"/>
              </w:rPr>
              <w:t>NFR-03</w:t>
            </w:r>
          </w:p>
        </w:tc>
        <w:tc>
          <w:tcPr>
            <w:tcW w:type="dxa" w:w="4514"/>
          </w:tcPr>
          <w:p>
            <w:r>
              <w:rPr>
                <w:rFonts w:ascii="Times New Roman" w:hAnsi="Times New Roman"/>
                <w:sz w:val="22"/>
              </w:rPr>
              <w:t>The system should remain deployable through containerized services for reproducibility.</w:t>
            </w:r>
          </w:p>
        </w:tc>
      </w:tr>
      <w:tr>
        <w:tc>
          <w:tcPr>
            <w:tcW w:type="dxa" w:w="4514"/>
          </w:tcPr>
          <w:p>
            <w:r>
              <w:rPr>
                <w:rFonts w:ascii="Times New Roman" w:hAnsi="Times New Roman"/>
                <w:sz w:val="22"/>
              </w:rPr>
              <w:t>NFR-04</w:t>
            </w:r>
          </w:p>
        </w:tc>
        <w:tc>
          <w:tcPr>
            <w:tcW w:type="dxa" w:w="4514"/>
          </w:tcPr>
          <w:p>
            <w:r>
              <w:rPr>
                <w:rFonts w:ascii="Times New Roman" w:hAnsi="Times New Roman"/>
                <w:sz w:val="22"/>
              </w:rPr>
              <w:t>The codebase should remain modular to support maintenance and future feature additions.</w:t>
            </w:r>
          </w:p>
        </w:tc>
      </w:tr>
      <w:tr>
        <w:tc>
          <w:tcPr>
            <w:tcW w:type="dxa" w:w="4514"/>
          </w:tcPr>
          <w:p>
            <w:r>
              <w:rPr>
                <w:rFonts w:ascii="Times New Roman" w:hAnsi="Times New Roman"/>
                <w:sz w:val="22"/>
              </w:rPr>
              <w:t>NFR-05</w:t>
            </w:r>
          </w:p>
        </w:tc>
        <w:tc>
          <w:tcPr>
            <w:tcW w:type="dxa" w:w="4514"/>
          </w:tcPr>
          <w:p>
            <w:r>
              <w:rPr>
                <w:rFonts w:ascii="Times New Roman" w:hAnsi="Times New Roman"/>
                <w:sz w:val="22"/>
              </w:rPr>
              <w:t>The platform should present explainable alerts with reasoning and recommended action.</w:t>
            </w:r>
          </w:p>
        </w:tc>
      </w:tr>
      <w:tr>
        <w:tc>
          <w:tcPr>
            <w:tcW w:type="dxa" w:w="4514"/>
          </w:tcPr>
          <w:p>
            <w:r>
              <w:rPr>
                <w:rFonts w:ascii="Times New Roman" w:hAnsi="Times New Roman"/>
                <w:sz w:val="22"/>
              </w:rPr>
              <w:t>NFR-06</w:t>
            </w:r>
          </w:p>
        </w:tc>
        <w:tc>
          <w:tcPr>
            <w:tcW w:type="dxa" w:w="4514"/>
          </w:tcPr>
          <w:p>
            <w:r>
              <w:rPr>
                <w:rFonts w:ascii="Times New Roman" w:hAnsi="Times New Roman"/>
                <w:sz w:val="22"/>
              </w:rPr>
              <w:t>The system should support portability across local demos and future cloud deployment targets.</w:t>
            </w:r>
          </w:p>
        </w:tc>
      </w:tr>
    </w:tbl>
    <w:p>
      <w:pPr>
        <w:pStyle w:val="Heading1"/>
        <w:spacing w:line="288" w:lineRule="auto" w:after="80" w:before="160"/>
        <w:jc w:val="left"/>
      </w:pPr>
      <w:r>
        <w:t>6. DESIGN</w:t>
      </w:r>
    </w:p>
    <w:p>
      <w:pPr>
        <w:pStyle w:val="Heading2"/>
        <w:spacing w:line="288" w:lineRule="auto" w:after="80" w:before="80"/>
        <w:jc w:val="left"/>
      </w:pPr>
      <w:r>
        <w:t>6.1 System Architecture</w:t>
      </w:r>
    </w:p>
    <w:p>
      <w:pPr>
        <w:spacing w:line="360" w:lineRule="auto" w:after="120" w:before="0"/>
        <w:jc w:val="both"/>
      </w:pPr>
      <w:r>
        <w:t>The ScropIDS architecture follows a layered flow. Endpoint agents collect local process, security, network, and system information. The backend exposes secure ingest endpoints that validate and store events. Celery-backed scheduler logic then groups unprocessed events into aggregate windows, applies LLM analysis and rule escalation, and persists alerts for dashboard consumption.</w:t>
      </w:r>
    </w:p>
    <w:p>
      <w:pPr>
        <w:spacing w:line="276" w:lineRule="auto" w:after="160" w:before="0"/>
        <w:jc w:val="left"/>
      </w:pPr>
      <w:r>
        <w:rPr>
          <w:rFonts w:ascii="Courier New" w:hAnsi="Courier New"/>
          <w:sz w:val="20"/>
        </w:rPr>
        <w:t>Endpoint Agent</w:t>
        <w:br/>
        <w:t xml:space="preserve">        -&gt;</w:t>
        <w:br/>
        <w:t>Secure Ingest API (Django REST)</w:t>
        <w:br/>
        <w:t xml:space="preserve">        -&gt;</w:t>
        <w:br/>
        <w:t>PostgreSQL Event Store</w:t>
        <w:br/>
        <w:t xml:space="preserve">        -&gt;</w:t>
        <w:br/>
        <w:t>Scheduler + Aggregation</w:t>
        <w:br/>
        <w:t xml:space="preserve">        -&gt;</w:t>
        <w:br/>
        <w:t>Rule Engine + LLM Analysis</w:t>
        <w:br/>
        <w:t xml:space="preserve">        -&gt;</w:t>
        <w:br/>
        <w:t>Alerts</w:t>
        <w:br/>
        <w:t xml:space="preserve">        -&gt;</w:t>
        <w:br/>
        <w:t>React Dashboard</w:t>
      </w:r>
    </w:p>
    <w:p>
      <w:pPr>
        <w:pStyle w:val="Heading2"/>
        <w:spacing w:line="288" w:lineRule="auto" w:after="80" w:before="80"/>
        <w:jc w:val="left"/>
      </w:pPr>
      <w:r>
        <w:t>6.2 Design Notations</w:t>
      </w:r>
    </w:p>
    <w:p>
      <w:pPr>
        <w:pStyle w:val="Heading3"/>
        <w:spacing w:line="288" w:lineRule="auto" w:after="80" w:before="80"/>
        <w:jc w:val="left"/>
      </w:pPr>
      <w:r>
        <w:t>6.2.1 Data Flow Diagrams (DFD)</w:t>
      </w:r>
    </w:p>
    <w:p>
      <w:pPr>
        <w:spacing w:line="360" w:lineRule="auto" w:after="120" w:before="0"/>
        <w:jc w:val="both"/>
      </w:pPr>
      <w:r>
        <w:t>At the context level, ScropIDS receives events from agents and configuration actions from dashboard users. It outputs alerts, dashboards, downloadable artifacts, and runtime schedules. At the lower level, the major data stores are organizations, agents, events, aggregated windows, alerts, scheduler profiles, and LLM provider settings.</w:t>
      </w:r>
    </w:p>
    <w:p>
      <w:pPr>
        <w:pStyle w:val="Heading3"/>
        <w:spacing w:line="288" w:lineRule="auto" w:after="80" w:before="80"/>
        <w:jc w:val="left"/>
      </w:pPr>
      <w:r>
        <w:t>6.2.2 Entity Relationship Diagram</w:t>
      </w:r>
    </w:p>
    <w:tbl>
      <w:tblPr>
        <w:tblStyle w:val="TableGrid"/>
        <w:tblW w:type="auto" w:w="0"/>
        <w:tblLook w:firstColumn="1" w:firstRow="1" w:lastColumn="0" w:lastRow="0" w:noHBand="0" w:noVBand="1" w:val="04A0"/>
      </w:tblPr>
      <w:tblGrid>
        <w:gridCol w:w="4514"/>
        <w:gridCol w:w="4514"/>
      </w:tblGrid>
      <w:tr>
        <w:tc>
          <w:tcPr>
            <w:tcW w:type="dxa" w:w="4514"/>
          </w:tcPr>
          <w:p>
            <w:r>
              <w:rPr>
                <w:rFonts w:ascii="Times New Roman" w:hAnsi="Times New Roman"/>
                <w:b/>
                <w:sz w:val="22"/>
              </w:rPr>
              <w:t>Entity</w:t>
            </w:r>
          </w:p>
        </w:tc>
        <w:tc>
          <w:tcPr>
            <w:tcW w:type="dxa" w:w="4514"/>
          </w:tcPr>
          <w:p>
            <w:r>
              <w:rPr>
                <w:rFonts w:ascii="Times New Roman" w:hAnsi="Times New Roman"/>
                <w:b/>
                <w:sz w:val="22"/>
              </w:rPr>
              <w:t>Key Relationship</w:t>
            </w:r>
          </w:p>
        </w:tc>
      </w:tr>
      <w:tr>
        <w:tc>
          <w:tcPr>
            <w:tcW w:type="dxa" w:w="4514"/>
          </w:tcPr>
          <w:p>
            <w:r>
              <w:rPr>
                <w:rFonts w:ascii="Times New Roman" w:hAnsi="Times New Roman"/>
                <w:sz w:val="22"/>
              </w:rPr>
              <w:t>Organization</w:t>
            </w:r>
          </w:p>
        </w:tc>
        <w:tc>
          <w:tcPr>
            <w:tcW w:type="dxa" w:w="4514"/>
          </w:tcPr>
          <w:p>
            <w:r>
              <w:rPr>
                <w:rFonts w:ascii="Times New Roman" w:hAnsi="Times New Roman"/>
                <w:sz w:val="22"/>
              </w:rPr>
              <w:t>Parent tenant entity for memberships, agents, events, scheduler configs, providers, and alerts</w:t>
            </w:r>
          </w:p>
        </w:tc>
      </w:tr>
      <w:tr>
        <w:tc>
          <w:tcPr>
            <w:tcW w:type="dxa" w:w="4514"/>
          </w:tcPr>
          <w:p>
            <w:r>
              <w:rPr>
                <w:rFonts w:ascii="Times New Roman" w:hAnsi="Times New Roman"/>
                <w:sz w:val="22"/>
              </w:rPr>
              <w:t>OrganizationMembership</w:t>
            </w:r>
          </w:p>
        </w:tc>
        <w:tc>
          <w:tcPr>
            <w:tcW w:type="dxa" w:w="4514"/>
          </w:tcPr>
          <w:p>
            <w:r>
              <w:rPr>
                <w:rFonts w:ascii="Times New Roman" w:hAnsi="Times New Roman"/>
                <w:sz w:val="22"/>
              </w:rPr>
              <w:t>Maps a user to an organization and role</w:t>
            </w:r>
          </w:p>
        </w:tc>
      </w:tr>
      <w:tr>
        <w:tc>
          <w:tcPr>
            <w:tcW w:type="dxa" w:w="4514"/>
          </w:tcPr>
          <w:p>
            <w:r>
              <w:rPr>
                <w:rFonts w:ascii="Times New Roman" w:hAnsi="Times New Roman"/>
                <w:sz w:val="22"/>
              </w:rPr>
              <w:t>Agent</w:t>
            </w:r>
          </w:p>
        </w:tc>
        <w:tc>
          <w:tcPr>
            <w:tcW w:type="dxa" w:w="4514"/>
          </w:tcPr>
          <w:p>
            <w:r>
              <w:rPr>
                <w:rFonts w:ascii="Times New Roman" w:hAnsi="Times New Roman"/>
                <w:sz w:val="22"/>
              </w:rPr>
              <w:t>Belongs to one organization and produces many events</w:t>
            </w:r>
          </w:p>
        </w:tc>
      </w:tr>
      <w:tr>
        <w:tc>
          <w:tcPr>
            <w:tcW w:type="dxa" w:w="4514"/>
          </w:tcPr>
          <w:p>
            <w:r>
              <w:rPr>
                <w:rFonts w:ascii="Times New Roman" w:hAnsi="Times New Roman"/>
                <w:sz w:val="22"/>
              </w:rPr>
              <w:t>Event</w:t>
            </w:r>
          </w:p>
        </w:tc>
        <w:tc>
          <w:tcPr>
            <w:tcW w:type="dxa" w:w="4514"/>
          </w:tcPr>
          <w:p>
            <w:r>
              <w:rPr>
                <w:rFonts w:ascii="Times New Roman" w:hAnsi="Times New Roman"/>
                <w:sz w:val="22"/>
              </w:rPr>
              <w:t>Belongs to one agent and one organization</w:t>
            </w:r>
          </w:p>
        </w:tc>
      </w:tr>
      <w:tr>
        <w:tc>
          <w:tcPr>
            <w:tcW w:type="dxa" w:w="4514"/>
          </w:tcPr>
          <w:p>
            <w:r>
              <w:rPr>
                <w:rFonts w:ascii="Times New Roman" w:hAnsi="Times New Roman"/>
                <w:sz w:val="22"/>
              </w:rPr>
              <w:t>AggregatedWindow</w:t>
            </w:r>
          </w:p>
        </w:tc>
        <w:tc>
          <w:tcPr>
            <w:tcW w:type="dxa" w:w="4514"/>
          </w:tcPr>
          <w:p>
            <w:r>
              <w:rPr>
                <w:rFonts w:ascii="Times New Roman" w:hAnsi="Times New Roman"/>
                <w:sz w:val="22"/>
              </w:rPr>
              <w:t>Summarizes a time bucket of related events for one agent</w:t>
            </w:r>
          </w:p>
        </w:tc>
      </w:tr>
      <w:tr>
        <w:tc>
          <w:tcPr>
            <w:tcW w:type="dxa" w:w="4514"/>
          </w:tcPr>
          <w:p>
            <w:r>
              <w:rPr>
                <w:rFonts w:ascii="Times New Roman" w:hAnsi="Times New Roman"/>
                <w:sz w:val="22"/>
              </w:rPr>
              <w:t>Alert</w:t>
            </w:r>
          </w:p>
        </w:tc>
        <w:tc>
          <w:tcPr>
            <w:tcW w:type="dxa" w:w="4514"/>
          </w:tcPr>
          <w:p>
            <w:r>
              <w:rPr>
                <w:rFonts w:ascii="Times New Roman" w:hAnsi="Times New Roman"/>
                <w:sz w:val="22"/>
              </w:rPr>
              <w:t>Created from analyzed aggregate windows according to threshold policy</w:t>
            </w:r>
          </w:p>
        </w:tc>
      </w:tr>
      <w:tr>
        <w:tc>
          <w:tcPr>
            <w:tcW w:type="dxa" w:w="4514"/>
          </w:tcPr>
          <w:p>
            <w:r>
              <w:rPr>
                <w:rFonts w:ascii="Times New Roman" w:hAnsi="Times New Roman"/>
                <w:sz w:val="22"/>
              </w:rPr>
              <w:t>LLMProviderConfig</w:t>
            </w:r>
          </w:p>
        </w:tc>
        <w:tc>
          <w:tcPr>
            <w:tcW w:type="dxa" w:w="4514"/>
          </w:tcPr>
          <w:p>
            <w:r>
              <w:rPr>
                <w:rFonts w:ascii="Times New Roman" w:hAnsi="Times New Roman"/>
                <w:sz w:val="22"/>
              </w:rPr>
              <w:t>Stores tenant-specific provider name, endpoint, model, and encrypted key</w:t>
            </w:r>
          </w:p>
        </w:tc>
      </w:tr>
      <w:tr>
        <w:tc>
          <w:tcPr>
            <w:tcW w:type="dxa" w:w="4514"/>
          </w:tcPr>
          <w:p>
            <w:r>
              <w:rPr>
                <w:rFonts w:ascii="Times New Roman" w:hAnsi="Times New Roman"/>
                <w:sz w:val="22"/>
              </w:rPr>
              <w:t>SchedulerConfig</w:t>
            </w:r>
          </w:p>
        </w:tc>
        <w:tc>
          <w:tcPr>
            <w:tcW w:type="dxa" w:w="4514"/>
          </w:tcPr>
          <w:p>
            <w:r>
              <w:rPr>
                <w:rFonts w:ascii="Times New Roman" w:hAnsi="Times New Roman"/>
                <w:sz w:val="22"/>
              </w:rPr>
              <w:t>Stores runtime intervals, collector toggles, thresholds, and rule configuration</w:t>
            </w:r>
          </w:p>
        </w:tc>
      </w:tr>
    </w:tbl>
    <w:p>
      <w:pPr>
        <w:pStyle w:val="Heading2"/>
        <w:spacing w:line="288" w:lineRule="auto" w:after="80" w:before="80"/>
        <w:jc w:val="left"/>
      </w:pPr>
      <w:r>
        <w:t>6.3 Detailed Module Design</w:t>
      </w:r>
    </w:p>
    <w:p>
      <w:pPr>
        <w:pStyle w:val="Heading3"/>
        <w:spacing w:line="288" w:lineRule="auto" w:after="80" w:before="80"/>
        <w:jc w:val="left"/>
      </w:pPr>
      <w:r>
        <w:t>6.3.1 Agent Collection and Enrollment Module</w:t>
      </w:r>
    </w:p>
    <w:p>
      <w:pPr>
        <w:spacing w:line="360" w:lineRule="auto" w:after="120" w:before="0"/>
        <w:jc w:val="both"/>
      </w:pPr>
      <w:r>
        <w:t>The Go agent supports interactive setup, quick enrollment using organization access tokens, and legacy enrollment using one-time tokens. After onboarding, the agent stores configuration locally, periodically pulls the runtime schedule from /api/v1/ingest/config/, sends heartbeat messages, and submits event batches to the backend.</w:t>
      </w:r>
    </w:p>
    <w:p>
      <w:pPr>
        <w:pStyle w:val="Heading3"/>
        <w:spacing w:line="288" w:lineRule="auto" w:after="80" w:before="80"/>
        <w:jc w:val="left"/>
      </w:pPr>
      <w:r>
        <w:t>6.3.2 Secure Ingestion and Tenancy Module</w:t>
      </w:r>
    </w:p>
    <w:p>
      <w:pPr>
        <w:spacing w:line="360" w:lineRule="auto" w:after="120" w:before="0"/>
        <w:jc w:val="both"/>
      </w:pPr>
      <w:r>
        <w:t>The backend validates incoming event payloads, authenticates agents via request headers, and stores tenant-aware event records. Human users access tenant data through session-backed dashboard APIs, with optional organization selection using the X-Organization-Slug request header.</w:t>
      </w:r>
    </w:p>
    <w:p>
      <w:pPr>
        <w:pStyle w:val="Heading3"/>
        <w:spacing w:line="288" w:lineRule="auto" w:after="80" w:before="80"/>
        <w:jc w:val="left"/>
      </w:pPr>
      <w:r>
        <w:t>6.3.3 Aggregation, Rule, and LLM Analysis Module</w:t>
      </w:r>
    </w:p>
    <w:p>
      <w:pPr>
        <w:spacing w:line="360" w:lineRule="auto" w:after="120" w:before="0"/>
        <w:jc w:val="both"/>
      </w:pPr>
      <w:r>
        <w:t>Unprocessed events are grouped into aggregate windows by organization and agent. Each window captures summary counters such as failed logins, suspicious commands, new processes, and external connections. The resulting summary is sent to the selected LLM provider and then passed through a rule escalation engine so that deterministic rules can raise the final threat level when necessary.</w:t>
      </w:r>
    </w:p>
    <w:p>
      <w:pPr>
        <w:pStyle w:val="Heading3"/>
        <w:spacing w:line="288" w:lineRule="auto" w:after="80" w:before="80"/>
        <w:jc w:val="left"/>
      </w:pPr>
      <w:r>
        <w:t>6.3.4 Dashboard and Administration Module</w:t>
      </w:r>
    </w:p>
    <w:p>
      <w:pPr>
        <w:spacing w:line="360" w:lineRule="auto" w:after="120" w:before="0"/>
        <w:jc w:val="both"/>
      </w:pPr>
      <w:r>
        <w:t>The dashboard exposes pages for live overview metrics, alert queue management, agent download and token workflows, LLM provider management, scheduler tuning, and rule editing. This keeps both analyst operations and administrator controls inside one tenant-aware interface.</w:t>
      </w:r>
    </w:p>
    <w:p>
      <w:pPr>
        <w:pStyle w:val="Heading2"/>
        <w:spacing w:line="288" w:lineRule="auto" w:after="80" w:before="80"/>
        <w:jc w:val="left"/>
      </w:pPr>
      <w:r>
        <w:t>6.4 Flowcharts</w:t>
      </w:r>
    </w:p>
    <w:p>
      <w:pPr>
        <w:pStyle w:val="Heading3"/>
        <w:spacing w:line="288" w:lineRule="auto" w:after="80" w:before="80"/>
        <w:jc w:val="left"/>
      </w:pPr>
      <w:r>
        <w:t>6.4.1 Agent Enrollment and Event Flow</w:t>
      </w:r>
    </w:p>
    <w:p>
      <w:pPr>
        <w:spacing w:line="276" w:lineRule="auto" w:after="160" w:before="0"/>
        <w:jc w:val="left"/>
      </w:pPr>
      <w:r>
        <w:rPr>
          <w:rFonts w:ascii="Courier New" w:hAnsi="Courier New"/>
          <w:sz w:val="20"/>
        </w:rPr>
        <w:t>Create organization</w:t>
        <w:br/>
        <w:t xml:space="preserve">        -&gt;</w:t>
        <w:br/>
        <w:t>Generate enrollment or access token</w:t>
        <w:br/>
        <w:t xml:space="preserve">        -&gt;</w:t>
        <w:br/>
        <w:t>Run agent setup / quick enroll</w:t>
        <w:br/>
        <w:t xml:space="preserve">        -&gt;</w:t>
        <w:br/>
        <w:t>Receive agent_id and agent_token</w:t>
        <w:br/>
        <w:t xml:space="preserve">        -&gt;</w:t>
        <w:br/>
        <w:t>Send heartbeat and event batches</w:t>
        <w:br/>
        <w:t xml:space="preserve">        -&gt;</w:t>
        <w:br/>
        <w:t>Backend stores tenant-scoped events</w:t>
      </w:r>
    </w:p>
    <w:p>
      <w:pPr>
        <w:pStyle w:val="Heading3"/>
        <w:spacing w:line="288" w:lineRule="auto" w:after="80" w:before="80"/>
        <w:jc w:val="left"/>
      </w:pPr>
      <w:r>
        <w:t>6.4.2 Alert Generation Flow</w:t>
      </w:r>
    </w:p>
    <w:p>
      <w:pPr>
        <w:spacing w:line="276" w:lineRule="auto" w:after="160" w:before="0"/>
        <w:jc w:val="left"/>
      </w:pPr>
      <w:r>
        <w:rPr>
          <w:rFonts w:ascii="Courier New" w:hAnsi="Courier New"/>
          <w:sz w:val="20"/>
        </w:rPr>
        <w:t>Collect unprocessed events</w:t>
        <w:br/>
        <w:t xml:space="preserve">        -&gt;</w:t>
        <w:br/>
        <w:t>Filter by minimum severity</w:t>
        <w:br/>
        <w:t xml:space="preserve">        -&gt;</w:t>
        <w:br/>
        <w:t>Group by agent and time window</w:t>
        <w:br/>
        <w:t xml:space="preserve">        -&gt;</w:t>
        <w:br/>
        <w:t>Build aggregate summary</w:t>
        <w:br/>
        <w:t xml:space="preserve">        -&gt;</w:t>
        <w:br/>
        <w:t>LLM analysis</w:t>
        <w:br/>
        <w:t xml:space="preserve">        -&gt;</w:t>
        <w:br/>
        <w:t>Rule escalation</w:t>
        <w:br/>
        <w:t xml:space="preserve">        -&gt;</w:t>
        <w:br/>
        <w:t>Compare with alert threshold</w:t>
        <w:br/>
        <w:t xml:space="preserve">        -&gt;</w:t>
        <w:br/>
        <w:t>Create alert and show in dashboard</w:t>
      </w:r>
    </w:p>
    <w:p>
      <w:pPr>
        <w:pStyle w:val="Heading2"/>
        <w:spacing w:line="288" w:lineRule="auto" w:after="80" w:before="80"/>
        <w:jc w:val="left"/>
      </w:pPr>
      <w:r>
        <w:t>6.5 Pseudocode</w:t>
      </w:r>
    </w:p>
    <w:p>
      <w:pPr>
        <w:pStyle w:val="Heading3"/>
        <w:spacing w:line="288" w:lineRule="auto" w:after="80" w:before="80"/>
        <w:jc w:val="left"/>
      </w:pPr>
      <w:r>
        <w:t>6.5.1 Aggregation Algorithm</w:t>
      </w:r>
    </w:p>
    <w:p>
      <w:pPr>
        <w:spacing w:line="276" w:lineRule="auto" w:after="160" w:before="0"/>
        <w:jc w:val="left"/>
      </w:pPr>
      <w:r>
        <w:rPr>
          <w:rFonts w:ascii="Courier New" w:hAnsi="Courier New"/>
          <w:sz w:val="20"/>
        </w:rPr>
        <w:t>for each active scheduler configuration:</w:t>
        <w:br/>
        <w:t xml:space="preserve">    determine aggregation window</w:t>
        <w:br/>
        <w:t xml:space="preserve">    fetch unprocessed events for organization</w:t>
        <w:br/>
        <w:t xml:space="preserve">    discard events below configured severity threshold</w:t>
        <w:br/>
        <w:t xml:space="preserve">    group remaining events by agent</w:t>
        <w:br/>
        <w:t xml:space="preserve">    for each agent group:</w:t>
        <w:br/>
        <w:t xml:space="preserve">        create aggregate summary</w:t>
        <w:br/>
        <w:t xml:space="preserve">        save aggregate window</w:t>
        <w:br/>
        <w:t xml:space="preserve">    mark grouped events as processed</w:t>
        <w:br/>
        <w:t xml:space="preserve">    analyze pending aggregates</w:t>
      </w:r>
    </w:p>
    <w:p>
      <w:pPr>
        <w:pStyle w:val="Heading3"/>
        <w:spacing w:line="288" w:lineRule="auto" w:after="80" w:before="80"/>
        <w:jc w:val="left"/>
      </w:pPr>
      <w:r>
        <w:t>6.5.2 Rule Escalation Algorithm</w:t>
      </w:r>
    </w:p>
    <w:p>
      <w:pPr>
        <w:spacing w:line="276" w:lineRule="auto" w:after="160" w:before="0"/>
        <w:jc w:val="left"/>
      </w:pPr>
      <w:r>
        <w:rPr>
          <w:rFonts w:ascii="Courier New" w:hAnsi="Courier New"/>
          <w:sz w:val="20"/>
        </w:rPr>
        <w:t>threat_level = llm_output.threat_level</w:t>
        <w:br/>
        <w:t>confidence = llm_output.confidence</w:t>
        <w:br/>
        <w:t>for each enabled built-in or custom rule:</w:t>
        <w:br/>
        <w:t xml:space="preserve">    if summary counters satisfy the rule:</w:t>
        <w:br/>
        <w:t xml:space="preserve">        threat_level = max(threat_level, rule.set_threat)</w:t>
        <w:br/>
        <w:t xml:space="preserve">        confidence = max(confidence, rule.min_confidence)</w:t>
        <w:br/>
        <w:t>record matching rules</w:t>
        <w:br/>
        <w:t>return updated llm_output</w:t>
      </w:r>
    </w:p>
    <w:p>
      <w:pPr>
        <w:pStyle w:val="Heading1"/>
        <w:spacing w:line="288" w:lineRule="auto" w:after="80" w:before="160"/>
        <w:jc w:val="left"/>
      </w:pPr>
      <w:r>
        <w:t>7. TESTING</w:t>
      </w:r>
    </w:p>
    <w:p>
      <w:pPr>
        <w:pStyle w:val="Heading2"/>
        <w:spacing w:line="288" w:lineRule="auto" w:after="80" w:before="80"/>
        <w:jc w:val="left"/>
      </w:pPr>
      <w:r>
        <w:t>7.1 Functional Testing</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Test Area</w:t>
            </w:r>
          </w:p>
        </w:tc>
        <w:tc>
          <w:tcPr>
            <w:tcW w:type="dxa" w:w="3010"/>
          </w:tcPr>
          <w:p>
            <w:r>
              <w:rPr>
                <w:rFonts w:ascii="Times New Roman" w:hAnsi="Times New Roman"/>
                <w:b/>
                <w:sz w:val="22"/>
              </w:rPr>
              <w:t>Purpose</w:t>
            </w:r>
          </w:p>
        </w:tc>
        <w:tc>
          <w:tcPr>
            <w:tcW w:type="dxa" w:w="3010"/>
          </w:tcPr>
          <w:p>
            <w:r>
              <w:rPr>
                <w:rFonts w:ascii="Times New Roman" w:hAnsi="Times New Roman"/>
                <w:b/>
                <w:sz w:val="22"/>
              </w:rPr>
              <w:t>Current Evidence</w:t>
            </w:r>
          </w:p>
        </w:tc>
      </w:tr>
      <w:tr>
        <w:tc>
          <w:tcPr>
            <w:tcW w:type="dxa" w:w="3010"/>
          </w:tcPr>
          <w:p>
            <w:r>
              <w:rPr>
                <w:rFonts w:ascii="Times New Roman" w:hAnsi="Times New Roman"/>
                <w:sz w:val="22"/>
              </w:rPr>
              <w:t>Backend unit tests</w:t>
            </w:r>
          </w:p>
        </w:tc>
        <w:tc>
          <w:tcPr>
            <w:tcW w:type="dxa" w:w="3010"/>
          </w:tcPr>
          <w:p>
            <w:r>
              <w:rPr>
                <w:rFonts w:ascii="Times New Roman" w:hAnsi="Times New Roman"/>
                <w:sz w:val="22"/>
              </w:rPr>
              <w:t>Validate token handling and aggregate processing behavior</w:t>
            </w:r>
          </w:p>
        </w:tc>
        <w:tc>
          <w:tcPr>
            <w:tcW w:type="dxa" w:w="3010"/>
          </w:tcPr>
          <w:p>
            <w:r>
              <w:rPr>
                <w:rFonts w:ascii="Times New Roman" w:hAnsi="Times New Roman"/>
                <w:sz w:val="22"/>
              </w:rPr>
              <w:t>Backend unit tests executed successfully: ./backend/.venv/bin/python manage.py test apps.core</w:t>
            </w:r>
          </w:p>
        </w:tc>
      </w:tr>
      <w:tr>
        <w:tc>
          <w:tcPr>
            <w:tcW w:type="dxa" w:w="3010"/>
          </w:tcPr>
          <w:p>
            <w:r>
              <w:rPr>
                <w:rFonts w:ascii="Times New Roman" w:hAnsi="Times New Roman"/>
                <w:sz w:val="22"/>
              </w:rPr>
              <w:t>Frontend build</w:t>
            </w:r>
          </w:p>
        </w:tc>
        <w:tc>
          <w:tcPr>
            <w:tcW w:type="dxa" w:w="3010"/>
          </w:tcPr>
          <w:p>
            <w:r>
              <w:rPr>
                <w:rFonts w:ascii="Times New Roman" w:hAnsi="Times New Roman"/>
                <w:sz w:val="22"/>
              </w:rPr>
              <w:t>Confirm dashboard code compiles to a production bundle</w:t>
            </w:r>
          </w:p>
        </w:tc>
        <w:tc>
          <w:tcPr>
            <w:tcW w:type="dxa" w:w="3010"/>
          </w:tcPr>
          <w:p>
            <w:r>
              <w:rPr>
                <w:rFonts w:ascii="Times New Roman" w:hAnsi="Times New Roman"/>
                <w:sz w:val="22"/>
              </w:rPr>
              <w:t>Frontend production build executed successfully: npm run build</w:t>
            </w:r>
          </w:p>
        </w:tc>
      </w:tr>
      <w:tr>
        <w:tc>
          <w:tcPr>
            <w:tcW w:type="dxa" w:w="3010"/>
          </w:tcPr>
          <w:p>
            <w:r>
              <w:rPr>
                <w:rFonts w:ascii="Times New Roman" w:hAnsi="Times New Roman"/>
                <w:sz w:val="22"/>
              </w:rPr>
              <w:t>Go agent build</w:t>
            </w:r>
          </w:p>
        </w:tc>
        <w:tc>
          <w:tcPr>
            <w:tcW w:type="dxa" w:w="3010"/>
          </w:tcPr>
          <w:p>
            <w:r>
              <w:rPr>
                <w:rFonts w:ascii="Times New Roman" w:hAnsi="Times New Roman"/>
                <w:sz w:val="22"/>
              </w:rPr>
              <w:t>Confirm agent source builds successfully on the current workspace</w:t>
            </w:r>
          </w:p>
        </w:tc>
        <w:tc>
          <w:tcPr>
            <w:tcW w:type="dxa" w:w="3010"/>
          </w:tcPr>
          <w:p>
            <w:r>
              <w:rPr>
                <w:rFonts w:ascii="Times New Roman" w:hAnsi="Times New Roman"/>
                <w:sz w:val="22"/>
              </w:rPr>
              <w:t>Go agent build executed successfully: go build -o /tmp/scropids-agent-verify ./cmd/agent</w:t>
            </w:r>
          </w:p>
        </w:tc>
      </w:tr>
      <w:tr>
        <w:tc>
          <w:tcPr>
            <w:tcW w:type="dxa" w:w="3010"/>
          </w:tcPr>
          <w:p>
            <w:r>
              <w:rPr>
                <w:rFonts w:ascii="Times New Roman" w:hAnsi="Times New Roman"/>
                <w:sz w:val="22"/>
              </w:rPr>
              <w:t>SaaS smoke workflow</w:t>
            </w:r>
          </w:p>
        </w:tc>
        <w:tc>
          <w:tcPr>
            <w:tcW w:type="dxa" w:w="3010"/>
          </w:tcPr>
          <w:p>
            <w:r>
              <w:rPr>
                <w:rFonts w:ascii="Times New Roman" w:hAnsi="Times New Roman"/>
                <w:sz w:val="22"/>
              </w:rPr>
              <w:t>Validate organization creation, enrollment, ingestion, scheduler tick, and overview retrieval</w:t>
            </w:r>
          </w:p>
        </w:tc>
        <w:tc>
          <w:tcPr>
            <w:tcW w:type="dxa" w:w="3010"/>
          </w:tcPr>
          <w:p>
            <w:r>
              <w:rPr>
                <w:rFonts w:ascii="Times New Roman" w:hAnsi="Times New Roman"/>
                <w:sz w:val="22"/>
              </w:rPr>
              <w:t>Documented in docs/smoke-test-saas.md for end-to-end execution</w:t>
            </w:r>
          </w:p>
        </w:tc>
      </w:tr>
    </w:tbl>
    <w:p>
      <w:pPr>
        <w:pStyle w:val="Heading2"/>
        <w:spacing w:line="288" w:lineRule="auto" w:after="80" w:before="80"/>
        <w:jc w:val="left"/>
      </w:pPr>
      <w:r>
        <w:t>7.2 Structural Testing (White-Box Testing)</w:t>
      </w:r>
    </w:p>
    <w:p>
      <w:pPr>
        <w:spacing w:line="360" w:lineRule="auto" w:after="120" w:before="0"/>
        <w:jc w:val="both"/>
      </w:pPr>
      <w:r>
        <w:t>White-box testing focuses on internal service behavior, especially authentication, event aggregation, and state transitions. The current backend test suite includes explicit checks for agent token round-trip validation and for the aggregate_events pipeline marking source events as processed after creating an aggregate window.</w:t>
      </w:r>
    </w:p>
    <w:p>
      <w:pPr>
        <w:pStyle w:val="Heading2"/>
        <w:spacing w:line="288" w:lineRule="auto" w:after="80" w:before="80"/>
        <w:jc w:val="left"/>
      </w:pPr>
      <w:r>
        <w:t>7.3 Levels of Testing</w:t>
      </w:r>
    </w:p>
    <w:p>
      <w:pPr>
        <w:pStyle w:val="Heading3"/>
        <w:spacing w:line="288" w:lineRule="auto" w:after="80" w:before="80"/>
        <w:jc w:val="left"/>
      </w:pPr>
      <w:r>
        <w:t>7.3.1 Unit Testing</w:t>
      </w:r>
    </w:p>
    <w:p>
      <w:pPr>
        <w:spacing w:line="360" w:lineRule="auto" w:after="120" w:before="0"/>
        <w:jc w:val="both"/>
      </w:pPr>
      <w:r>
        <w:t>Unit tests are present in backend/apps/core/tests.py. These tests verify model behavior and aggregation logic without requiring the full deployed system.</w:t>
      </w:r>
    </w:p>
    <w:p>
      <w:pPr>
        <w:pStyle w:val="Heading3"/>
        <w:spacing w:line="288" w:lineRule="auto" w:after="80" w:before="80"/>
        <w:jc w:val="left"/>
      </w:pPr>
      <w:r>
        <w:t>7.3.2 Integration Testing</w:t>
      </w:r>
    </w:p>
    <w:p>
      <w:pPr>
        <w:spacing w:line="360" w:lineRule="auto" w:after="120" w:before="0"/>
        <w:jc w:val="both"/>
      </w:pPr>
      <w:r>
        <w:t>Integration testing is supported through the documented API flow that creates an organization, issues tokens, enrolls an agent, ingests events, runs the scheduler, and reads dashboard metrics. These steps exercise interactions between authentication, persistence, background processing, and API serialization.</w:t>
      </w:r>
    </w:p>
    <w:p>
      <w:pPr>
        <w:pStyle w:val="Heading3"/>
        <w:spacing w:line="288" w:lineRule="auto" w:after="80" w:before="80"/>
        <w:jc w:val="left"/>
      </w:pPr>
      <w:r>
        <w:t>7.3.3 System Testing</w:t>
      </w:r>
    </w:p>
    <w:p>
      <w:pPr>
        <w:spacing w:line="360" w:lineRule="auto" w:after="120" w:before="0"/>
        <w:jc w:val="both"/>
      </w:pPr>
      <w:r>
        <w:t>System testing is performed by deploying the services through Docker Compose and validating the full workflow from browser UI to backend APIs and worker-driven alert generation. This level ensures that service topology, environment configuration, and user-facing features operate together as expected.</w:t>
      </w:r>
    </w:p>
    <w:p>
      <w:pPr>
        <w:pStyle w:val="Heading3"/>
        <w:spacing w:line="288" w:lineRule="auto" w:after="80" w:before="80"/>
        <w:jc w:val="left"/>
      </w:pPr>
      <w:r>
        <w:t>7.3.4 User Acceptance Testing (UAT)</w:t>
      </w:r>
    </w:p>
    <w:p>
      <w:pPr>
        <w:spacing w:line="360" w:lineRule="auto" w:after="120" w:before="0"/>
        <w:jc w:val="both"/>
      </w:pPr>
      <w:r>
        <w:t>UAT for this project centers on analyst and administrator tasks: signing in, choosing the active tenant, reviewing overview metrics, opening alerts, reading LLM reasoning, downloading agent packages, and editing scheduler or rule settings. The focus is on clarity of workflow and usefulness of alert context.</w:t>
      </w:r>
    </w:p>
    <w:p>
      <w:pPr>
        <w:pStyle w:val="Heading3"/>
        <w:spacing w:line="288" w:lineRule="auto" w:after="80" w:before="80"/>
        <w:jc w:val="left"/>
      </w:pPr>
      <w:r>
        <w:t>7.3.5 Performance Testing</w:t>
      </w:r>
    </w:p>
    <w:p>
      <w:pPr>
        <w:spacing w:line="360" w:lineRule="auto" w:after="120" w:before="0"/>
        <w:jc w:val="both"/>
      </w:pPr>
      <w:r>
        <w:t>The current capstone phase emphasizes functional and architectural validation rather than large-scale load benchmarking. However, the design already anticipates horizontal scale by separating ingestion, storage, and background workers. Formal stress testing and queue-depth benchmarking remain part of future enhancement work.</w:t>
      </w:r>
    </w:p>
    <w:p>
      <w:pPr>
        <w:pStyle w:val="Heading1"/>
        <w:spacing w:line="288" w:lineRule="auto" w:after="80" w:before="160"/>
        <w:jc w:val="left"/>
      </w:pPr>
      <w:r>
        <w:t>8. IMPLEMENTATION</w:t>
      </w:r>
    </w:p>
    <w:p>
      <w:pPr>
        <w:pStyle w:val="Heading2"/>
        <w:spacing w:line="288" w:lineRule="auto" w:after="80" w:before="80"/>
        <w:jc w:val="left"/>
      </w:pPr>
      <w:r>
        <w:t>8.1 Implementation of the Project</w:t>
      </w:r>
    </w:p>
    <w:p>
      <w:pPr>
        <w:spacing w:line="360" w:lineRule="auto" w:after="120" w:before="0"/>
        <w:jc w:val="both"/>
      </w:pPr>
      <w:r>
        <w:t>The implementation is organized as a monorepo. The backend is written in Django and Django REST Framework, the frontend is built with React + Vite + TypeScript, and the endpoint agent is written in Go. Supporting services include PostgreSQL for persistent storage, Redis for message brokering, and Celery worker/beat processes for scheduler execution.</w:t>
      </w:r>
    </w:p>
    <w:p>
      <w:pPr>
        <w:spacing w:line="360" w:lineRule="auto" w:after="120" w:before="0"/>
        <w:jc w:val="both"/>
      </w:pPr>
      <w:r>
        <w:t>The backend provides models for organizations, memberships, agents, events, scheduler profiles, LLM providers, aggregate windows, and alerts. Service modules handle encryption, LLM calls, alert creation, notifications, and pipeline execution. The frontend consumes tenant-filtered APIs and renders pages for overview, alerts, agents, LLM configuration, scheduler management, and rules.</w:t>
      </w:r>
    </w:p>
    <w:p>
      <w:pPr>
        <w:pStyle w:val="Heading2"/>
        <w:spacing w:line="288" w:lineRule="auto" w:after="80" w:before="80"/>
        <w:jc w:val="left"/>
      </w:pPr>
      <w:r>
        <w:t>8.2 Conversion Plan</w:t>
      </w:r>
    </w:p>
    <w:p>
      <w:pPr>
        <w:pStyle w:val="ListNumber"/>
        <w:spacing w:line="360" w:lineRule="auto" w:after="120" w:before="0"/>
        <w:jc w:val="both"/>
      </w:pPr>
      <w:r>
        <w:t>Deploy the backend, database, Redis, worker, beat, and frontend services using Docker Compose.</w:t>
      </w:r>
    </w:p>
    <w:p>
      <w:pPr>
        <w:pStyle w:val="ListNumber"/>
        <w:spacing w:line="360" w:lineRule="auto" w:after="120" w:before="0"/>
        <w:jc w:val="both"/>
      </w:pPr>
      <w:r>
        <w:t>Create the initial tenant organization and administrator account.</w:t>
      </w:r>
    </w:p>
    <w:p>
      <w:pPr>
        <w:pStyle w:val="ListNumber"/>
        <w:spacing w:line="360" w:lineRule="auto" w:after="120" w:before="0"/>
        <w:jc w:val="both"/>
      </w:pPr>
      <w:r>
        <w:t>Configure an active LLM provider or keep the platform in rule-only fallback mode during early rollout.</w:t>
      </w:r>
    </w:p>
    <w:p>
      <w:pPr>
        <w:pStyle w:val="ListNumber"/>
        <w:spacing w:line="360" w:lineRule="auto" w:after="120" w:before="0"/>
        <w:jc w:val="both"/>
      </w:pPr>
      <w:r>
        <w:t>Distribute agent packages to selected endpoints and enroll them using organization access tokens.</w:t>
      </w:r>
    </w:p>
    <w:p>
      <w:pPr>
        <w:pStyle w:val="ListNumber"/>
        <w:spacing w:line="360" w:lineRule="auto" w:after="120" w:before="0"/>
        <w:jc w:val="both"/>
      </w:pPr>
      <w:r>
        <w:t>Validate event flow and alert creation in a pilot environment before wider onboarding.</w:t>
      </w:r>
    </w:p>
    <w:p>
      <w:pPr>
        <w:pStyle w:val="ListNumber"/>
        <w:spacing w:line="360" w:lineRule="auto" w:after="120" w:before="0"/>
        <w:jc w:val="both"/>
      </w:pPr>
      <w:r>
        <w:t>Refine scheduler thresholds, rule packs, and alert handling policies based on analyst feedback.</w:t>
      </w:r>
    </w:p>
    <w:p>
      <w:pPr>
        <w:pStyle w:val="Heading2"/>
        <w:spacing w:line="288" w:lineRule="auto" w:after="80" w:before="80"/>
        <w:jc w:val="left"/>
      </w:pPr>
      <w:r>
        <w:t>8.3 Post-Implementation and Software Maintenance</w:t>
      </w:r>
    </w:p>
    <w:p>
      <w:pPr>
        <w:pStyle w:val="ListBullet"/>
        <w:spacing w:line="360" w:lineRule="auto" w:after="120" w:before="0"/>
        <w:jc w:val="both"/>
      </w:pPr>
      <w:r>
        <w:t>Rotate organization access tokens and provider keys periodically.</w:t>
      </w:r>
    </w:p>
    <w:p>
      <w:pPr>
        <w:pStyle w:val="ListBullet"/>
        <w:spacing w:line="360" w:lineRule="auto" w:after="120" w:before="0"/>
        <w:jc w:val="both"/>
      </w:pPr>
      <w:r>
        <w:t>Maintain database backups and retention policies for event and alert records.</w:t>
      </w:r>
    </w:p>
    <w:p>
      <w:pPr>
        <w:pStyle w:val="ListBullet"/>
        <w:spacing w:line="360" w:lineRule="auto" w:after="120" w:before="0"/>
        <w:jc w:val="both"/>
      </w:pPr>
      <w:r>
        <w:t>Update dependencies, base images, and agent binaries as new fixes are released.</w:t>
      </w:r>
    </w:p>
    <w:p>
      <w:pPr>
        <w:pStyle w:val="ListBullet"/>
        <w:spacing w:line="360" w:lineRule="auto" w:after="120" w:before="0"/>
        <w:jc w:val="both"/>
      </w:pPr>
      <w:r>
        <w:t>Tune thresholds and custom rules to reduce false positives over time.</w:t>
      </w:r>
    </w:p>
    <w:p>
      <w:pPr>
        <w:pStyle w:val="ListBullet"/>
        <w:spacing w:line="360" w:lineRule="auto" w:after="120" w:before="0"/>
        <w:jc w:val="both"/>
      </w:pPr>
      <w:r>
        <w:t>Expand observability and incident audit trails as production adoption grows.</w:t>
      </w:r>
    </w:p>
    <w:p>
      <w:pPr>
        <w:pStyle w:val="Heading1"/>
        <w:spacing w:line="288" w:lineRule="auto" w:after="80" w:before="160"/>
        <w:jc w:val="left"/>
      </w:pPr>
      <w:r>
        <w:t>9. PROJECT LEGACY</w:t>
      </w:r>
    </w:p>
    <w:p>
      <w:pPr>
        <w:pStyle w:val="Heading2"/>
        <w:spacing w:line="288" w:lineRule="auto" w:after="80" w:before="80"/>
        <w:jc w:val="left"/>
      </w:pPr>
      <w:r>
        <w:t>9.1 Current Status of the Project</w:t>
      </w:r>
    </w:p>
    <w:p>
      <w:pPr>
        <w:spacing w:line="360" w:lineRule="auto" w:after="120" w:before="0"/>
        <w:jc w:val="both"/>
      </w:pPr>
      <w:r>
        <w:t>ScropIDS currently exists as a production-oriented capstone implementation with a functioning backend, dashboard, multi-tenant model, token-based onboarding, scheduler-driven aggregation, rule escalation, and LLM provider integration. Cross-platform packaging support for downloadable agents is also present.</w:t>
      </w:r>
    </w:p>
    <w:p>
      <w:pPr>
        <w:pStyle w:val="Heading2"/>
        <w:spacing w:line="288" w:lineRule="auto" w:after="80" w:before="80"/>
        <w:jc w:val="left"/>
      </w:pPr>
      <w:r>
        <w:t>9.2 Remaining Areas of Concern</w:t>
      </w:r>
    </w:p>
    <w:p>
      <w:pPr>
        <w:pStyle w:val="ListBullet"/>
        <w:spacing w:line="360" w:lineRule="auto" w:after="120" w:before="0"/>
        <w:jc w:val="both"/>
      </w:pPr>
      <w:r>
        <w:t>Full OS-specific telemetry collectors are still evolving beyond the current starter implementation.</w:t>
      </w:r>
    </w:p>
    <w:p>
      <w:pPr>
        <w:pStyle w:val="ListBullet"/>
        <w:spacing w:line="360" w:lineRule="auto" w:after="120" w:before="0"/>
        <w:jc w:val="both"/>
      </w:pPr>
      <w:r>
        <w:t>Role-based access control can be further refined for larger analyst teams.</w:t>
      </w:r>
    </w:p>
    <w:p>
      <w:pPr>
        <w:pStyle w:val="ListBullet"/>
        <w:spacing w:line="360" w:lineRule="auto" w:after="120" w:before="0"/>
        <w:jc w:val="both"/>
      </w:pPr>
      <w:r>
        <w:t>Formal load testing and long-duration operational observation are still needed.</w:t>
      </w:r>
    </w:p>
    <w:p>
      <w:pPr>
        <w:pStyle w:val="ListBullet"/>
        <w:spacing w:line="360" w:lineRule="auto" w:after="120" w:before="0"/>
        <w:jc w:val="both"/>
      </w:pPr>
      <w:r>
        <w:t>Advanced threat enrichment such as Sigma rule packs and ATT&amp;CK mapping remains future work.</w:t>
      </w:r>
    </w:p>
    <w:p>
      <w:pPr>
        <w:pStyle w:val="Heading2"/>
        <w:spacing w:line="288" w:lineRule="auto" w:after="80" w:before="80"/>
        <w:jc w:val="left"/>
      </w:pPr>
      <w:r>
        <w:t>9.3 Technical and Managerial Lessons Learnt</w:t>
      </w:r>
    </w:p>
    <w:p>
      <w:pPr>
        <w:pStyle w:val="Heading3"/>
        <w:spacing w:line="288" w:lineRule="auto" w:after="80" w:before="80"/>
        <w:jc w:val="left"/>
      </w:pPr>
      <w:r>
        <w:t>9.3.1 Technical Lessons</w:t>
      </w:r>
    </w:p>
    <w:p>
      <w:pPr>
        <w:pStyle w:val="ListBullet"/>
        <w:spacing w:line="360" w:lineRule="auto" w:after="120" w:before="0"/>
        <w:jc w:val="both"/>
      </w:pPr>
      <w:r>
        <w:t>Strict JSON contracts simplify downstream processing and reduce ambiguity in alerts.</w:t>
      </w:r>
    </w:p>
    <w:p>
      <w:pPr>
        <w:pStyle w:val="ListBullet"/>
        <w:spacing w:line="360" w:lineRule="auto" w:after="120" w:before="0"/>
        <w:jc w:val="both"/>
      </w:pPr>
      <w:r>
        <w:t>Combining deterministic rules with LLM reasoning produces a more dependable triage workflow than relying on either alone.</w:t>
      </w:r>
    </w:p>
    <w:p>
      <w:pPr>
        <w:pStyle w:val="ListBullet"/>
        <w:spacing w:line="360" w:lineRule="auto" w:after="120" w:before="0"/>
        <w:jc w:val="both"/>
      </w:pPr>
      <w:r>
        <w:t>A tenant-aware data model must be designed early, not added later as an afterthought.</w:t>
      </w:r>
    </w:p>
    <w:p>
      <w:pPr>
        <w:pStyle w:val="ListBullet"/>
        <w:spacing w:line="360" w:lineRule="auto" w:after="120" w:before="0"/>
        <w:jc w:val="both"/>
      </w:pPr>
      <w:r>
        <w:t>Packaging and onboarding are as important for usability as the detection logic itself.</w:t>
      </w:r>
    </w:p>
    <w:p>
      <w:pPr>
        <w:pStyle w:val="Heading3"/>
        <w:spacing w:line="288" w:lineRule="auto" w:after="80" w:before="80"/>
        <w:jc w:val="left"/>
      </w:pPr>
      <w:r>
        <w:t>9.3.2 Managerial Lessons</w:t>
      </w:r>
    </w:p>
    <w:p>
      <w:pPr>
        <w:pStyle w:val="ListBullet"/>
        <w:spacing w:line="360" w:lineRule="auto" w:after="120" w:before="0"/>
        <w:jc w:val="both"/>
      </w:pPr>
      <w:r>
        <w:t>Incremental milestones reduced complexity by allowing backend, frontend, and agent work to progress in parallel.</w:t>
      </w:r>
    </w:p>
    <w:p>
      <w:pPr>
        <w:pStyle w:val="ListBullet"/>
        <w:spacing w:line="360" w:lineRule="auto" w:after="120" w:before="0"/>
        <w:jc w:val="both"/>
      </w:pPr>
      <w:r>
        <w:t>Continuous documentation made the system easier to validate and explain during review stages.</w:t>
      </w:r>
    </w:p>
    <w:p>
      <w:pPr>
        <w:pStyle w:val="ListBullet"/>
        <w:spacing w:line="360" w:lineRule="auto" w:after="120" w:before="0"/>
        <w:jc w:val="both"/>
      </w:pPr>
      <w:r>
        <w:t>A clear scope boundary prevented the capstone from drifting into enterprise-scale EDR ambitions.</w:t>
      </w:r>
    </w:p>
    <w:p>
      <w:pPr>
        <w:pStyle w:val="ListBullet"/>
        <w:spacing w:line="360" w:lineRule="auto" w:after="120" w:before="0"/>
        <w:jc w:val="both"/>
      </w:pPr>
      <w:r>
        <w:t>Feedback from likely users is critical for making alert output understandable and actionable.</w:t>
      </w:r>
    </w:p>
    <w:p>
      <w:pPr>
        <w:pStyle w:val="Heading1"/>
        <w:spacing w:line="288" w:lineRule="auto" w:after="80" w:before="160"/>
        <w:jc w:val="left"/>
      </w:pPr>
      <w:r>
        <w:t>10. USER MANUAL (HELP GUIDE)</w:t>
      </w:r>
    </w:p>
    <w:p>
      <w:pPr>
        <w:pStyle w:val="Heading2"/>
        <w:spacing w:line="288" w:lineRule="auto" w:after="80" w:before="80"/>
        <w:jc w:val="left"/>
      </w:pPr>
      <w:r>
        <w:t>10.1 Introduction</w:t>
      </w:r>
    </w:p>
    <w:p>
      <w:pPr>
        <w:spacing w:line="360" w:lineRule="auto" w:after="120" w:before="0"/>
        <w:jc w:val="both"/>
      </w:pPr>
      <w:r>
        <w:t>This section explains the normal operator workflow for ScropIDS. The platform supports session-based dashboard usage for human users and token-based communication for endpoint agents.</w:t>
      </w:r>
    </w:p>
    <w:p>
      <w:pPr>
        <w:pStyle w:val="Heading2"/>
        <w:spacing w:line="288" w:lineRule="auto" w:after="80" w:before="80"/>
        <w:jc w:val="left"/>
      </w:pPr>
      <w:r>
        <w:t>10.2 System Requirements</w:t>
      </w:r>
    </w:p>
    <w:tbl>
      <w:tblPr>
        <w:tblStyle w:val="TableGrid"/>
        <w:tblW w:type="auto" w:w="0"/>
        <w:tblLook w:firstColumn="1" w:firstRow="1" w:lastColumn="0" w:lastRow="0" w:noHBand="0" w:noVBand="1" w:val="04A0"/>
      </w:tblPr>
      <w:tblGrid>
        <w:gridCol w:w="4514"/>
        <w:gridCol w:w="4514"/>
      </w:tblGrid>
      <w:tr>
        <w:tc>
          <w:tcPr>
            <w:tcW w:type="dxa" w:w="4514"/>
          </w:tcPr>
          <w:p>
            <w:r>
              <w:rPr>
                <w:rFonts w:ascii="Times New Roman" w:hAnsi="Times New Roman"/>
                <w:b/>
                <w:sz w:val="22"/>
              </w:rPr>
              <w:t>Component</w:t>
            </w:r>
          </w:p>
        </w:tc>
        <w:tc>
          <w:tcPr>
            <w:tcW w:type="dxa" w:w="4514"/>
          </w:tcPr>
          <w:p>
            <w:r>
              <w:rPr>
                <w:rFonts w:ascii="Times New Roman" w:hAnsi="Times New Roman"/>
                <w:b/>
                <w:sz w:val="22"/>
              </w:rPr>
              <w:t>Minimum Requirement</w:t>
            </w:r>
          </w:p>
        </w:tc>
      </w:tr>
      <w:tr>
        <w:tc>
          <w:tcPr>
            <w:tcW w:type="dxa" w:w="4514"/>
          </w:tcPr>
          <w:p>
            <w:r>
              <w:rPr>
                <w:rFonts w:ascii="Times New Roman" w:hAnsi="Times New Roman"/>
                <w:sz w:val="22"/>
              </w:rPr>
              <w:t>Backend host</w:t>
            </w:r>
          </w:p>
        </w:tc>
        <w:tc>
          <w:tcPr>
            <w:tcW w:type="dxa" w:w="4514"/>
          </w:tcPr>
          <w:p>
            <w:r>
              <w:rPr>
                <w:rFonts w:ascii="Times New Roman" w:hAnsi="Times New Roman"/>
                <w:sz w:val="22"/>
              </w:rPr>
              <w:t>2 vCPU, 4 GB RAM</w:t>
            </w:r>
          </w:p>
        </w:tc>
      </w:tr>
      <w:tr>
        <w:tc>
          <w:tcPr>
            <w:tcW w:type="dxa" w:w="4514"/>
          </w:tcPr>
          <w:p>
            <w:r>
              <w:rPr>
                <w:rFonts w:ascii="Times New Roman" w:hAnsi="Times New Roman"/>
                <w:sz w:val="22"/>
              </w:rPr>
              <w:t>Database</w:t>
            </w:r>
          </w:p>
        </w:tc>
        <w:tc>
          <w:tcPr>
            <w:tcW w:type="dxa" w:w="4514"/>
          </w:tcPr>
          <w:p>
            <w:r>
              <w:rPr>
                <w:rFonts w:ascii="Times New Roman" w:hAnsi="Times New Roman"/>
                <w:sz w:val="22"/>
              </w:rPr>
              <w:t>PostgreSQL 13+ with JSONB support</w:t>
            </w:r>
          </w:p>
        </w:tc>
      </w:tr>
      <w:tr>
        <w:tc>
          <w:tcPr>
            <w:tcW w:type="dxa" w:w="4514"/>
          </w:tcPr>
          <w:p>
            <w:r>
              <w:rPr>
                <w:rFonts w:ascii="Times New Roman" w:hAnsi="Times New Roman"/>
                <w:sz w:val="22"/>
              </w:rPr>
              <w:t>Queue</w:t>
            </w:r>
          </w:p>
        </w:tc>
        <w:tc>
          <w:tcPr>
            <w:tcW w:type="dxa" w:w="4514"/>
          </w:tcPr>
          <w:p>
            <w:r>
              <w:rPr>
                <w:rFonts w:ascii="Times New Roman" w:hAnsi="Times New Roman"/>
                <w:sz w:val="22"/>
              </w:rPr>
              <w:t>Redis 6+</w:t>
            </w:r>
          </w:p>
        </w:tc>
      </w:tr>
      <w:tr>
        <w:tc>
          <w:tcPr>
            <w:tcW w:type="dxa" w:w="4514"/>
          </w:tcPr>
          <w:p>
            <w:r>
              <w:rPr>
                <w:rFonts w:ascii="Times New Roman" w:hAnsi="Times New Roman"/>
                <w:sz w:val="22"/>
              </w:rPr>
              <w:t>Agent endpoint</w:t>
            </w:r>
          </w:p>
        </w:tc>
        <w:tc>
          <w:tcPr>
            <w:tcW w:type="dxa" w:w="4514"/>
          </w:tcPr>
          <w:p>
            <w:r>
              <w:rPr>
                <w:rFonts w:ascii="Times New Roman" w:hAnsi="Times New Roman"/>
                <w:sz w:val="22"/>
              </w:rPr>
              <w:t>Outbound network access to API and permission to read available audit sources</w:t>
            </w:r>
          </w:p>
        </w:tc>
      </w:tr>
      <w:tr>
        <w:tc>
          <w:tcPr>
            <w:tcW w:type="dxa" w:w="4514"/>
          </w:tcPr>
          <w:p>
            <w:r>
              <w:rPr>
                <w:rFonts w:ascii="Times New Roman" w:hAnsi="Times New Roman"/>
                <w:sz w:val="22"/>
              </w:rPr>
              <w:t>Frontend</w:t>
            </w:r>
          </w:p>
        </w:tc>
        <w:tc>
          <w:tcPr>
            <w:tcW w:type="dxa" w:w="4514"/>
          </w:tcPr>
          <w:p>
            <w:r>
              <w:rPr>
                <w:rFonts w:ascii="Times New Roman" w:hAnsi="Times New Roman"/>
                <w:sz w:val="22"/>
              </w:rPr>
              <w:t>Modern Chromium, Firefox, or Safari browser</w:t>
            </w:r>
          </w:p>
        </w:tc>
      </w:tr>
    </w:tbl>
    <w:p>
      <w:pPr>
        <w:pStyle w:val="Heading2"/>
        <w:spacing w:line="288" w:lineRule="auto" w:after="80" w:before="80"/>
        <w:jc w:val="left"/>
      </w:pPr>
      <w:r>
        <w:t>10.3 Dashboard User Guide</w:t>
      </w:r>
    </w:p>
    <w:p>
      <w:pPr>
        <w:pStyle w:val="Heading3"/>
        <w:spacing w:line="288" w:lineRule="auto" w:after="80" w:before="80"/>
        <w:jc w:val="left"/>
      </w:pPr>
      <w:r>
        <w:t>10.3.1 Account Registration and Login</w:t>
      </w:r>
    </w:p>
    <w:p>
      <w:pPr>
        <w:pStyle w:val="ListNumber"/>
        <w:spacing w:line="360" w:lineRule="auto" w:after="120" w:before="0"/>
        <w:jc w:val="both"/>
      </w:pPr>
      <w:r>
        <w:t>Open the application and navigate to the login page.</w:t>
      </w:r>
    </w:p>
    <w:p>
      <w:pPr>
        <w:pStyle w:val="ListNumber"/>
        <w:spacing w:line="360" w:lineRule="auto" w:after="120" w:before="0"/>
        <w:jc w:val="both"/>
      </w:pPr>
      <w:r>
        <w:t>Use an existing username/password pair or register a new account if the deployment allows self-registration.</w:t>
      </w:r>
    </w:p>
    <w:p>
      <w:pPr>
        <w:pStyle w:val="ListNumber"/>
        <w:spacing w:line="360" w:lineRule="auto" w:after="120" w:before="0"/>
        <w:jc w:val="both"/>
      </w:pPr>
      <w:r>
        <w:t>After authentication, select the active organization from the tenant switcher in the header.</w:t>
      </w:r>
    </w:p>
    <w:p>
      <w:pPr>
        <w:pStyle w:val="Heading3"/>
        <w:spacing w:line="288" w:lineRule="auto" w:after="80" w:before="80"/>
        <w:jc w:val="left"/>
      </w:pPr>
      <w:r>
        <w:t>10.3.2 Reviewing Overview and Alerts</w:t>
      </w:r>
    </w:p>
    <w:p>
      <w:pPr>
        <w:pStyle w:val="ListNumber"/>
        <w:spacing w:line="360" w:lineRule="auto" w:after="120" w:before="0"/>
        <w:jc w:val="both"/>
      </w:pPr>
      <w:r>
        <w:t>Open the Overview page to review total agents, recent events, active alerts, and threat distribution.</w:t>
      </w:r>
    </w:p>
    <w:p>
      <w:pPr>
        <w:pStyle w:val="ListNumber"/>
        <w:spacing w:line="360" w:lineRule="auto" w:after="120" w:before="0"/>
        <w:jc w:val="both"/>
      </w:pPr>
      <w:r>
        <w:t>Open the Alerts page to inspect alert severity, confidence, reasoning, and recommended actions.</w:t>
      </w:r>
    </w:p>
    <w:p>
      <w:pPr>
        <w:pStyle w:val="ListNumber"/>
        <w:spacing w:line="360" w:lineRule="auto" w:after="120" w:before="0"/>
        <w:jc w:val="both"/>
      </w:pPr>
      <w:r>
        <w:t>Update alert status as work progresses from open to in_progress or resolved.</w:t>
      </w:r>
    </w:p>
    <w:p>
      <w:pPr>
        <w:pStyle w:val="Heading3"/>
        <w:spacing w:line="288" w:lineRule="auto" w:after="80" w:before="80"/>
        <w:jc w:val="left"/>
      </w:pPr>
      <w:r>
        <w:t>10.3.3 Managing Agents and Tokens</w:t>
      </w:r>
    </w:p>
    <w:p>
      <w:pPr>
        <w:pStyle w:val="ListNumber"/>
        <w:spacing w:line="360" w:lineRule="auto" w:after="120" w:before="0"/>
        <w:jc w:val="both"/>
      </w:pPr>
      <w:r>
        <w:t>Open the Agents page to review enrolled endpoints and online/offline state.</w:t>
      </w:r>
    </w:p>
    <w:p>
      <w:pPr>
        <w:pStyle w:val="ListNumber"/>
        <w:spacing w:line="360" w:lineRule="auto" w:after="120" w:before="0"/>
        <w:jc w:val="both"/>
      </w:pPr>
      <w:r>
        <w:t>Reset or copy the organization access token when onboarding new machines.</w:t>
      </w:r>
    </w:p>
    <w:p>
      <w:pPr>
        <w:pStyle w:val="ListNumber"/>
        <w:spacing w:line="360" w:lineRule="auto" w:after="120" w:before="0"/>
        <w:jc w:val="both"/>
      </w:pPr>
      <w:r>
        <w:t>Download the recommended package for Windows, Linux, or macOS and run the displayed command.</w:t>
      </w:r>
    </w:p>
    <w:p>
      <w:pPr>
        <w:pStyle w:val="Heading3"/>
        <w:spacing w:line="288" w:lineRule="auto" w:after="80" w:before="80"/>
        <w:jc w:val="left"/>
      </w:pPr>
      <w:r>
        <w:t>10.3.4 Reading LLM Recommendations</w:t>
      </w:r>
    </w:p>
    <w:p>
      <w:pPr>
        <w:spacing w:line="360" w:lineRule="auto" w:after="120" w:before="0"/>
        <w:jc w:val="both"/>
      </w:pPr>
      <w:r>
        <w:t>For each alert, the drawer panel includes reasoning text and recommended action produced by the analysis pipeline. Analysts should treat this guidance as decision support and verify the suggestion before taking containment or remediation action.</w:t>
      </w:r>
    </w:p>
    <w:p>
      <w:pPr>
        <w:pStyle w:val="Heading2"/>
        <w:spacing w:line="288" w:lineRule="auto" w:after="80" w:before="80"/>
        <w:jc w:val="left"/>
      </w:pPr>
      <w:r>
        <w:t>10.4 Administrator Guide</w:t>
      </w:r>
    </w:p>
    <w:p>
      <w:pPr>
        <w:pStyle w:val="Heading3"/>
        <w:spacing w:line="288" w:lineRule="auto" w:after="80" w:before="80"/>
        <w:jc w:val="left"/>
      </w:pPr>
      <w:r>
        <w:t>10.4.1 Creating Organizations and Memberships</w:t>
      </w:r>
    </w:p>
    <w:p>
      <w:pPr>
        <w:spacing w:line="360" w:lineRule="auto" w:after="120" w:before="0"/>
        <w:jc w:val="both"/>
      </w:pPr>
      <w:r>
        <w:t>Administrators can create organizations through the API or the administrative interface. Memberships determine which users are allowed to access tenant data and configuration controls.</w:t>
      </w:r>
    </w:p>
    <w:p>
      <w:pPr>
        <w:pStyle w:val="Heading3"/>
        <w:spacing w:line="288" w:lineRule="auto" w:after="80" w:before="80"/>
        <w:jc w:val="left"/>
      </w:pPr>
      <w:r>
        <w:t>10.4.2 Configuring LLM Providers</w:t>
      </w:r>
    </w:p>
    <w:p>
      <w:pPr>
        <w:spacing w:line="360" w:lineRule="auto" w:after="120" w:before="0"/>
        <w:jc w:val="both"/>
      </w:pPr>
      <w:r>
        <w:t>The LLM Config page supports both API-hosted and local providers. Enter a provider name, base URL, model name, timeout, and API key if needed. Activate only the provider intended for the current tenant.</w:t>
      </w:r>
    </w:p>
    <w:p>
      <w:pPr>
        <w:pStyle w:val="Heading3"/>
        <w:spacing w:line="288" w:lineRule="auto" w:after="80" w:before="80"/>
        <w:jc w:val="left"/>
      </w:pPr>
      <w:r>
        <w:t>10.4.3 Managing Scheduler and Rules</w:t>
      </w:r>
    </w:p>
    <w:p>
      <w:pPr>
        <w:spacing w:line="360" w:lineRule="auto" w:after="120" w:before="0"/>
        <w:jc w:val="both"/>
      </w:pPr>
      <w:r>
        <w:t>The Scheduler page controls aggregation interval, minimum severity, alert threshold, and agent runtime collector toggles. The Rules page enables built-in rule escalation and supports custom rule JSON or imported rule packs.</w:t>
      </w:r>
    </w:p>
    <w:p>
      <w:pPr>
        <w:pStyle w:val="Heading2"/>
        <w:spacing w:line="288" w:lineRule="auto" w:after="80" w:before="80"/>
        <w:jc w:val="left"/>
      </w:pPr>
      <w:r>
        <w:t>10.5 Agent Setup Guide</w:t>
      </w:r>
    </w:p>
    <w:p>
      <w:pPr>
        <w:pStyle w:val="ListNumber"/>
        <w:spacing w:line="360" w:lineRule="auto" w:after="120" w:before="0"/>
        <w:jc w:val="both"/>
      </w:pPr>
      <w:r>
        <w:t>Download the correct platform package from the Agents page.</w:t>
      </w:r>
    </w:p>
    <w:p>
      <w:pPr>
        <w:pStyle w:val="ListNumber"/>
        <w:spacing w:line="360" w:lineRule="auto" w:after="120" w:before="0"/>
        <w:jc w:val="both"/>
      </w:pPr>
      <w:r>
        <w:t>Run the binary with --setup or provide SCROPIDS_API_BASE, SCROPIDS_ORG_SLUG, and SCROPIDS_ORG_ACCESS_TOKEN.</w:t>
      </w:r>
    </w:p>
    <w:p>
      <w:pPr>
        <w:pStyle w:val="ListNumber"/>
        <w:spacing w:line="360" w:lineRule="auto" w:after="120" w:before="0"/>
        <w:jc w:val="both"/>
      </w:pPr>
      <w:r>
        <w:t>Allow the agent to quick-enroll and save its local configuration.</w:t>
      </w:r>
    </w:p>
    <w:p>
      <w:pPr>
        <w:pStyle w:val="ListNumber"/>
        <w:spacing w:line="360" w:lineRule="auto" w:after="120" w:before="0"/>
        <w:jc w:val="both"/>
      </w:pPr>
      <w:r>
        <w:t>Verify that heartbeat and event batches appear in the backend.</w:t>
      </w:r>
    </w:p>
    <w:p>
      <w:pPr>
        <w:pStyle w:val="Heading2"/>
        <w:spacing w:line="288" w:lineRule="auto" w:after="80" w:before="80"/>
        <w:jc w:val="left"/>
      </w:pPr>
      <w:r>
        <w:t>10.6 Troubleshooting Guide</w:t>
      </w:r>
    </w:p>
    <w:p>
      <w:pPr>
        <w:pStyle w:val="ListBullet"/>
        <w:spacing w:line="360" w:lineRule="auto" w:after="120" w:before="0"/>
        <w:jc w:val="both"/>
      </w:pPr>
      <w:r>
        <w:t>If agent enrollment fails, verify the organization slug, token value, and API base URL.</w:t>
      </w:r>
    </w:p>
    <w:p>
      <w:pPr>
        <w:pStyle w:val="ListBullet"/>
        <w:spacing w:line="360" w:lineRule="auto" w:after="120" w:before="0"/>
        <w:jc w:val="both"/>
      </w:pPr>
      <w:r>
        <w:t>If no alerts appear, check whether an active LLM provider or suitable rule thresholds are configured.</w:t>
      </w:r>
    </w:p>
    <w:p>
      <w:pPr>
        <w:pStyle w:val="ListBullet"/>
        <w:spacing w:line="360" w:lineRule="auto" w:after="120" w:before="0"/>
        <w:jc w:val="both"/>
      </w:pPr>
      <w:r>
        <w:t>If the dashboard is empty for a tenant, confirm that the correct organization is selected in the header.</w:t>
      </w:r>
    </w:p>
    <w:p>
      <w:pPr>
        <w:pStyle w:val="ListBullet"/>
        <w:spacing w:line="360" w:lineRule="auto" w:after="120" w:before="0"/>
        <w:jc w:val="both"/>
      </w:pPr>
      <w:r>
        <w:t>If scheduler-driven alerts lag behind, inspect Celery worker/beat services and Redis connectivity.</w:t>
      </w:r>
    </w:p>
    <w:p>
      <w:pPr>
        <w:pStyle w:val="Heading1"/>
        <w:spacing w:line="288" w:lineRule="auto" w:after="80" w:before="160"/>
        <w:jc w:val="left"/>
      </w:pPr>
      <w:r>
        <w:t>11. SYSTEM SNAPSHOTS</w:t>
      </w:r>
    </w:p>
    <w:p>
      <w:pPr>
        <w:pStyle w:val="Heading2"/>
        <w:spacing w:line="288" w:lineRule="auto" w:after="80" w:before="80"/>
        <w:jc w:val="left"/>
      </w:pPr>
      <w:r>
        <w:t>11.1 System Snapshots</w:t>
      </w:r>
    </w:p>
    <w:p>
      <w:pPr>
        <w:spacing w:line="360" w:lineRule="auto" w:after="120" w:before="0"/>
        <w:jc w:val="both"/>
      </w:pPr>
      <w:r>
        <w:t>The following snapshot inventory can be used when final live screenshots are inserted before submission. Each caption already matches the implemented modules in the repository.</w:t>
      </w:r>
    </w:p>
    <w:tbl>
      <w:tblPr>
        <w:tblStyle w:val="TableGrid"/>
        <w:tblW w:type="auto" w:w="0"/>
        <w:tblLook w:firstColumn="1" w:firstRow="1" w:lastColumn="0" w:lastRow="0" w:noHBand="0" w:noVBand="1" w:val="04A0"/>
      </w:tblPr>
      <w:tblGrid>
        <w:gridCol w:w="4514"/>
        <w:gridCol w:w="4514"/>
      </w:tblGrid>
      <w:tr>
        <w:tc>
          <w:tcPr>
            <w:tcW w:type="dxa" w:w="4514"/>
          </w:tcPr>
          <w:p>
            <w:r>
              <w:rPr>
                <w:rFonts w:ascii="Times New Roman" w:hAnsi="Times New Roman"/>
                <w:b/>
                <w:sz w:val="22"/>
              </w:rPr>
              <w:t>Suggested Screenshot</w:t>
            </w:r>
          </w:p>
        </w:tc>
        <w:tc>
          <w:tcPr>
            <w:tcW w:type="dxa" w:w="4514"/>
          </w:tcPr>
          <w:p>
            <w:r>
              <w:rPr>
                <w:rFonts w:ascii="Times New Roman" w:hAnsi="Times New Roman"/>
                <w:b/>
                <w:sz w:val="22"/>
              </w:rPr>
              <w:t>Caption / Description</w:t>
            </w:r>
          </w:p>
        </w:tc>
      </w:tr>
      <w:tr>
        <w:tc>
          <w:tcPr>
            <w:tcW w:type="dxa" w:w="4514"/>
          </w:tcPr>
          <w:p>
            <w:r>
              <w:rPr>
                <w:rFonts w:ascii="Times New Roman" w:hAnsi="Times New Roman"/>
                <w:sz w:val="22"/>
              </w:rPr>
              <w:t>Login Page</w:t>
            </w:r>
          </w:p>
        </w:tc>
        <w:tc>
          <w:tcPr>
            <w:tcW w:type="dxa" w:w="4514"/>
          </w:tcPr>
          <w:p>
            <w:r>
              <w:rPr>
                <w:rFonts w:ascii="Times New Roman" w:hAnsi="Times New Roman"/>
                <w:sz w:val="22"/>
              </w:rPr>
              <w:t>Session-based authentication screen for dashboard users</w:t>
            </w:r>
          </w:p>
        </w:tc>
      </w:tr>
      <w:tr>
        <w:tc>
          <w:tcPr>
            <w:tcW w:type="dxa" w:w="4514"/>
          </w:tcPr>
          <w:p>
            <w:r>
              <w:rPr>
                <w:rFonts w:ascii="Times New Roman" w:hAnsi="Times New Roman"/>
                <w:sz w:val="22"/>
              </w:rPr>
              <w:t>Overview Dashboard</w:t>
            </w:r>
          </w:p>
        </w:tc>
        <w:tc>
          <w:tcPr>
            <w:tcW w:type="dxa" w:w="4514"/>
          </w:tcPr>
          <w:p>
            <w:r>
              <w:rPr>
                <w:rFonts w:ascii="Times New Roman" w:hAnsi="Times New Roman"/>
                <w:sz w:val="22"/>
              </w:rPr>
              <w:t>Tenant-level metrics, live alerts, and threat distribution</w:t>
            </w:r>
          </w:p>
        </w:tc>
      </w:tr>
      <w:tr>
        <w:tc>
          <w:tcPr>
            <w:tcW w:type="dxa" w:w="4514"/>
          </w:tcPr>
          <w:p>
            <w:r>
              <w:rPr>
                <w:rFonts w:ascii="Times New Roman" w:hAnsi="Times New Roman"/>
                <w:sz w:val="22"/>
              </w:rPr>
              <w:t>Alerts Page</w:t>
            </w:r>
          </w:p>
        </w:tc>
        <w:tc>
          <w:tcPr>
            <w:tcW w:type="dxa" w:w="4514"/>
          </w:tcPr>
          <w:p>
            <w:r>
              <w:rPr>
                <w:rFonts w:ascii="Times New Roman" w:hAnsi="Times New Roman"/>
                <w:sz w:val="22"/>
              </w:rPr>
              <w:t>Alert queue with threat level, confidence, reasoning, and recommended action</w:t>
            </w:r>
          </w:p>
        </w:tc>
      </w:tr>
      <w:tr>
        <w:tc>
          <w:tcPr>
            <w:tcW w:type="dxa" w:w="4514"/>
          </w:tcPr>
          <w:p>
            <w:r>
              <w:rPr>
                <w:rFonts w:ascii="Times New Roman" w:hAnsi="Times New Roman"/>
                <w:sz w:val="22"/>
              </w:rPr>
              <w:t>Agents Page</w:t>
            </w:r>
          </w:p>
        </w:tc>
        <w:tc>
          <w:tcPr>
            <w:tcW w:type="dxa" w:w="4514"/>
          </w:tcPr>
          <w:p>
            <w:r>
              <w:rPr>
                <w:rFonts w:ascii="Times New Roman" w:hAnsi="Times New Roman"/>
                <w:sz w:val="22"/>
              </w:rPr>
              <w:t>Organization token reset, package downloads, and enrolled agent list</w:t>
            </w:r>
          </w:p>
        </w:tc>
      </w:tr>
      <w:tr>
        <w:tc>
          <w:tcPr>
            <w:tcW w:type="dxa" w:w="4514"/>
          </w:tcPr>
          <w:p>
            <w:r>
              <w:rPr>
                <w:rFonts w:ascii="Times New Roman" w:hAnsi="Times New Roman"/>
                <w:sz w:val="22"/>
              </w:rPr>
              <w:t>LLM Config Page</w:t>
            </w:r>
          </w:p>
        </w:tc>
        <w:tc>
          <w:tcPr>
            <w:tcW w:type="dxa" w:w="4514"/>
          </w:tcPr>
          <w:p>
            <w:r>
              <w:rPr>
                <w:rFonts w:ascii="Times New Roman" w:hAnsi="Times New Roman"/>
                <w:sz w:val="22"/>
              </w:rPr>
              <w:t>Tenant-scoped provider setup for OpenAI-compatible or local models</w:t>
            </w:r>
          </w:p>
        </w:tc>
      </w:tr>
      <w:tr>
        <w:tc>
          <w:tcPr>
            <w:tcW w:type="dxa" w:w="4514"/>
          </w:tcPr>
          <w:p>
            <w:r>
              <w:rPr>
                <w:rFonts w:ascii="Times New Roman" w:hAnsi="Times New Roman"/>
                <w:sz w:val="22"/>
              </w:rPr>
              <w:t>Scheduler Page</w:t>
            </w:r>
          </w:p>
        </w:tc>
        <w:tc>
          <w:tcPr>
            <w:tcW w:type="dxa" w:w="4514"/>
          </w:tcPr>
          <w:p>
            <w:r>
              <w:rPr>
                <w:rFonts w:ascii="Times New Roman" w:hAnsi="Times New Roman"/>
                <w:sz w:val="22"/>
              </w:rPr>
              <w:t>Aggregation interval, collector toggles, and agent runtime profile</w:t>
            </w:r>
          </w:p>
        </w:tc>
      </w:tr>
      <w:tr>
        <w:tc>
          <w:tcPr>
            <w:tcW w:type="dxa" w:w="4514"/>
          </w:tcPr>
          <w:p>
            <w:r>
              <w:rPr>
                <w:rFonts w:ascii="Times New Roman" w:hAnsi="Times New Roman"/>
                <w:sz w:val="22"/>
              </w:rPr>
              <w:t>Rules Page</w:t>
            </w:r>
          </w:p>
        </w:tc>
        <w:tc>
          <w:tcPr>
            <w:tcW w:type="dxa" w:w="4514"/>
          </w:tcPr>
          <w:p>
            <w:r>
              <w:rPr>
                <w:rFonts w:ascii="Times New Roman" w:hAnsi="Times New Roman"/>
                <w:sz w:val="22"/>
              </w:rPr>
              <w:t>Built-in rule escalation settings and custom rule pack import/export</w:t>
            </w:r>
          </w:p>
        </w:tc>
      </w:tr>
    </w:tbl>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Submission Note</w:t>
              <w:br/>
            </w:r>
            <w:r>
              <w:rPr>
                <w:rFonts w:ascii="Times New Roman" w:hAnsi="Times New Roman"/>
                <w:sz w:val="22"/>
              </w:rPr>
              <w:t>Insert the final screenshots after starting the full stack locally or through Docker Compose so the report includes the latest UI state.</w:t>
            </w:r>
          </w:p>
        </w:tc>
      </w:tr>
    </w:tbl>
    <w:p>
      <w:pPr>
        <w:pStyle w:val="Heading1"/>
        <w:spacing w:line="288" w:lineRule="auto" w:after="80" w:before="160"/>
        <w:jc w:val="left"/>
      </w:pPr>
      <w:r>
        <w:t>12. FUTURE SCOPE AND ENHANCEMENTS</w:t>
      </w:r>
    </w:p>
    <w:p>
      <w:pPr>
        <w:pStyle w:val="ListBullet"/>
        <w:spacing w:line="360" w:lineRule="auto" w:after="120" w:before="0"/>
        <w:jc w:val="both"/>
      </w:pPr>
      <w:r>
        <w:t>Implement deeper OS-specific collectors for Windows event logs, Linux audit sources, and macOS unified logs.</w:t>
      </w:r>
    </w:p>
    <w:p>
      <w:pPr>
        <w:pStyle w:val="ListBullet"/>
        <w:spacing w:line="360" w:lineRule="auto" w:after="120" w:before="0"/>
        <w:jc w:val="both"/>
      </w:pPr>
      <w:r>
        <w:t>Add Sigma-compatible rule pack support, MITRE ATT&amp;CK mapping, and threat-intelligence enrichment.</w:t>
      </w:r>
    </w:p>
    <w:p>
      <w:pPr>
        <w:pStyle w:val="ListBullet"/>
        <w:spacing w:line="360" w:lineRule="auto" w:after="120" w:before="0"/>
        <w:jc w:val="both"/>
      </w:pPr>
      <w:r>
        <w:t>Improve role-based access control, audit logging, and analyst collaboration workflows.</w:t>
      </w:r>
    </w:p>
    <w:p>
      <w:pPr>
        <w:pStyle w:val="ListBullet"/>
        <w:spacing w:line="360" w:lineRule="auto" w:after="120" w:before="0"/>
        <w:jc w:val="both"/>
      </w:pPr>
      <w:r>
        <w:t>Introduce large-scale performance testing and orchestration-ready deployment options such as Kubernetes.</w:t>
      </w:r>
    </w:p>
    <w:p>
      <w:pPr>
        <w:pStyle w:val="ListBullet"/>
        <w:spacing w:line="360" w:lineRule="auto" w:after="120" w:before="0"/>
        <w:jc w:val="both"/>
      </w:pPr>
      <w:r>
        <w:t>Expand guided remediation playbooks and richer dashboard visualizations for investigation workflows.</w:t>
      </w:r>
    </w:p>
    <w:p>
      <w:pPr>
        <w:pStyle w:val="Heading1"/>
        <w:spacing w:line="288" w:lineRule="auto" w:after="80" w:before="160"/>
        <w:jc w:val="left"/>
      </w:pPr>
      <w:r>
        <w:t>13. CONCLUSION</w:t>
      </w:r>
    </w:p>
    <w:p>
      <w:pPr>
        <w:spacing w:line="360" w:lineRule="auto" w:after="120" w:before="0"/>
        <w:jc w:val="both"/>
      </w:pPr>
      <w:r>
        <w:t>ScropIDS demonstrates that a capstone project can move beyond a conceptual IDS prototype and become a practical, multi-tenant security platform. The system combines secure agent onboarding, normalized telemetry ingestion, scheduler-driven aggregation, rule-assisted LLM triage, and a dashboard that makes the output easier for analysts to act upon.</w:t>
      </w:r>
    </w:p>
    <w:p>
      <w:pPr>
        <w:spacing w:line="360" w:lineRule="auto" w:after="120" w:before="0"/>
        <w:jc w:val="both"/>
      </w:pPr>
      <w:r>
        <w:t>The current implementation already provides a strong foundation for academic evaluation and future engineering growth. With further collector maturity, broader testing, and richer threat enrichment, the platform can evolve into an even more capable operational monitoring solution.</w:t>
      </w:r>
    </w:p>
    <w:p>
      <w:r>
        <w:br w:type="page"/>
      </w:r>
    </w:p>
    <w:p>
      <w:pPr>
        <w:pStyle w:val="Heading1"/>
        <w:spacing w:line="288" w:lineRule="auto" w:after="80" w:before="160"/>
        <w:jc w:val="left"/>
      </w:pPr>
      <w:r>
        <w:t>14. DETAILED API REFERENCE</w:t>
      </w:r>
    </w:p>
    <w:p>
      <w:pPr>
        <w:spacing w:line="360" w:lineRule="auto" w:after="120" w:before="0"/>
        <w:jc w:val="both"/>
      </w:pPr>
      <w:r>
        <w:t>This appendix expands the operational API view of ScropIDS. The platform uses a mix of session-backed dashboard APIs for human users and token-backed endpoints for agents. The backend is structured so that tenancy, authentication, telemetry ingest, configuration, and alert review can all be expressed through clear REST-style routes.</w:t>
      </w:r>
    </w:p>
    <w:p>
      <w:pPr>
        <w:spacing w:line="360" w:lineRule="auto" w:after="120" w:before="0"/>
        <w:jc w:val="both"/>
      </w:pPr>
      <w:r>
        <w:t>The most important design principle in this API layer is scope awareness. Human users act inside an organization context, while agents act inside an authenticated device identity. This separation is what allows the same platform to safely serve multiple tenants without mixing their data.</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rFonts w:ascii="Times New Roman" w:hAnsi="Times New Roman"/>
                <w:b/>
                <w:sz w:val="22"/>
              </w:rPr>
              <w:t>Endpoint</w:t>
            </w:r>
          </w:p>
        </w:tc>
        <w:tc>
          <w:tcPr>
            <w:tcW w:type="dxa" w:w="2257"/>
          </w:tcPr>
          <w:p>
            <w:r>
              <w:rPr>
                <w:rFonts w:ascii="Times New Roman" w:hAnsi="Times New Roman"/>
                <w:b/>
                <w:sz w:val="22"/>
              </w:rPr>
              <w:t>Method</w:t>
            </w:r>
          </w:p>
        </w:tc>
        <w:tc>
          <w:tcPr>
            <w:tcW w:type="dxa" w:w="2257"/>
          </w:tcPr>
          <w:p>
            <w:r>
              <w:rPr>
                <w:rFonts w:ascii="Times New Roman" w:hAnsi="Times New Roman"/>
                <w:b/>
                <w:sz w:val="22"/>
              </w:rPr>
              <w:t>Auth</w:t>
            </w:r>
          </w:p>
        </w:tc>
        <w:tc>
          <w:tcPr>
            <w:tcW w:type="dxa" w:w="2257"/>
          </w:tcPr>
          <w:p>
            <w:r>
              <w:rPr>
                <w:rFonts w:ascii="Times New Roman" w:hAnsi="Times New Roman"/>
                <w:b/>
                <w:sz w:val="22"/>
              </w:rPr>
              <w:t>Purpose</w:t>
            </w:r>
          </w:p>
        </w:tc>
      </w:tr>
      <w:tr>
        <w:tc>
          <w:tcPr>
            <w:tcW w:type="dxa" w:w="2257"/>
          </w:tcPr>
          <w:p>
            <w:r>
              <w:rPr>
                <w:rFonts w:ascii="Times New Roman" w:hAnsi="Times New Roman"/>
                <w:sz w:val="22"/>
              </w:rPr>
              <w:t>/api/v1/health/</w:t>
            </w:r>
          </w:p>
        </w:tc>
        <w:tc>
          <w:tcPr>
            <w:tcW w:type="dxa" w:w="2257"/>
          </w:tcPr>
          <w:p>
            <w:r>
              <w:rPr>
                <w:rFonts w:ascii="Times New Roman" w:hAnsi="Times New Roman"/>
                <w:sz w:val="22"/>
              </w:rPr>
              <w:t>GET</w:t>
            </w:r>
          </w:p>
        </w:tc>
        <w:tc>
          <w:tcPr>
            <w:tcW w:type="dxa" w:w="2257"/>
          </w:tcPr>
          <w:p>
            <w:r>
              <w:rPr>
                <w:rFonts w:ascii="Times New Roman" w:hAnsi="Times New Roman"/>
                <w:sz w:val="22"/>
              </w:rPr>
              <w:t>None</w:t>
            </w:r>
          </w:p>
        </w:tc>
        <w:tc>
          <w:tcPr>
            <w:tcW w:type="dxa" w:w="2257"/>
          </w:tcPr>
          <w:p>
            <w:r>
              <w:rPr>
                <w:rFonts w:ascii="Times New Roman" w:hAnsi="Times New Roman"/>
                <w:sz w:val="22"/>
              </w:rPr>
              <w:t>Service and database health check</w:t>
            </w:r>
          </w:p>
        </w:tc>
      </w:tr>
      <w:tr>
        <w:tc>
          <w:tcPr>
            <w:tcW w:type="dxa" w:w="2257"/>
          </w:tcPr>
          <w:p>
            <w:r>
              <w:rPr>
                <w:rFonts w:ascii="Times New Roman" w:hAnsi="Times New Roman"/>
                <w:sz w:val="22"/>
              </w:rPr>
              <w:t>/api/v1/auth/register/</w:t>
            </w:r>
          </w:p>
        </w:tc>
        <w:tc>
          <w:tcPr>
            <w:tcW w:type="dxa" w:w="2257"/>
          </w:tcPr>
          <w:p>
            <w:r>
              <w:rPr>
                <w:rFonts w:ascii="Times New Roman" w:hAnsi="Times New Roman"/>
                <w:sz w:val="22"/>
              </w:rPr>
              <w:t>POST</w:t>
            </w:r>
          </w:p>
        </w:tc>
        <w:tc>
          <w:tcPr>
            <w:tcW w:type="dxa" w:w="2257"/>
          </w:tcPr>
          <w:p>
            <w:r>
              <w:rPr>
                <w:rFonts w:ascii="Times New Roman" w:hAnsi="Times New Roman"/>
                <w:sz w:val="22"/>
              </w:rPr>
              <w:t>None</w:t>
            </w:r>
          </w:p>
        </w:tc>
        <w:tc>
          <w:tcPr>
            <w:tcW w:type="dxa" w:w="2257"/>
          </w:tcPr>
          <w:p>
            <w:r>
              <w:rPr>
                <w:rFonts w:ascii="Times New Roman" w:hAnsi="Times New Roman"/>
                <w:sz w:val="22"/>
              </w:rPr>
              <w:t>Create user and initial organization</w:t>
            </w:r>
          </w:p>
        </w:tc>
      </w:tr>
      <w:tr>
        <w:tc>
          <w:tcPr>
            <w:tcW w:type="dxa" w:w="2257"/>
          </w:tcPr>
          <w:p>
            <w:r>
              <w:rPr>
                <w:rFonts w:ascii="Times New Roman" w:hAnsi="Times New Roman"/>
                <w:sz w:val="22"/>
              </w:rPr>
              <w:t>/api/v1/auth/login/</w:t>
            </w:r>
          </w:p>
        </w:tc>
        <w:tc>
          <w:tcPr>
            <w:tcW w:type="dxa" w:w="2257"/>
          </w:tcPr>
          <w:p>
            <w:r>
              <w:rPr>
                <w:rFonts w:ascii="Times New Roman" w:hAnsi="Times New Roman"/>
                <w:sz w:val="22"/>
              </w:rPr>
              <w:t>POST</w:t>
            </w:r>
          </w:p>
        </w:tc>
        <w:tc>
          <w:tcPr>
            <w:tcW w:type="dxa" w:w="2257"/>
          </w:tcPr>
          <w:p>
            <w:r>
              <w:rPr>
                <w:rFonts w:ascii="Times New Roman" w:hAnsi="Times New Roman"/>
                <w:sz w:val="22"/>
              </w:rPr>
              <w:t>None</w:t>
            </w:r>
          </w:p>
        </w:tc>
        <w:tc>
          <w:tcPr>
            <w:tcW w:type="dxa" w:w="2257"/>
          </w:tcPr>
          <w:p>
            <w:r>
              <w:rPr>
                <w:rFonts w:ascii="Times New Roman" w:hAnsi="Times New Roman"/>
                <w:sz w:val="22"/>
              </w:rPr>
              <w:t>Start session for dashboard user</w:t>
            </w:r>
          </w:p>
        </w:tc>
      </w:tr>
      <w:tr>
        <w:tc>
          <w:tcPr>
            <w:tcW w:type="dxa" w:w="2257"/>
          </w:tcPr>
          <w:p>
            <w:r>
              <w:rPr>
                <w:rFonts w:ascii="Times New Roman" w:hAnsi="Times New Roman"/>
                <w:sz w:val="22"/>
              </w:rPr>
              <w:t>/api/v1/auth/me/</w:t>
            </w:r>
          </w:p>
        </w:tc>
        <w:tc>
          <w:tcPr>
            <w:tcW w:type="dxa" w:w="2257"/>
          </w:tcPr>
          <w:p>
            <w:r>
              <w:rPr>
                <w:rFonts w:ascii="Times New Roman" w:hAnsi="Times New Roman"/>
                <w:sz w:val="22"/>
              </w:rPr>
              <w:t>GET</w:t>
            </w:r>
          </w:p>
        </w:tc>
        <w:tc>
          <w:tcPr>
            <w:tcW w:type="dxa" w:w="2257"/>
          </w:tcPr>
          <w:p>
            <w:r>
              <w:rPr>
                <w:rFonts w:ascii="Times New Roman" w:hAnsi="Times New Roman"/>
                <w:sz w:val="22"/>
              </w:rPr>
              <w:t>Session</w:t>
            </w:r>
          </w:p>
        </w:tc>
        <w:tc>
          <w:tcPr>
            <w:tcW w:type="dxa" w:w="2257"/>
          </w:tcPr>
          <w:p>
            <w:r>
              <w:rPr>
                <w:rFonts w:ascii="Times New Roman" w:hAnsi="Times New Roman"/>
                <w:sz w:val="22"/>
              </w:rPr>
              <w:t>Return user profile and organization memberships</w:t>
            </w:r>
          </w:p>
        </w:tc>
      </w:tr>
      <w:tr>
        <w:tc>
          <w:tcPr>
            <w:tcW w:type="dxa" w:w="2257"/>
          </w:tcPr>
          <w:p>
            <w:r>
              <w:rPr>
                <w:rFonts w:ascii="Times New Roman" w:hAnsi="Times New Roman"/>
                <w:sz w:val="22"/>
              </w:rPr>
              <w:t>/api/v1/organizations/</w:t>
            </w:r>
          </w:p>
        </w:tc>
        <w:tc>
          <w:tcPr>
            <w:tcW w:type="dxa" w:w="2257"/>
          </w:tcPr>
          <w:p>
            <w:r>
              <w:rPr>
                <w:rFonts w:ascii="Times New Roman" w:hAnsi="Times New Roman"/>
                <w:sz w:val="22"/>
              </w:rPr>
              <w:t>GET/POST</w:t>
            </w:r>
          </w:p>
        </w:tc>
        <w:tc>
          <w:tcPr>
            <w:tcW w:type="dxa" w:w="2257"/>
          </w:tcPr>
          <w:p>
            <w:r>
              <w:rPr>
                <w:rFonts w:ascii="Times New Roman" w:hAnsi="Times New Roman"/>
                <w:sz w:val="22"/>
              </w:rPr>
              <w:t>Session</w:t>
            </w:r>
          </w:p>
        </w:tc>
        <w:tc>
          <w:tcPr>
            <w:tcW w:type="dxa" w:w="2257"/>
          </w:tcPr>
          <w:p>
            <w:r>
              <w:rPr>
                <w:rFonts w:ascii="Times New Roman" w:hAnsi="Times New Roman"/>
                <w:sz w:val="22"/>
              </w:rPr>
              <w:t>List or create organizations</w:t>
            </w:r>
          </w:p>
        </w:tc>
      </w:tr>
      <w:tr>
        <w:tc>
          <w:tcPr>
            <w:tcW w:type="dxa" w:w="2257"/>
          </w:tcPr>
          <w:p>
            <w:r>
              <w:rPr>
                <w:rFonts w:ascii="Times New Roman" w:hAnsi="Times New Roman"/>
                <w:sz w:val="22"/>
              </w:rPr>
              <w:t>/api/v1/agent-enrollment-tokens/</w:t>
            </w:r>
          </w:p>
        </w:tc>
        <w:tc>
          <w:tcPr>
            <w:tcW w:type="dxa" w:w="2257"/>
          </w:tcPr>
          <w:p>
            <w:r>
              <w:rPr>
                <w:rFonts w:ascii="Times New Roman" w:hAnsi="Times New Roman"/>
                <w:sz w:val="22"/>
              </w:rPr>
              <w:t>GET/POST</w:t>
            </w:r>
          </w:p>
        </w:tc>
        <w:tc>
          <w:tcPr>
            <w:tcW w:type="dxa" w:w="2257"/>
          </w:tcPr>
          <w:p>
            <w:r>
              <w:rPr>
                <w:rFonts w:ascii="Times New Roman" w:hAnsi="Times New Roman"/>
                <w:sz w:val="22"/>
              </w:rPr>
              <w:t>Session</w:t>
            </w:r>
          </w:p>
        </w:tc>
        <w:tc>
          <w:tcPr>
            <w:tcW w:type="dxa" w:w="2257"/>
          </w:tcPr>
          <w:p>
            <w:r>
              <w:rPr>
                <w:rFonts w:ascii="Times New Roman" w:hAnsi="Times New Roman"/>
                <w:sz w:val="22"/>
              </w:rPr>
              <w:t>Issue and review one-time enrollment tokens</w:t>
            </w:r>
          </w:p>
        </w:tc>
      </w:tr>
      <w:tr>
        <w:tc>
          <w:tcPr>
            <w:tcW w:type="dxa" w:w="2257"/>
          </w:tcPr>
          <w:p>
            <w:r>
              <w:rPr>
                <w:rFonts w:ascii="Times New Roman" w:hAnsi="Times New Roman"/>
                <w:sz w:val="22"/>
              </w:rPr>
              <w:t>/api/v1/agents/access-token/</w:t>
            </w:r>
          </w:p>
        </w:tc>
        <w:tc>
          <w:tcPr>
            <w:tcW w:type="dxa" w:w="2257"/>
          </w:tcPr>
          <w:p>
            <w:r>
              <w:rPr>
                <w:rFonts w:ascii="Times New Roman" w:hAnsi="Times New Roman"/>
                <w:sz w:val="22"/>
              </w:rPr>
              <w:t>GET/POST</w:t>
            </w:r>
          </w:p>
        </w:tc>
        <w:tc>
          <w:tcPr>
            <w:tcW w:type="dxa" w:w="2257"/>
          </w:tcPr>
          <w:p>
            <w:r>
              <w:rPr>
                <w:rFonts w:ascii="Times New Roman" w:hAnsi="Times New Roman"/>
                <w:sz w:val="22"/>
              </w:rPr>
              <w:t>Session</w:t>
            </w:r>
          </w:p>
        </w:tc>
        <w:tc>
          <w:tcPr>
            <w:tcW w:type="dxa" w:w="2257"/>
          </w:tcPr>
          <w:p>
            <w:r>
              <w:rPr>
                <w:rFonts w:ascii="Times New Roman" w:hAnsi="Times New Roman"/>
                <w:sz w:val="22"/>
              </w:rPr>
              <w:t>Read or rotate organization access token</w:t>
            </w:r>
          </w:p>
        </w:tc>
      </w:tr>
      <w:tr>
        <w:tc>
          <w:tcPr>
            <w:tcW w:type="dxa" w:w="2257"/>
          </w:tcPr>
          <w:p>
            <w:r>
              <w:rPr>
                <w:rFonts w:ascii="Times New Roman" w:hAnsi="Times New Roman"/>
                <w:sz w:val="22"/>
              </w:rPr>
              <w:t>/api/v1/agents/enroll/</w:t>
            </w:r>
          </w:p>
        </w:tc>
        <w:tc>
          <w:tcPr>
            <w:tcW w:type="dxa" w:w="2257"/>
          </w:tcPr>
          <w:p>
            <w:r>
              <w:rPr>
                <w:rFonts w:ascii="Times New Roman" w:hAnsi="Times New Roman"/>
                <w:sz w:val="22"/>
              </w:rPr>
              <w:t>POST</w:t>
            </w:r>
          </w:p>
        </w:tc>
        <w:tc>
          <w:tcPr>
            <w:tcW w:type="dxa" w:w="2257"/>
          </w:tcPr>
          <w:p>
            <w:r>
              <w:rPr>
                <w:rFonts w:ascii="Times New Roman" w:hAnsi="Times New Roman"/>
                <w:sz w:val="22"/>
              </w:rPr>
              <w:t>Enrollment token</w:t>
            </w:r>
          </w:p>
        </w:tc>
        <w:tc>
          <w:tcPr>
            <w:tcW w:type="dxa" w:w="2257"/>
          </w:tcPr>
          <w:p>
            <w:r>
              <w:rPr>
                <w:rFonts w:ascii="Times New Roman" w:hAnsi="Times New Roman"/>
                <w:sz w:val="22"/>
              </w:rPr>
              <w:t>Register agent using legacy one-time token</w:t>
            </w:r>
          </w:p>
        </w:tc>
      </w:tr>
      <w:tr>
        <w:tc>
          <w:tcPr>
            <w:tcW w:type="dxa" w:w="2257"/>
          </w:tcPr>
          <w:p>
            <w:r>
              <w:rPr>
                <w:rFonts w:ascii="Times New Roman" w:hAnsi="Times New Roman"/>
                <w:sz w:val="22"/>
              </w:rPr>
              <w:t>/api/v1/agents/quick-enroll/</w:t>
            </w:r>
          </w:p>
        </w:tc>
        <w:tc>
          <w:tcPr>
            <w:tcW w:type="dxa" w:w="2257"/>
          </w:tcPr>
          <w:p>
            <w:r>
              <w:rPr>
                <w:rFonts w:ascii="Times New Roman" w:hAnsi="Times New Roman"/>
                <w:sz w:val="22"/>
              </w:rPr>
              <w:t>POST</w:t>
            </w:r>
          </w:p>
        </w:tc>
        <w:tc>
          <w:tcPr>
            <w:tcW w:type="dxa" w:w="2257"/>
          </w:tcPr>
          <w:p>
            <w:r>
              <w:rPr>
                <w:rFonts w:ascii="Times New Roman" w:hAnsi="Times New Roman"/>
                <w:sz w:val="22"/>
              </w:rPr>
              <w:t>Organization access token</w:t>
            </w:r>
          </w:p>
        </w:tc>
        <w:tc>
          <w:tcPr>
            <w:tcW w:type="dxa" w:w="2257"/>
          </w:tcPr>
          <w:p>
            <w:r>
              <w:rPr>
                <w:rFonts w:ascii="Times New Roman" w:hAnsi="Times New Roman"/>
                <w:sz w:val="22"/>
              </w:rPr>
              <w:t>Register agent using org token</w:t>
            </w:r>
          </w:p>
        </w:tc>
      </w:tr>
      <w:tr>
        <w:tc>
          <w:tcPr>
            <w:tcW w:type="dxa" w:w="2257"/>
          </w:tcPr>
          <w:p>
            <w:r>
              <w:rPr>
                <w:rFonts w:ascii="Times New Roman" w:hAnsi="Times New Roman"/>
                <w:sz w:val="22"/>
              </w:rPr>
              <w:t>/api/v1/ingest/events/</w:t>
            </w:r>
          </w:p>
        </w:tc>
        <w:tc>
          <w:tcPr>
            <w:tcW w:type="dxa" w:w="2257"/>
          </w:tcPr>
          <w:p>
            <w:r>
              <w:rPr>
                <w:rFonts w:ascii="Times New Roman" w:hAnsi="Times New Roman"/>
                <w:sz w:val="22"/>
              </w:rPr>
              <w:t>POST</w:t>
            </w:r>
          </w:p>
        </w:tc>
        <w:tc>
          <w:tcPr>
            <w:tcW w:type="dxa" w:w="2257"/>
          </w:tcPr>
          <w:p>
            <w:r>
              <w:rPr>
                <w:rFonts w:ascii="Times New Roman" w:hAnsi="Times New Roman"/>
                <w:sz w:val="22"/>
              </w:rPr>
              <w:t>Agent token</w:t>
            </w:r>
          </w:p>
        </w:tc>
        <w:tc>
          <w:tcPr>
            <w:tcW w:type="dxa" w:w="2257"/>
          </w:tcPr>
          <w:p>
            <w:r>
              <w:rPr>
                <w:rFonts w:ascii="Times New Roman" w:hAnsi="Times New Roman"/>
                <w:sz w:val="22"/>
              </w:rPr>
              <w:t>Submit normalized event batches</w:t>
            </w:r>
          </w:p>
        </w:tc>
      </w:tr>
      <w:tr>
        <w:tc>
          <w:tcPr>
            <w:tcW w:type="dxa" w:w="2257"/>
          </w:tcPr>
          <w:p>
            <w:r>
              <w:rPr>
                <w:rFonts w:ascii="Times New Roman" w:hAnsi="Times New Roman"/>
                <w:sz w:val="22"/>
              </w:rPr>
              <w:t>/api/v1/ingest/heartbeat/</w:t>
            </w:r>
          </w:p>
        </w:tc>
        <w:tc>
          <w:tcPr>
            <w:tcW w:type="dxa" w:w="2257"/>
          </w:tcPr>
          <w:p>
            <w:r>
              <w:rPr>
                <w:rFonts w:ascii="Times New Roman" w:hAnsi="Times New Roman"/>
                <w:sz w:val="22"/>
              </w:rPr>
              <w:t>POST</w:t>
            </w:r>
          </w:p>
        </w:tc>
        <w:tc>
          <w:tcPr>
            <w:tcW w:type="dxa" w:w="2257"/>
          </w:tcPr>
          <w:p>
            <w:r>
              <w:rPr>
                <w:rFonts w:ascii="Times New Roman" w:hAnsi="Times New Roman"/>
                <w:sz w:val="22"/>
              </w:rPr>
              <w:t>Agent token</w:t>
            </w:r>
          </w:p>
        </w:tc>
        <w:tc>
          <w:tcPr>
            <w:tcW w:type="dxa" w:w="2257"/>
          </w:tcPr>
          <w:p>
            <w:r>
              <w:rPr>
                <w:rFonts w:ascii="Times New Roman" w:hAnsi="Times New Roman"/>
                <w:sz w:val="22"/>
              </w:rPr>
              <w:t>Refresh agent last-seen timestamp</w:t>
            </w:r>
          </w:p>
        </w:tc>
      </w:tr>
      <w:tr>
        <w:tc>
          <w:tcPr>
            <w:tcW w:type="dxa" w:w="2257"/>
          </w:tcPr>
          <w:p>
            <w:r>
              <w:rPr>
                <w:rFonts w:ascii="Times New Roman" w:hAnsi="Times New Roman"/>
                <w:sz w:val="22"/>
              </w:rPr>
              <w:t>/api/v1/ingest/config/</w:t>
            </w:r>
          </w:p>
        </w:tc>
        <w:tc>
          <w:tcPr>
            <w:tcW w:type="dxa" w:w="2257"/>
          </w:tcPr>
          <w:p>
            <w:r>
              <w:rPr>
                <w:rFonts w:ascii="Times New Roman" w:hAnsi="Times New Roman"/>
                <w:sz w:val="22"/>
              </w:rPr>
              <w:t>GET</w:t>
            </w:r>
          </w:p>
        </w:tc>
        <w:tc>
          <w:tcPr>
            <w:tcW w:type="dxa" w:w="2257"/>
          </w:tcPr>
          <w:p>
            <w:r>
              <w:rPr>
                <w:rFonts w:ascii="Times New Roman" w:hAnsi="Times New Roman"/>
                <w:sz w:val="22"/>
              </w:rPr>
              <w:t>Agent token</w:t>
            </w:r>
          </w:p>
        </w:tc>
        <w:tc>
          <w:tcPr>
            <w:tcW w:type="dxa" w:w="2257"/>
          </w:tcPr>
          <w:p>
            <w:r>
              <w:rPr>
                <w:rFonts w:ascii="Times New Roman" w:hAnsi="Times New Roman"/>
                <w:sz w:val="22"/>
              </w:rPr>
              <w:t>Fetch runtime collector and interval profile</w:t>
            </w:r>
          </w:p>
        </w:tc>
      </w:tr>
      <w:tr>
        <w:tc>
          <w:tcPr>
            <w:tcW w:type="dxa" w:w="2257"/>
          </w:tcPr>
          <w:p>
            <w:r>
              <w:rPr>
                <w:rFonts w:ascii="Times New Roman" w:hAnsi="Times New Roman"/>
                <w:sz w:val="22"/>
              </w:rPr>
              <w:t>/api/v1/dashboard/overview/</w:t>
            </w:r>
          </w:p>
        </w:tc>
        <w:tc>
          <w:tcPr>
            <w:tcW w:type="dxa" w:w="2257"/>
          </w:tcPr>
          <w:p>
            <w:r>
              <w:rPr>
                <w:rFonts w:ascii="Times New Roman" w:hAnsi="Times New Roman"/>
                <w:sz w:val="22"/>
              </w:rPr>
              <w:t>GET</w:t>
            </w:r>
          </w:p>
        </w:tc>
        <w:tc>
          <w:tcPr>
            <w:tcW w:type="dxa" w:w="2257"/>
          </w:tcPr>
          <w:p>
            <w:r>
              <w:rPr>
                <w:rFonts w:ascii="Times New Roman" w:hAnsi="Times New Roman"/>
                <w:sz w:val="22"/>
              </w:rPr>
              <w:t>Session</w:t>
            </w:r>
          </w:p>
        </w:tc>
        <w:tc>
          <w:tcPr>
            <w:tcW w:type="dxa" w:w="2257"/>
          </w:tcPr>
          <w:p>
            <w:r>
              <w:rPr>
                <w:rFonts w:ascii="Times New Roman" w:hAnsi="Times New Roman"/>
                <w:sz w:val="22"/>
              </w:rPr>
              <w:t>Return tenant metrics and charts</w:t>
            </w:r>
          </w:p>
        </w:tc>
      </w:tr>
      <w:tr>
        <w:tc>
          <w:tcPr>
            <w:tcW w:type="dxa" w:w="2257"/>
          </w:tcPr>
          <w:p>
            <w:r>
              <w:rPr>
                <w:rFonts w:ascii="Times New Roman" w:hAnsi="Times New Roman"/>
                <w:sz w:val="22"/>
              </w:rPr>
              <w:t>/api/v1/alerts/</w:t>
            </w:r>
          </w:p>
        </w:tc>
        <w:tc>
          <w:tcPr>
            <w:tcW w:type="dxa" w:w="2257"/>
          </w:tcPr>
          <w:p>
            <w:r>
              <w:rPr>
                <w:rFonts w:ascii="Times New Roman" w:hAnsi="Times New Roman"/>
                <w:sz w:val="22"/>
              </w:rPr>
              <w:t>GET/PATCH</w:t>
            </w:r>
          </w:p>
        </w:tc>
        <w:tc>
          <w:tcPr>
            <w:tcW w:type="dxa" w:w="2257"/>
          </w:tcPr>
          <w:p>
            <w:r>
              <w:rPr>
                <w:rFonts w:ascii="Times New Roman" w:hAnsi="Times New Roman"/>
                <w:sz w:val="22"/>
              </w:rPr>
              <w:t>Session</w:t>
            </w:r>
          </w:p>
        </w:tc>
        <w:tc>
          <w:tcPr>
            <w:tcW w:type="dxa" w:w="2257"/>
          </w:tcPr>
          <w:p>
            <w:r>
              <w:rPr>
                <w:rFonts w:ascii="Times New Roman" w:hAnsi="Times New Roman"/>
                <w:sz w:val="22"/>
              </w:rPr>
              <w:t>List alerts or update alert status</w:t>
            </w:r>
          </w:p>
        </w:tc>
      </w:tr>
      <w:tr>
        <w:tc>
          <w:tcPr>
            <w:tcW w:type="dxa" w:w="2257"/>
          </w:tcPr>
          <w:p>
            <w:r>
              <w:rPr>
                <w:rFonts w:ascii="Times New Roman" w:hAnsi="Times New Roman"/>
                <w:sz w:val="22"/>
              </w:rPr>
              <w:t>/api/v1/llm-providers/</w:t>
            </w:r>
          </w:p>
        </w:tc>
        <w:tc>
          <w:tcPr>
            <w:tcW w:type="dxa" w:w="2257"/>
          </w:tcPr>
          <w:p>
            <w:r>
              <w:rPr>
                <w:rFonts w:ascii="Times New Roman" w:hAnsi="Times New Roman"/>
                <w:sz w:val="22"/>
              </w:rPr>
              <w:t>GET/POST/PATCH</w:t>
            </w:r>
          </w:p>
        </w:tc>
        <w:tc>
          <w:tcPr>
            <w:tcW w:type="dxa" w:w="2257"/>
          </w:tcPr>
          <w:p>
            <w:r>
              <w:rPr>
                <w:rFonts w:ascii="Times New Roman" w:hAnsi="Times New Roman"/>
                <w:sz w:val="22"/>
              </w:rPr>
              <w:t>Session</w:t>
            </w:r>
          </w:p>
        </w:tc>
        <w:tc>
          <w:tcPr>
            <w:tcW w:type="dxa" w:w="2257"/>
          </w:tcPr>
          <w:p>
            <w:r>
              <w:rPr>
                <w:rFonts w:ascii="Times New Roman" w:hAnsi="Times New Roman"/>
                <w:sz w:val="22"/>
              </w:rPr>
              <w:t>Manage tenant LLM providers</w:t>
            </w:r>
          </w:p>
        </w:tc>
      </w:tr>
      <w:tr>
        <w:tc>
          <w:tcPr>
            <w:tcW w:type="dxa" w:w="2257"/>
          </w:tcPr>
          <w:p>
            <w:r>
              <w:rPr>
                <w:rFonts w:ascii="Times New Roman" w:hAnsi="Times New Roman"/>
                <w:sz w:val="22"/>
              </w:rPr>
              <w:t>/api/v1/scheduler-configs/</w:t>
            </w:r>
          </w:p>
        </w:tc>
        <w:tc>
          <w:tcPr>
            <w:tcW w:type="dxa" w:w="2257"/>
          </w:tcPr>
          <w:p>
            <w:r>
              <w:rPr>
                <w:rFonts w:ascii="Times New Roman" w:hAnsi="Times New Roman"/>
                <w:sz w:val="22"/>
              </w:rPr>
              <w:t>GET/PATCH</w:t>
            </w:r>
          </w:p>
        </w:tc>
        <w:tc>
          <w:tcPr>
            <w:tcW w:type="dxa" w:w="2257"/>
          </w:tcPr>
          <w:p>
            <w:r>
              <w:rPr>
                <w:rFonts w:ascii="Times New Roman" w:hAnsi="Times New Roman"/>
                <w:sz w:val="22"/>
              </w:rPr>
              <w:t>Session</w:t>
            </w:r>
          </w:p>
        </w:tc>
        <w:tc>
          <w:tcPr>
            <w:tcW w:type="dxa" w:w="2257"/>
          </w:tcPr>
          <w:p>
            <w:r>
              <w:rPr>
                <w:rFonts w:ascii="Times New Roman" w:hAnsi="Times New Roman"/>
                <w:sz w:val="22"/>
              </w:rPr>
              <w:t>Manage server and agent schedule</w:t>
            </w:r>
          </w:p>
        </w:tc>
      </w:tr>
      <w:tr>
        <w:tc>
          <w:tcPr>
            <w:tcW w:type="dxa" w:w="2257"/>
          </w:tcPr>
          <w:p>
            <w:r>
              <w:rPr>
                <w:rFonts w:ascii="Times New Roman" w:hAnsi="Times New Roman"/>
                <w:sz w:val="22"/>
              </w:rPr>
              <w:t>/api/v1/agent-downloads/</w:t>
            </w:r>
          </w:p>
        </w:tc>
        <w:tc>
          <w:tcPr>
            <w:tcW w:type="dxa" w:w="2257"/>
          </w:tcPr>
          <w:p>
            <w:r>
              <w:rPr>
                <w:rFonts w:ascii="Times New Roman" w:hAnsi="Times New Roman"/>
                <w:sz w:val="22"/>
              </w:rPr>
              <w:t>GET</w:t>
            </w:r>
          </w:p>
        </w:tc>
        <w:tc>
          <w:tcPr>
            <w:tcW w:type="dxa" w:w="2257"/>
          </w:tcPr>
          <w:p>
            <w:r>
              <w:rPr>
                <w:rFonts w:ascii="Times New Roman" w:hAnsi="Times New Roman"/>
                <w:sz w:val="22"/>
              </w:rPr>
              <w:t>Session</w:t>
            </w:r>
          </w:p>
        </w:tc>
        <w:tc>
          <w:tcPr>
            <w:tcW w:type="dxa" w:w="2257"/>
          </w:tcPr>
          <w:p>
            <w:r>
              <w:rPr>
                <w:rFonts w:ascii="Times New Roman" w:hAnsi="Times New Roman"/>
                <w:sz w:val="22"/>
              </w:rPr>
              <w:t>Return downloadable agent artifact manifest</w:t>
            </w:r>
          </w:p>
        </w:tc>
      </w:tr>
      <w:tr>
        <w:tc>
          <w:tcPr>
            <w:tcW w:type="dxa" w:w="2257"/>
          </w:tcPr>
          <w:p>
            <w:r>
              <w:rPr>
                <w:rFonts w:ascii="Times New Roman" w:hAnsi="Times New Roman"/>
                <w:sz w:val="22"/>
              </w:rPr>
              <w:t>/api/v1/agents/&lt;uuid&gt;/timeline/</w:t>
            </w:r>
          </w:p>
        </w:tc>
        <w:tc>
          <w:tcPr>
            <w:tcW w:type="dxa" w:w="2257"/>
          </w:tcPr>
          <w:p>
            <w:r>
              <w:rPr>
                <w:rFonts w:ascii="Times New Roman" w:hAnsi="Times New Roman"/>
                <w:sz w:val="22"/>
              </w:rPr>
              <w:t>GET</w:t>
            </w:r>
          </w:p>
        </w:tc>
        <w:tc>
          <w:tcPr>
            <w:tcW w:type="dxa" w:w="2257"/>
          </w:tcPr>
          <w:p>
            <w:r>
              <w:rPr>
                <w:rFonts w:ascii="Times New Roman" w:hAnsi="Times New Roman"/>
                <w:sz w:val="22"/>
              </w:rPr>
              <w:t>Session</w:t>
            </w:r>
          </w:p>
        </w:tc>
        <w:tc>
          <w:tcPr>
            <w:tcW w:type="dxa" w:w="2257"/>
          </w:tcPr>
          <w:p>
            <w:r>
              <w:rPr>
                <w:rFonts w:ascii="Times New Roman" w:hAnsi="Times New Roman"/>
                <w:sz w:val="22"/>
              </w:rPr>
              <w:t>Return event and LLM history for one agent</w:t>
            </w:r>
          </w:p>
        </w:tc>
      </w:tr>
    </w:tbl>
    <w:p>
      <w:pPr>
        <w:pStyle w:val="Heading2"/>
        <w:spacing w:line="288" w:lineRule="auto" w:after="80" w:before="80"/>
        <w:jc w:val="left"/>
      </w:pPr>
      <w:r>
        <w:t>14.1 Tenant and Session Endpoints</w:t>
      </w:r>
    </w:p>
    <w:p>
      <w:pPr>
        <w:spacing w:line="360" w:lineRule="auto" w:after="120" w:before="0"/>
        <w:jc w:val="both"/>
      </w:pPr>
      <w:r>
        <w:t>The authentication flow for dashboard users begins either with self-registration or with an existing session login. Once the user is authenticated, the backend returns the list of organizations the user belongs to. The frontend stores the active organization slug and includes it when tenant context must be selected explicitly.</w:t>
      </w:r>
    </w:p>
    <w:p>
      <w:pPr>
        <w:spacing w:line="360" w:lineRule="auto" w:after="120" w:before="0"/>
        <w:jc w:val="both"/>
      </w:pPr>
      <w:r>
        <w:t>This mechanism is reflected in the React hook that exposes current user context to the rest of the application. It is one of the key building blocks that keeps the dashboard responsive while still respecting multi-tenant boundaries.</w:t>
      </w:r>
    </w:p>
    <w:p>
      <w:pPr>
        <w:spacing w:line="276" w:lineRule="auto" w:after="160" w:before="0"/>
        <w:jc w:val="left"/>
      </w:pPr>
      <w:r>
        <w:rPr>
          <w:rFonts w:ascii="Courier New" w:hAnsi="Courier New"/>
          <w:sz w:val="20"/>
        </w:rPr>
        <w:t>POST /api/v1/auth/register/</w:t>
        <w:br/>
        <w:t>{</w:t>
        <w:br/>
        <w:t xml:space="preserve">  "username": "analyst1",</w:t>
        <w:br/>
        <w:t xml:space="preserve">  "password": "strong-password",</w:t>
        <w:br/>
        <w:t xml:space="preserve">  "organization_name": "Acme SOC"</w:t>
        <w:br/>
        <w:t>}</w:t>
        <w:br/>
        <w:br/>
        <w:t>GET /api/v1/auth/me/</w:t>
        <w:br/>
        <w:t>Response includes username, staff status, and all accessible organizations.</w:t>
      </w:r>
    </w:p>
    <w:p>
      <w:pPr>
        <w:pStyle w:val="Heading2"/>
        <w:spacing w:line="288" w:lineRule="auto" w:after="80" w:before="80"/>
        <w:jc w:val="left"/>
      </w:pPr>
      <w:r>
        <w:t>14.2 Agent Onboarding Endpoints</w:t>
      </w:r>
    </w:p>
    <w:p>
      <w:pPr>
        <w:spacing w:line="360" w:lineRule="auto" w:after="120" w:before="0"/>
        <w:jc w:val="both"/>
      </w:pPr>
      <w:r>
        <w:t>ScropIDS supports two onboarding patterns. The compatibility path uses one-time enrollment tokens, while the recommended operational path uses an organization access token. The second mode is better suited for real deployments because it allows administrators to rotate a single tenant token and reuse it during a device rollout campaign.</w:t>
      </w:r>
    </w:p>
    <w:p>
      <w:pPr>
        <w:spacing w:line="360" w:lineRule="auto" w:after="120" w:before="0"/>
        <w:jc w:val="both"/>
      </w:pPr>
      <w:r>
        <w:t>Once onboarding succeeds, the backend returns an agent_id and agent_token pair. These credentials are then used for all telemetry and heartbeat communication.</w:t>
      </w:r>
    </w:p>
    <w:p>
      <w:pPr>
        <w:spacing w:line="276" w:lineRule="auto" w:after="160" w:before="0"/>
        <w:jc w:val="left"/>
      </w:pPr>
      <w:r>
        <w:rPr>
          <w:rFonts w:ascii="Courier New" w:hAnsi="Courier New"/>
          <w:sz w:val="20"/>
        </w:rPr>
        <w:t>POST /api/v1/agents/quick-enroll/</w:t>
        <w:br/>
        <w:t>{</w:t>
        <w:br/>
        <w:t xml:space="preserve">  "organization_slug": "acme-soc",</w:t>
        <w:br/>
        <w:t xml:space="preserve">  "access_token": "&lt;ORG_ACCESS_TOKEN&gt;",</w:t>
        <w:br/>
        <w:t xml:space="preserve">  "hostname": "win-lab-01",</w:t>
        <w:br/>
        <w:t xml:space="preserve">  "operating_system": "windows",</w:t>
        <w:br/>
        <w:t xml:space="preserve">  "ip_address": "203.0.113.10"</w:t>
        <w:br/>
        <w:t>}</w:t>
        <w:br/>
        <w:br/>
        <w:t>Response:</w:t>
        <w:br/>
        <w:t>{</w:t>
        <w:br/>
        <w:t xml:space="preserve">  "agent_id": "uuid",</w:t>
        <w:br/>
        <w:t xml:space="preserve">  "agent_token": "opaque-agent-token",</w:t>
        <w:br/>
        <w:t xml:space="preserve">  "organization_slug": "acme-soc"</w:t>
        <w:br/>
        <w:t>}</w:t>
      </w:r>
    </w:p>
    <w:p>
      <w:pPr>
        <w:pStyle w:val="Heading2"/>
        <w:spacing w:line="288" w:lineRule="auto" w:after="80" w:before="80"/>
        <w:jc w:val="left"/>
      </w:pPr>
      <w:r>
        <w:t>14.3 Telemetry Ingest Endpoints</w:t>
      </w:r>
    </w:p>
    <w:p>
      <w:pPr>
        <w:spacing w:line="360" w:lineRule="auto" w:after="120" w:before="0"/>
        <w:jc w:val="both"/>
      </w:pPr>
      <w:r>
        <w:t>Telemetry ingest is intentionally strict. The backend expects a well-formed JSON document containing an events array. Each event includes timestamp, event_type, severity, and a nested data payload. This structure keeps collection modules flexible while still preserving a stable top-level schema.</w:t>
      </w:r>
    </w:p>
    <w:p>
      <w:pPr>
        <w:spacing w:line="360" w:lineRule="auto" w:after="120" w:before="0"/>
        <w:jc w:val="both"/>
      </w:pPr>
      <w:r>
        <w:t>The ingest endpoint also filters scaffold events that exist only for demonstration purposes. This keeps test data from polluting the aggregate pipeline when the agent starter emits baseline examples.</w:t>
      </w:r>
    </w:p>
    <w:p>
      <w:pPr>
        <w:spacing w:line="276" w:lineRule="auto" w:after="160" w:before="0"/>
        <w:jc w:val="left"/>
      </w:pPr>
      <w:r>
        <w:rPr>
          <w:rFonts w:ascii="Courier New" w:hAnsi="Courier New"/>
          <w:sz w:val="20"/>
        </w:rPr>
        <w:t>POST /api/v1/ingest/events/</w:t>
        <w:br/>
        <w:t>Headers:</w:t>
        <w:br/>
        <w:t xml:space="preserve">  X-Agent-ID: &lt;uuid&gt;</w:t>
        <w:br/>
        <w:t xml:space="preserve">  X-Agent-Token: &lt;token&gt;</w:t>
        <w:br/>
        <w:br/>
        <w:t>Body:</w:t>
        <w:br/>
        <w:t>{</w:t>
        <w:br/>
        <w:t xml:space="preserve">  "events": [</w:t>
        <w:br/>
        <w:t xml:space="preserve">    {</w:t>
        <w:br/>
        <w:t xml:space="preserve">      "timestamp": "2026-02-24T19:12:22Z",</w:t>
        <w:br/>
        <w:t xml:space="preserve">      "event_type": "process_creation",</w:t>
        <w:br/>
        <w:t xml:space="preserve">      "severity": "high",</w:t>
        <w:br/>
        <w:t xml:space="preserve">      "data": {</w:t>
        <w:br/>
        <w:t xml:space="preserve">        "process_name": "powershell.exe",</w:t>
        <w:br/>
        <w:t xml:space="preserve">        "command_line": "powershell -enc aW52b2tl",</w:t>
        <w:br/>
        <w:t xml:space="preserve">        "parent_process": "explorer.exe",</w:t>
        <w:br/>
        <w:t xml:space="preserve">        "user": "admin"</w:t>
        <w:br/>
        <w:t xml:space="preserve">      }</w:t>
        <w:br/>
        <w:t xml:space="preserve">    }</w:t>
        <w:br/>
        <w:t xml:space="preserve">  ]</w:t>
        <w:br/>
        <w:t>}</w:t>
      </w:r>
    </w:p>
    <w:p>
      <w:pPr>
        <w:pStyle w:val="Heading2"/>
        <w:spacing w:line="288" w:lineRule="auto" w:after="80" w:before="80"/>
        <w:jc w:val="left"/>
      </w:pPr>
      <w:r>
        <w:t>14.4 Configuration, Alert, and Artifact Endpoints</w:t>
      </w:r>
    </w:p>
    <w:p>
      <w:pPr>
        <w:spacing w:line="360" w:lineRule="auto" w:after="120" w:before="0"/>
        <w:jc w:val="both"/>
      </w:pPr>
      <w:r>
        <w:t>The configuration surface of ScropIDS is intentionally broad because the system is designed to be operated as a tenant-facing platform. Scheduler settings, rule packs, LLM providers, and agent download manifests are all treated as first-class operational resources instead of hidden backend knobs.</w:t>
      </w:r>
    </w:p>
    <w:p>
      <w:pPr>
        <w:spacing w:line="360" w:lineRule="auto" w:after="120" w:before="0"/>
        <w:jc w:val="both"/>
      </w:pPr>
      <w:r>
        <w:t>This approach makes the reportable workflow much stronger: what administrators see in the report is the same set of controls they exercise in the application.</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Dashboard Feature</w:t>
            </w:r>
          </w:p>
        </w:tc>
        <w:tc>
          <w:tcPr>
            <w:tcW w:type="dxa" w:w="3010"/>
          </w:tcPr>
          <w:p>
            <w:r>
              <w:rPr>
                <w:rFonts w:ascii="Times New Roman" w:hAnsi="Times New Roman"/>
                <w:b/>
                <w:sz w:val="22"/>
              </w:rPr>
              <w:t>Primary Endpoint(s)</w:t>
            </w:r>
          </w:p>
        </w:tc>
        <w:tc>
          <w:tcPr>
            <w:tcW w:type="dxa" w:w="3010"/>
          </w:tcPr>
          <w:p>
            <w:r>
              <w:rPr>
                <w:rFonts w:ascii="Times New Roman" w:hAnsi="Times New Roman"/>
                <w:b/>
                <w:sz w:val="22"/>
              </w:rPr>
              <w:t>Operational Benefit</w:t>
            </w:r>
          </w:p>
        </w:tc>
      </w:tr>
      <w:tr>
        <w:tc>
          <w:tcPr>
            <w:tcW w:type="dxa" w:w="3010"/>
          </w:tcPr>
          <w:p>
            <w:r>
              <w:rPr>
                <w:rFonts w:ascii="Times New Roman" w:hAnsi="Times New Roman"/>
                <w:sz w:val="22"/>
              </w:rPr>
              <w:t>Overview page</w:t>
            </w:r>
          </w:p>
        </w:tc>
        <w:tc>
          <w:tcPr>
            <w:tcW w:type="dxa" w:w="3010"/>
          </w:tcPr>
          <w:p>
            <w:r>
              <w:rPr>
                <w:rFonts w:ascii="Times New Roman" w:hAnsi="Times New Roman"/>
                <w:sz w:val="22"/>
              </w:rPr>
              <w:t>/dashboard/overview/, /alerts/</w:t>
            </w:r>
          </w:p>
        </w:tc>
        <w:tc>
          <w:tcPr>
            <w:tcW w:type="dxa" w:w="3010"/>
          </w:tcPr>
          <w:p>
            <w:r>
              <w:rPr>
                <w:rFonts w:ascii="Times New Roman" w:hAnsi="Times New Roman"/>
                <w:sz w:val="22"/>
              </w:rPr>
              <w:t>Fast SOC-style visibility into tenant health</w:t>
            </w:r>
          </w:p>
        </w:tc>
      </w:tr>
      <w:tr>
        <w:tc>
          <w:tcPr>
            <w:tcW w:type="dxa" w:w="3010"/>
          </w:tcPr>
          <w:p>
            <w:r>
              <w:rPr>
                <w:rFonts w:ascii="Times New Roman" w:hAnsi="Times New Roman"/>
                <w:sz w:val="22"/>
              </w:rPr>
              <w:t>Alerts page</w:t>
            </w:r>
          </w:p>
        </w:tc>
        <w:tc>
          <w:tcPr>
            <w:tcW w:type="dxa" w:w="3010"/>
          </w:tcPr>
          <w:p>
            <w:r>
              <w:rPr>
                <w:rFonts w:ascii="Times New Roman" w:hAnsi="Times New Roman"/>
                <w:sz w:val="22"/>
              </w:rPr>
              <w:t>/alerts/</w:t>
            </w:r>
          </w:p>
        </w:tc>
        <w:tc>
          <w:tcPr>
            <w:tcW w:type="dxa" w:w="3010"/>
          </w:tcPr>
          <w:p>
            <w:r>
              <w:rPr>
                <w:rFonts w:ascii="Times New Roman" w:hAnsi="Times New Roman"/>
                <w:sz w:val="22"/>
              </w:rPr>
              <w:t>Status tracking, review, and decision support</w:t>
            </w:r>
          </w:p>
        </w:tc>
      </w:tr>
      <w:tr>
        <w:tc>
          <w:tcPr>
            <w:tcW w:type="dxa" w:w="3010"/>
          </w:tcPr>
          <w:p>
            <w:r>
              <w:rPr>
                <w:rFonts w:ascii="Times New Roman" w:hAnsi="Times New Roman"/>
                <w:sz w:val="22"/>
              </w:rPr>
              <w:t>Agents page</w:t>
            </w:r>
          </w:p>
        </w:tc>
        <w:tc>
          <w:tcPr>
            <w:tcW w:type="dxa" w:w="3010"/>
          </w:tcPr>
          <w:p>
            <w:r>
              <w:rPr>
                <w:rFonts w:ascii="Times New Roman" w:hAnsi="Times New Roman"/>
                <w:sz w:val="22"/>
              </w:rPr>
              <w:t>/agents/, /agents/access-token/, /agent-downloads/</w:t>
            </w:r>
          </w:p>
        </w:tc>
        <w:tc>
          <w:tcPr>
            <w:tcW w:type="dxa" w:w="3010"/>
          </w:tcPr>
          <w:p>
            <w:r>
              <w:rPr>
                <w:rFonts w:ascii="Times New Roman" w:hAnsi="Times New Roman"/>
                <w:sz w:val="22"/>
              </w:rPr>
              <w:t>Onboarding and packaging workflow</w:t>
            </w:r>
          </w:p>
        </w:tc>
      </w:tr>
      <w:tr>
        <w:tc>
          <w:tcPr>
            <w:tcW w:type="dxa" w:w="3010"/>
          </w:tcPr>
          <w:p>
            <w:r>
              <w:rPr>
                <w:rFonts w:ascii="Times New Roman" w:hAnsi="Times New Roman"/>
                <w:sz w:val="22"/>
              </w:rPr>
              <w:t>LLM Config page</w:t>
            </w:r>
          </w:p>
        </w:tc>
        <w:tc>
          <w:tcPr>
            <w:tcW w:type="dxa" w:w="3010"/>
          </w:tcPr>
          <w:p>
            <w:r>
              <w:rPr>
                <w:rFonts w:ascii="Times New Roman" w:hAnsi="Times New Roman"/>
                <w:sz w:val="22"/>
              </w:rPr>
              <w:t>/llm-providers/</w:t>
            </w:r>
          </w:p>
        </w:tc>
        <w:tc>
          <w:tcPr>
            <w:tcW w:type="dxa" w:w="3010"/>
          </w:tcPr>
          <w:p>
            <w:r>
              <w:rPr>
                <w:rFonts w:ascii="Times New Roman" w:hAnsi="Times New Roman"/>
                <w:sz w:val="22"/>
              </w:rPr>
              <w:t>Tenant-specific inference configuration</w:t>
            </w:r>
          </w:p>
        </w:tc>
      </w:tr>
      <w:tr>
        <w:tc>
          <w:tcPr>
            <w:tcW w:type="dxa" w:w="3010"/>
          </w:tcPr>
          <w:p>
            <w:r>
              <w:rPr>
                <w:rFonts w:ascii="Times New Roman" w:hAnsi="Times New Roman"/>
                <w:sz w:val="22"/>
              </w:rPr>
              <w:t>Scheduler page</w:t>
            </w:r>
          </w:p>
        </w:tc>
        <w:tc>
          <w:tcPr>
            <w:tcW w:type="dxa" w:w="3010"/>
          </w:tcPr>
          <w:p>
            <w:r>
              <w:rPr>
                <w:rFonts w:ascii="Times New Roman" w:hAnsi="Times New Roman"/>
                <w:sz w:val="22"/>
              </w:rPr>
              <w:t>/scheduler-configs/</w:t>
            </w:r>
          </w:p>
        </w:tc>
        <w:tc>
          <w:tcPr>
            <w:tcW w:type="dxa" w:w="3010"/>
          </w:tcPr>
          <w:p>
            <w:r>
              <w:rPr>
                <w:rFonts w:ascii="Times New Roman" w:hAnsi="Times New Roman"/>
                <w:sz w:val="22"/>
              </w:rPr>
              <w:t>Controls both backend windows and agent runtime</w:t>
            </w:r>
          </w:p>
        </w:tc>
      </w:tr>
      <w:tr>
        <w:tc>
          <w:tcPr>
            <w:tcW w:type="dxa" w:w="3010"/>
          </w:tcPr>
          <w:p>
            <w:r>
              <w:rPr>
                <w:rFonts w:ascii="Times New Roman" w:hAnsi="Times New Roman"/>
                <w:sz w:val="22"/>
              </w:rPr>
              <w:t>Rules page</w:t>
            </w:r>
          </w:p>
        </w:tc>
        <w:tc>
          <w:tcPr>
            <w:tcW w:type="dxa" w:w="3010"/>
          </w:tcPr>
          <w:p>
            <w:r>
              <w:rPr>
                <w:rFonts w:ascii="Times New Roman" w:hAnsi="Times New Roman"/>
                <w:sz w:val="22"/>
              </w:rPr>
              <w:t>/scheduler-configs/ + rule_config_json</w:t>
            </w:r>
          </w:p>
        </w:tc>
        <w:tc>
          <w:tcPr>
            <w:tcW w:type="dxa" w:w="3010"/>
          </w:tcPr>
          <w:p>
            <w:r>
              <w:rPr>
                <w:rFonts w:ascii="Times New Roman" w:hAnsi="Times New Roman"/>
                <w:sz w:val="22"/>
              </w:rPr>
              <w:t>Custom escalation behavior per tenant</w:t>
            </w:r>
          </w:p>
        </w:tc>
      </w:tr>
    </w:tbl>
    <w:p>
      <w:r>
        <w:br w:type="page"/>
      </w:r>
    </w:p>
    <w:p>
      <w:pPr>
        <w:pStyle w:val="Heading1"/>
        <w:spacing w:line="288" w:lineRule="auto" w:after="80" w:before="160"/>
        <w:jc w:val="left"/>
      </w:pPr>
      <w:r>
        <w:t>15. DATABASE DICTIONARY AND DATA DESIGN</w:t>
      </w:r>
    </w:p>
    <w:p>
      <w:pPr>
        <w:spacing w:line="360" w:lineRule="auto" w:after="120" w:before="0"/>
        <w:jc w:val="both"/>
      </w:pPr>
      <w:r>
        <w:t>The database layer is central to the reliability of ScropIDS. Every key record is organization-aware, which means the tenancy boundary is embedded into the schema instead of being managed only at the UI layer. This reduces the risk of accidental cross-tenant access and simplifies query scoping.</w:t>
      </w:r>
    </w:p>
    <w:p>
      <w:pPr>
        <w:spacing w:line="360" w:lineRule="auto" w:after="120" w:before="0"/>
        <w:jc w:val="both"/>
      </w:pPr>
      <w:r>
        <w:t>The event and aggregate models also support JSON-centric storage. This allows the platform to store normalized but extensible event payloads while still indexing the high-value columns needed for search, aggregation, and dashboard summaries.</w:t>
      </w:r>
    </w:p>
    <w:p>
      <w:pPr>
        <w:pStyle w:val="Heading2"/>
        <w:spacing w:line="288" w:lineRule="auto" w:after="80" w:before="80"/>
        <w:jc w:val="left"/>
      </w:pPr>
      <w:r>
        <w:t>15.1 Core Tenant Entities</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Model</w:t>
            </w:r>
          </w:p>
        </w:tc>
        <w:tc>
          <w:tcPr>
            <w:tcW w:type="dxa" w:w="3010"/>
          </w:tcPr>
          <w:p>
            <w:r>
              <w:rPr>
                <w:rFonts w:ascii="Times New Roman" w:hAnsi="Times New Roman"/>
                <w:b/>
                <w:sz w:val="22"/>
              </w:rPr>
              <w:t>Field</w:t>
            </w:r>
          </w:p>
        </w:tc>
        <w:tc>
          <w:tcPr>
            <w:tcW w:type="dxa" w:w="3010"/>
          </w:tcPr>
          <w:p>
            <w:r>
              <w:rPr>
                <w:rFonts w:ascii="Times New Roman" w:hAnsi="Times New Roman"/>
                <w:b/>
                <w:sz w:val="22"/>
              </w:rPr>
              <w:t>Meaning</w:t>
            </w:r>
          </w:p>
        </w:tc>
      </w:tr>
      <w:tr>
        <w:tc>
          <w:tcPr>
            <w:tcW w:type="dxa" w:w="3010"/>
          </w:tcPr>
          <w:p>
            <w:r>
              <w:rPr>
                <w:rFonts w:ascii="Times New Roman" w:hAnsi="Times New Roman"/>
                <w:sz w:val="22"/>
              </w:rPr>
              <w:t>Organization</w:t>
            </w:r>
          </w:p>
        </w:tc>
        <w:tc>
          <w:tcPr>
            <w:tcW w:type="dxa" w:w="3010"/>
          </w:tcPr>
          <w:p>
            <w:r>
              <w:rPr>
                <w:rFonts w:ascii="Times New Roman" w:hAnsi="Times New Roman"/>
                <w:sz w:val="22"/>
              </w:rPr>
              <w:t>id</w:t>
            </w:r>
          </w:p>
        </w:tc>
        <w:tc>
          <w:tcPr>
            <w:tcW w:type="dxa" w:w="3010"/>
          </w:tcPr>
          <w:p>
            <w:r>
              <w:rPr>
                <w:rFonts w:ascii="Times New Roman" w:hAnsi="Times New Roman"/>
                <w:sz w:val="22"/>
              </w:rPr>
              <w:t>Primary tenant identifier (UUID)</w:t>
            </w:r>
          </w:p>
        </w:tc>
      </w:tr>
      <w:tr>
        <w:tc>
          <w:tcPr>
            <w:tcW w:type="dxa" w:w="3010"/>
          </w:tcPr>
          <w:p>
            <w:r>
              <w:rPr>
                <w:rFonts w:ascii="Times New Roman" w:hAnsi="Times New Roman"/>
                <w:sz w:val="22"/>
              </w:rPr>
              <w:t>Organization</w:t>
            </w:r>
          </w:p>
        </w:tc>
        <w:tc>
          <w:tcPr>
            <w:tcW w:type="dxa" w:w="3010"/>
          </w:tcPr>
          <w:p>
            <w:r>
              <w:rPr>
                <w:rFonts w:ascii="Times New Roman" w:hAnsi="Times New Roman"/>
                <w:sz w:val="22"/>
              </w:rPr>
              <w:t>name</w:t>
            </w:r>
          </w:p>
        </w:tc>
        <w:tc>
          <w:tcPr>
            <w:tcW w:type="dxa" w:w="3010"/>
          </w:tcPr>
          <w:p>
            <w:r>
              <w:rPr>
                <w:rFonts w:ascii="Times New Roman" w:hAnsi="Times New Roman"/>
                <w:sz w:val="22"/>
              </w:rPr>
              <w:t>Human-readable tenant name</w:t>
            </w:r>
          </w:p>
        </w:tc>
      </w:tr>
      <w:tr>
        <w:tc>
          <w:tcPr>
            <w:tcW w:type="dxa" w:w="3010"/>
          </w:tcPr>
          <w:p>
            <w:r>
              <w:rPr>
                <w:rFonts w:ascii="Times New Roman" w:hAnsi="Times New Roman"/>
                <w:sz w:val="22"/>
              </w:rPr>
              <w:t>Organization</w:t>
            </w:r>
          </w:p>
        </w:tc>
        <w:tc>
          <w:tcPr>
            <w:tcW w:type="dxa" w:w="3010"/>
          </w:tcPr>
          <w:p>
            <w:r>
              <w:rPr>
                <w:rFonts w:ascii="Times New Roman" w:hAnsi="Times New Roman"/>
                <w:sz w:val="22"/>
              </w:rPr>
              <w:t>slug</w:t>
            </w:r>
          </w:p>
        </w:tc>
        <w:tc>
          <w:tcPr>
            <w:tcW w:type="dxa" w:w="3010"/>
          </w:tcPr>
          <w:p>
            <w:r>
              <w:rPr>
                <w:rFonts w:ascii="Times New Roman" w:hAnsi="Times New Roman"/>
                <w:sz w:val="22"/>
              </w:rPr>
              <w:t>Stable tenant key used in routing and headers</w:t>
            </w:r>
          </w:p>
        </w:tc>
      </w:tr>
      <w:tr>
        <w:tc>
          <w:tcPr>
            <w:tcW w:type="dxa" w:w="3010"/>
          </w:tcPr>
          <w:p>
            <w:r>
              <w:rPr>
                <w:rFonts w:ascii="Times New Roman" w:hAnsi="Times New Roman"/>
                <w:sz w:val="22"/>
              </w:rPr>
              <w:t>Organization</w:t>
            </w:r>
          </w:p>
        </w:tc>
        <w:tc>
          <w:tcPr>
            <w:tcW w:type="dxa" w:w="3010"/>
          </w:tcPr>
          <w:p>
            <w:r>
              <w:rPr>
                <w:rFonts w:ascii="Times New Roman" w:hAnsi="Times New Roman"/>
                <w:sz w:val="22"/>
              </w:rPr>
              <w:t>created_by</w:t>
            </w:r>
          </w:p>
        </w:tc>
        <w:tc>
          <w:tcPr>
            <w:tcW w:type="dxa" w:w="3010"/>
          </w:tcPr>
          <w:p>
            <w:r>
              <w:rPr>
                <w:rFonts w:ascii="Times New Roman" w:hAnsi="Times New Roman"/>
                <w:sz w:val="22"/>
              </w:rPr>
              <w:t>User who created the organization</w:t>
            </w:r>
          </w:p>
        </w:tc>
      </w:tr>
      <w:tr>
        <w:tc>
          <w:tcPr>
            <w:tcW w:type="dxa" w:w="3010"/>
          </w:tcPr>
          <w:p>
            <w:r>
              <w:rPr>
                <w:rFonts w:ascii="Times New Roman" w:hAnsi="Times New Roman"/>
                <w:sz w:val="22"/>
              </w:rPr>
              <w:t>Organization</w:t>
            </w:r>
          </w:p>
        </w:tc>
        <w:tc>
          <w:tcPr>
            <w:tcW w:type="dxa" w:w="3010"/>
          </w:tcPr>
          <w:p>
            <w:r>
              <w:rPr>
                <w:rFonts w:ascii="Times New Roman" w:hAnsi="Times New Roman"/>
                <w:sz w:val="22"/>
              </w:rPr>
              <w:t>agent_access_token_encrypted</w:t>
            </w:r>
          </w:p>
        </w:tc>
        <w:tc>
          <w:tcPr>
            <w:tcW w:type="dxa" w:w="3010"/>
          </w:tcPr>
          <w:p>
            <w:r>
              <w:rPr>
                <w:rFonts w:ascii="Times New Roman" w:hAnsi="Times New Roman"/>
                <w:sz w:val="22"/>
              </w:rPr>
              <w:t>Encrypted tenant token for quick enrollment</w:t>
            </w:r>
          </w:p>
        </w:tc>
      </w:tr>
      <w:tr>
        <w:tc>
          <w:tcPr>
            <w:tcW w:type="dxa" w:w="3010"/>
          </w:tcPr>
          <w:p>
            <w:r>
              <w:rPr>
                <w:rFonts w:ascii="Times New Roman" w:hAnsi="Times New Roman"/>
                <w:sz w:val="22"/>
              </w:rPr>
              <w:t>Organization</w:t>
            </w:r>
          </w:p>
        </w:tc>
        <w:tc>
          <w:tcPr>
            <w:tcW w:type="dxa" w:w="3010"/>
          </w:tcPr>
          <w:p>
            <w:r>
              <w:rPr>
                <w:rFonts w:ascii="Times New Roman" w:hAnsi="Times New Roman"/>
                <w:sz w:val="22"/>
              </w:rPr>
              <w:t>agent_access_token_rotated_at</w:t>
            </w:r>
          </w:p>
        </w:tc>
        <w:tc>
          <w:tcPr>
            <w:tcW w:type="dxa" w:w="3010"/>
          </w:tcPr>
          <w:p>
            <w:r>
              <w:rPr>
                <w:rFonts w:ascii="Times New Roman" w:hAnsi="Times New Roman"/>
                <w:sz w:val="22"/>
              </w:rPr>
              <w:t>Timestamp of last token rotation</w:t>
            </w:r>
          </w:p>
        </w:tc>
      </w:tr>
      <w:tr>
        <w:tc>
          <w:tcPr>
            <w:tcW w:type="dxa" w:w="3010"/>
          </w:tcPr>
          <w:p>
            <w:r>
              <w:rPr>
                <w:rFonts w:ascii="Times New Roman" w:hAnsi="Times New Roman"/>
                <w:sz w:val="22"/>
              </w:rPr>
              <w:t>OrganizationMembership</w:t>
            </w:r>
          </w:p>
        </w:tc>
        <w:tc>
          <w:tcPr>
            <w:tcW w:type="dxa" w:w="3010"/>
          </w:tcPr>
          <w:p>
            <w:r>
              <w:rPr>
                <w:rFonts w:ascii="Times New Roman" w:hAnsi="Times New Roman"/>
                <w:sz w:val="22"/>
              </w:rPr>
              <w:t>organization</w:t>
            </w:r>
          </w:p>
        </w:tc>
        <w:tc>
          <w:tcPr>
            <w:tcW w:type="dxa" w:w="3010"/>
          </w:tcPr>
          <w:p>
            <w:r>
              <w:rPr>
                <w:rFonts w:ascii="Times New Roman" w:hAnsi="Times New Roman"/>
                <w:sz w:val="22"/>
              </w:rPr>
              <w:t>Tenant referenced by the membership</w:t>
            </w:r>
          </w:p>
        </w:tc>
      </w:tr>
      <w:tr>
        <w:tc>
          <w:tcPr>
            <w:tcW w:type="dxa" w:w="3010"/>
          </w:tcPr>
          <w:p>
            <w:r>
              <w:rPr>
                <w:rFonts w:ascii="Times New Roman" w:hAnsi="Times New Roman"/>
                <w:sz w:val="22"/>
              </w:rPr>
              <w:t>OrganizationMembership</w:t>
            </w:r>
          </w:p>
        </w:tc>
        <w:tc>
          <w:tcPr>
            <w:tcW w:type="dxa" w:w="3010"/>
          </w:tcPr>
          <w:p>
            <w:r>
              <w:rPr>
                <w:rFonts w:ascii="Times New Roman" w:hAnsi="Times New Roman"/>
                <w:sz w:val="22"/>
              </w:rPr>
              <w:t>user</w:t>
            </w:r>
          </w:p>
        </w:tc>
        <w:tc>
          <w:tcPr>
            <w:tcW w:type="dxa" w:w="3010"/>
          </w:tcPr>
          <w:p>
            <w:r>
              <w:rPr>
                <w:rFonts w:ascii="Times New Roman" w:hAnsi="Times New Roman"/>
                <w:sz w:val="22"/>
              </w:rPr>
              <w:t>User granted access</w:t>
            </w:r>
          </w:p>
        </w:tc>
      </w:tr>
      <w:tr>
        <w:tc>
          <w:tcPr>
            <w:tcW w:type="dxa" w:w="3010"/>
          </w:tcPr>
          <w:p>
            <w:r>
              <w:rPr>
                <w:rFonts w:ascii="Times New Roman" w:hAnsi="Times New Roman"/>
                <w:sz w:val="22"/>
              </w:rPr>
              <w:t>OrganizationMembership</w:t>
            </w:r>
          </w:p>
        </w:tc>
        <w:tc>
          <w:tcPr>
            <w:tcW w:type="dxa" w:w="3010"/>
          </w:tcPr>
          <w:p>
            <w:r>
              <w:rPr>
                <w:rFonts w:ascii="Times New Roman" w:hAnsi="Times New Roman"/>
                <w:sz w:val="22"/>
              </w:rPr>
              <w:t>role</w:t>
            </w:r>
          </w:p>
        </w:tc>
        <w:tc>
          <w:tcPr>
            <w:tcW w:type="dxa" w:w="3010"/>
          </w:tcPr>
          <w:p>
            <w:r>
              <w:rPr>
                <w:rFonts w:ascii="Times New Roman" w:hAnsi="Times New Roman"/>
                <w:sz w:val="22"/>
              </w:rPr>
              <w:t>OWNER, ADMIN, ANALYST, or VIEWER</w:t>
            </w:r>
          </w:p>
        </w:tc>
      </w:tr>
    </w:tbl>
    <w:p>
      <w:pPr>
        <w:pStyle w:val="Heading2"/>
        <w:spacing w:line="288" w:lineRule="auto" w:after="80" w:before="80"/>
        <w:jc w:val="left"/>
      </w:pPr>
      <w:r>
        <w:t>15.2 Agent and Enrollment Tables</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Model</w:t>
            </w:r>
          </w:p>
        </w:tc>
        <w:tc>
          <w:tcPr>
            <w:tcW w:type="dxa" w:w="3010"/>
          </w:tcPr>
          <w:p>
            <w:r>
              <w:rPr>
                <w:rFonts w:ascii="Times New Roman" w:hAnsi="Times New Roman"/>
                <w:b/>
                <w:sz w:val="22"/>
              </w:rPr>
              <w:t>Field</w:t>
            </w:r>
          </w:p>
        </w:tc>
        <w:tc>
          <w:tcPr>
            <w:tcW w:type="dxa" w:w="3010"/>
          </w:tcPr>
          <w:p>
            <w:r>
              <w:rPr>
                <w:rFonts w:ascii="Times New Roman" w:hAnsi="Times New Roman"/>
                <w:b/>
                <w:sz w:val="22"/>
              </w:rPr>
              <w:t>Meaning</w:t>
            </w:r>
          </w:p>
        </w:tc>
      </w:tr>
      <w:tr>
        <w:tc>
          <w:tcPr>
            <w:tcW w:type="dxa" w:w="3010"/>
          </w:tcPr>
          <w:p>
            <w:r>
              <w:rPr>
                <w:rFonts w:ascii="Times New Roman" w:hAnsi="Times New Roman"/>
                <w:sz w:val="22"/>
              </w:rPr>
              <w:t>AgentEnrollmentToken</w:t>
            </w:r>
          </w:p>
        </w:tc>
        <w:tc>
          <w:tcPr>
            <w:tcW w:type="dxa" w:w="3010"/>
          </w:tcPr>
          <w:p>
            <w:r>
              <w:rPr>
                <w:rFonts w:ascii="Times New Roman" w:hAnsi="Times New Roman"/>
                <w:sz w:val="22"/>
              </w:rPr>
              <w:t>token_hash</w:t>
            </w:r>
          </w:p>
        </w:tc>
        <w:tc>
          <w:tcPr>
            <w:tcW w:type="dxa" w:w="3010"/>
          </w:tcPr>
          <w:p>
            <w:r>
              <w:rPr>
                <w:rFonts w:ascii="Times New Roman" w:hAnsi="Times New Roman"/>
                <w:sz w:val="22"/>
              </w:rPr>
              <w:t>SHA-256 hash of the raw one-time token</w:t>
            </w:r>
          </w:p>
        </w:tc>
      </w:tr>
      <w:tr>
        <w:tc>
          <w:tcPr>
            <w:tcW w:type="dxa" w:w="3010"/>
          </w:tcPr>
          <w:p>
            <w:r>
              <w:rPr>
                <w:rFonts w:ascii="Times New Roman" w:hAnsi="Times New Roman"/>
                <w:sz w:val="22"/>
              </w:rPr>
              <w:t>AgentEnrollmentToken</w:t>
            </w:r>
          </w:p>
        </w:tc>
        <w:tc>
          <w:tcPr>
            <w:tcW w:type="dxa" w:w="3010"/>
          </w:tcPr>
          <w:p>
            <w:r>
              <w:rPr>
                <w:rFonts w:ascii="Times New Roman" w:hAnsi="Times New Roman"/>
                <w:sz w:val="22"/>
              </w:rPr>
              <w:t>description</w:t>
            </w:r>
          </w:p>
        </w:tc>
        <w:tc>
          <w:tcPr>
            <w:tcW w:type="dxa" w:w="3010"/>
          </w:tcPr>
          <w:p>
            <w:r>
              <w:rPr>
                <w:rFonts w:ascii="Times New Roman" w:hAnsi="Times New Roman"/>
                <w:sz w:val="22"/>
              </w:rPr>
              <w:t>Admin note about the rollout wave or use case</w:t>
            </w:r>
          </w:p>
        </w:tc>
      </w:tr>
      <w:tr>
        <w:tc>
          <w:tcPr>
            <w:tcW w:type="dxa" w:w="3010"/>
          </w:tcPr>
          <w:p>
            <w:r>
              <w:rPr>
                <w:rFonts w:ascii="Times New Roman" w:hAnsi="Times New Roman"/>
                <w:sz w:val="22"/>
              </w:rPr>
              <w:t>AgentEnrollmentToken</w:t>
            </w:r>
          </w:p>
        </w:tc>
        <w:tc>
          <w:tcPr>
            <w:tcW w:type="dxa" w:w="3010"/>
          </w:tcPr>
          <w:p>
            <w:r>
              <w:rPr>
                <w:rFonts w:ascii="Times New Roman" w:hAnsi="Times New Roman"/>
                <w:sz w:val="22"/>
              </w:rPr>
              <w:t>expires_at</w:t>
            </w:r>
          </w:p>
        </w:tc>
        <w:tc>
          <w:tcPr>
            <w:tcW w:type="dxa" w:w="3010"/>
          </w:tcPr>
          <w:p>
            <w:r>
              <w:rPr>
                <w:rFonts w:ascii="Times New Roman" w:hAnsi="Times New Roman"/>
                <w:sz w:val="22"/>
              </w:rPr>
              <w:t>Expiration time for safe onboarding</w:t>
            </w:r>
          </w:p>
        </w:tc>
      </w:tr>
      <w:tr>
        <w:tc>
          <w:tcPr>
            <w:tcW w:type="dxa" w:w="3010"/>
          </w:tcPr>
          <w:p>
            <w:r>
              <w:rPr>
                <w:rFonts w:ascii="Times New Roman" w:hAnsi="Times New Roman"/>
                <w:sz w:val="22"/>
              </w:rPr>
              <w:t>AgentEnrollmentToken</w:t>
            </w:r>
          </w:p>
        </w:tc>
        <w:tc>
          <w:tcPr>
            <w:tcW w:type="dxa" w:w="3010"/>
          </w:tcPr>
          <w:p>
            <w:r>
              <w:rPr>
                <w:rFonts w:ascii="Times New Roman" w:hAnsi="Times New Roman"/>
                <w:sz w:val="22"/>
              </w:rPr>
              <w:t>used_at</w:t>
            </w:r>
          </w:p>
        </w:tc>
        <w:tc>
          <w:tcPr>
            <w:tcW w:type="dxa" w:w="3010"/>
          </w:tcPr>
          <w:p>
            <w:r>
              <w:rPr>
                <w:rFonts w:ascii="Times New Roman" w:hAnsi="Times New Roman"/>
                <w:sz w:val="22"/>
              </w:rPr>
              <w:t>Marks token as single-use once consumed</w:t>
            </w:r>
          </w:p>
        </w:tc>
      </w:tr>
      <w:tr>
        <w:tc>
          <w:tcPr>
            <w:tcW w:type="dxa" w:w="3010"/>
          </w:tcPr>
          <w:p>
            <w:r>
              <w:rPr>
                <w:rFonts w:ascii="Times New Roman" w:hAnsi="Times New Roman"/>
                <w:sz w:val="22"/>
              </w:rPr>
              <w:t>Agent</w:t>
            </w:r>
          </w:p>
        </w:tc>
        <w:tc>
          <w:tcPr>
            <w:tcW w:type="dxa" w:w="3010"/>
          </w:tcPr>
          <w:p>
            <w:r>
              <w:rPr>
                <w:rFonts w:ascii="Times New Roman" w:hAnsi="Times New Roman"/>
                <w:sz w:val="22"/>
              </w:rPr>
              <w:t>id</w:t>
            </w:r>
          </w:p>
        </w:tc>
        <w:tc>
          <w:tcPr>
            <w:tcW w:type="dxa" w:w="3010"/>
          </w:tcPr>
          <w:p>
            <w:r>
              <w:rPr>
                <w:rFonts w:ascii="Times New Roman" w:hAnsi="Times New Roman"/>
                <w:sz w:val="22"/>
              </w:rPr>
              <w:t>Primary device identifier (UUID)</w:t>
            </w:r>
          </w:p>
        </w:tc>
      </w:tr>
      <w:tr>
        <w:tc>
          <w:tcPr>
            <w:tcW w:type="dxa" w:w="3010"/>
          </w:tcPr>
          <w:p>
            <w:r>
              <w:rPr>
                <w:rFonts w:ascii="Times New Roman" w:hAnsi="Times New Roman"/>
                <w:sz w:val="22"/>
              </w:rPr>
              <w:t>Agent</w:t>
            </w:r>
          </w:p>
        </w:tc>
        <w:tc>
          <w:tcPr>
            <w:tcW w:type="dxa" w:w="3010"/>
          </w:tcPr>
          <w:p>
            <w:r>
              <w:rPr>
                <w:rFonts w:ascii="Times New Roman" w:hAnsi="Times New Roman"/>
                <w:sz w:val="22"/>
              </w:rPr>
              <w:t>hostname</w:t>
            </w:r>
          </w:p>
        </w:tc>
        <w:tc>
          <w:tcPr>
            <w:tcW w:type="dxa" w:w="3010"/>
          </w:tcPr>
          <w:p>
            <w:r>
              <w:rPr>
                <w:rFonts w:ascii="Times New Roman" w:hAnsi="Times New Roman"/>
                <w:sz w:val="22"/>
              </w:rPr>
              <w:t>Endpoint hostname shown in the dashboard</w:t>
            </w:r>
          </w:p>
        </w:tc>
      </w:tr>
      <w:tr>
        <w:tc>
          <w:tcPr>
            <w:tcW w:type="dxa" w:w="3010"/>
          </w:tcPr>
          <w:p>
            <w:r>
              <w:rPr>
                <w:rFonts w:ascii="Times New Roman" w:hAnsi="Times New Roman"/>
                <w:sz w:val="22"/>
              </w:rPr>
              <w:t>Agent</w:t>
            </w:r>
          </w:p>
        </w:tc>
        <w:tc>
          <w:tcPr>
            <w:tcW w:type="dxa" w:w="3010"/>
          </w:tcPr>
          <w:p>
            <w:r>
              <w:rPr>
                <w:rFonts w:ascii="Times New Roman" w:hAnsi="Times New Roman"/>
                <w:sz w:val="22"/>
              </w:rPr>
              <w:t>operating_system</w:t>
            </w:r>
          </w:p>
        </w:tc>
        <w:tc>
          <w:tcPr>
            <w:tcW w:type="dxa" w:w="3010"/>
          </w:tcPr>
          <w:p>
            <w:r>
              <w:rPr>
                <w:rFonts w:ascii="Times New Roman" w:hAnsi="Times New Roman"/>
                <w:sz w:val="22"/>
              </w:rPr>
              <w:t>Operating system reported during enrollment</w:t>
            </w:r>
          </w:p>
        </w:tc>
      </w:tr>
      <w:tr>
        <w:tc>
          <w:tcPr>
            <w:tcW w:type="dxa" w:w="3010"/>
          </w:tcPr>
          <w:p>
            <w:r>
              <w:rPr>
                <w:rFonts w:ascii="Times New Roman" w:hAnsi="Times New Roman"/>
                <w:sz w:val="22"/>
              </w:rPr>
              <w:t>Agent</w:t>
            </w:r>
          </w:p>
        </w:tc>
        <w:tc>
          <w:tcPr>
            <w:tcW w:type="dxa" w:w="3010"/>
          </w:tcPr>
          <w:p>
            <w:r>
              <w:rPr>
                <w:rFonts w:ascii="Times New Roman" w:hAnsi="Times New Roman"/>
                <w:sz w:val="22"/>
              </w:rPr>
              <w:t>ip_address</w:t>
            </w:r>
          </w:p>
        </w:tc>
        <w:tc>
          <w:tcPr>
            <w:tcW w:type="dxa" w:w="3010"/>
          </w:tcPr>
          <w:p>
            <w:r>
              <w:rPr>
                <w:rFonts w:ascii="Times New Roman" w:hAnsi="Times New Roman"/>
                <w:sz w:val="22"/>
              </w:rPr>
              <w:t>Optional device IP address</w:t>
            </w:r>
          </w:p>
        </w:tc>
      </w:tr>
      <w:tr>
        <w:tc>
          <w:tcPr>
            <w:tcW w:type="dxa" w:w="3010"/>
          </w:tcPr>
          <w:p>
            <w:r>
              <w:rPr>
                <w:rFonts w:ascii="Times New Roman" w:hAnsi="Times New Roman"/>
                <w:sz w:val="22"/>
              </w:rPr>
              <w:t>Agent</w:t>
            </w:r>
          </w:p>
        </w:tc>
        <w:tc>
          <w:tcPr>
            <w:tcW w:type="dxa" w:w="3010"/>
          </w:tcPr>
          <w:p>
            <w:r>
              <w:rPr>
                <w:rFonts w:ascii="Times New Roman" w:hAnsi="Times New Roman"/>
                <w:sz w:val="22"/>
              </w:rPr>
              <w:t>api_token_hash</w:t>
            </w:r>
          </w:p>
        </w:tc>
        <w:tc>
          <w:tcPr>
            <w:tcW w:type="dxa" w:w="3010"/>
          </w:tcPr>
          <w:p>
            <w:r>
              <w:rPr>
                <w:rFonts w:ascii="Times New Roman" w:hAnsi="Times New Roman"/>
                <w:sz w:val="22"/>
              </w:rPr>
              <w:t>Stored hash of raw device API token</w:t>
            </w:r>
          </w:p>
        </w:tc>
      </w:tr>
      <w:tr>
        <w:tc>
          <w:tcPr>
            <w:tcW w:type="dxa" w:w="3010"/>
          </w:tcPr>
          <w:p>
            <w:r>
              <w:rPr>
                <w:rFonts w:ascii="Times New Roman" w:hAnsi="Times New Roman"/>
                <w:sz w:val="22"/>
              </w:rPr>
              <w:t>Agent</w:t>
            </w:r>
          </w:p>
        </w:tc>
        <w:tc>
          <w:tcPr>
            <w:tcW w:type="dxa" w:w="3010"/>
          </w:tcPr>
          <w:p>
            <w:r>
              <w:rPr>
                <w:rFonts w:ascii="Times New Roman" w:hAnsi="Times New Roman"/>
                <w:sz w:val="22"/>
              </w:rPr>
              <w:t>last_seen</w:t>
            </w:r>
          </w:p>
        </w:tc>
        <w:tc>
          <w:tcPr>
            <w:tcW w:type="dxa" w:w="3010"/>
          </w:tcPr>
          <w:p>
            <w:r>
              <w:rPr>
                <w:rFonts w:ascii="Times New Roman" w:hAnsi="Times New Roman"/>
                <w:sz w:val="22"/>
              </w:rPr>
              <w:t>Last successful heartbeat or event ingest time</w:t>
            </w:r>
          </w:p>
        </w:tc>
      </w:tr>
    </w:tbl>
    <w:p>
      <w:pPr>
        <w:pStyle w:val="Heading2"/>
        <w:spacing w:line="288" w:lineRule="auto" w:after="80" w:before="80"/>
        <w:jc w:val="left"/>
      </w:pPr>
      <w:r>
        <w:t>15.3 Event and Aggregate Tables</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Model</w:t>
            </w:r>
          </w:p>
        </w:tc>
        <w:tc>
          <w:tcPr>
            <w:tcW w:type="dxa" w:w="3010"/>
          </w:tcPr>
          <w:p>
            <w:r>
              <w:rPr>
                <w:rFonts w:ascii="Times New Roman" w:hAnsi="Times New Roman"/>
                <w:b/>
                <w:sz w:val="22"/>
              </w:rPr>
              <w:t>Field</w:t>
            </w:r>
          </w:p>
        </w:tc>
        <w:tc>
          <w:tcPr>
            <w:tcW w:type="dxa" w:w="3010"/>
          </w:tcPr>
          <w:p>
            <w:r>
              <w:rPr>
                <w:rFonts w:ascii="Times New Roman" w:hAnsi="Times New Roman"/>
                <w:b/>
                <w:sz w:val="22"/>
              </w:rPr>
              <w:t>Meaning</w:t>
            </w:r>
          </w:p>
        </w:tc>
      </w:tr>
      <w:tr>
        <w:tc>
          <w:tcPr>
            <w:tcW w:type="dxa" w:w="3010"/>
          </w:tcPr>
          <w:p>
            <w:r>
              <w:rPr>
                <w:rFonts w:ascii="Times New Roman" w:hAnsi="Times New Roman"/>
                <w:sz w:val="22"/>
              </w:rPr>
              <w:t>Event</w:t>
            </w:r>
          </w:p>
        </w:tc>
        <w:tc>
          <w:tcPr>
            <w:tcW w:type="dxa" w:w="3010"/>
          </w:tcPr>
          <w:p>
            <w:r>
              <w:rPr>
                <w:rFonts w:ascii="Times New Roman" w:hAnsi="Times New Roman"/>
                <w:sz w:val="22"/>
              </w:rPr>
              <w:t>event_type</w:t>
            </w:r>
          </w:p>
        </w:tc>
        <w:tc>
          <w:tcPr>
            <w:tcW w:type="dxa" w:w="3010"/>
          </w:tcPr>
          <w:p>
            <w:r>
              <w:rPr>
                <w:rFonts w:ascii="Times New Roman" w:hAnsi="Times New Roman"/>
                <w:sz w:val="22"/>
              </w:rPr>
              <w:t>Normalized label such as process_creation or network_snapshot</w:t>
            </w:r>
          </w:p>
        </w:tc>
      </w:tr>
      <w:tr>
        <w:tc>
          <w:tcPr>
            <w:tcW w:type="dxa" w:w="3010"/>
          </w:tcPr>
          <w:p>
            <w:r>
              <w:rPr>
                <w:rFonts w:ascii="Times New Roman" w:hAnsi="Times New Roman"/>
                <w:sz w:val="22"/>
              </w:rPr>
              <w:t>Event</w:t>
            </w:r>
          </w:p>
        </w:tc>
        <w:tc>
          <w:tcPr>
            <w:tcW w:type="dxa" w:w="3010"/>
          </w:tcPr>
          <w:p>
            <w:r>
              <w:rPr>
                <w:rFonts w:ascii="Times New Roman" w:hAnsi="Times New Roman"/>
                <w:sz w:val="22"/>
              </w:rPr>
              <w:t>severity</w:t>
            </w:r>
          </w:p>
        </w:tc>
        <w:tc>
          <w:tcPr>
            <w:tcW w:type="dxa" w:w="3010"/>
          </w:tcPr>
          <w:p>
            <w:r>
              <w:rPr>
                <w:rFonts w:ascii="Times New Roman" w:hAnsi="Times New Roman"/>
                <w:sz w:val="22"/>
              </w:rPr>
              <w:t>Low / Medium / High / Critical source severity</w:t>
            </w:r>
          </w:p>
        </w:tc>
      </w:tr>
      <w:tr>
        <w:tc>
          <w:tcPr>
            <w:tcW w:type="dxa" w:w="3010"/>
          </w:tcPr>
          <w:p>
            <w:r>
              <w:rPr>
                <w:rFonts w:ascii="Times New Roman" w:hAnsi="Times New Roman"/>
                <w:sz w:val="22"/>
              </w:rPr>
              <w:t>Event</w:t>
            </w:r>
          </w:p>
        </w:tc>
        <w:tc>
          <w:tcPr>
            <w:tcW w:type="dxa" w:w="3010"/>
          </w:tcPr>
          <w:p>
            <w:r>
              <w:rPr>
                <w:rFonts w:ascii="Times New Roman" w:hAnsi="Times New Roman"/>
                <w:sz w:val="22"/>
              </w:rPr>
              <w:t>raw_json</w:t>
            </w:r>
          </w:p>
        </w:tc>
        <w:tc>
          <w:tcPr>
            <w:tcW w:type="dxa" w:w="3010"/>
          </w:tcPr>
          <w:p>
            <w:r>
              <w:rPr>
                <w:rFonts w:ascii="Times New Roman" w:hAnsi="Times New Roman"/>
                <w:sz w:val="22"/>
              </w:rPr>
              <w:t>Flexible JSON payload carrying event details</w:t>
            </w:r>
          </w:p>
        </w:tc>
      </w:tr>
      <w:tr>
        <w:tc>
          <w:tcPr>
            <w:tcW w:type="dxa" w:w="3010"/>
          </w:tcPr>
          <w:p>
            <w:r>
              <w:rPr>
                <w:rFonts w:ascii="Times New Roman" w:hAnsi="Times New Roman"/>
                <w:sz w:val="22"/>
              </w:rPr>
              <w:t>Event</w:t>
            </w:r>
          </w:p>
        </w:tc>
        <w:tc>
          <w:tcPr>
            <w:tcW w:type="dxa" w:w="3010"/>
          </w:tcPr>
          <w:p>
            <w:r>
              <w:rPr>
                <w:rFonts w:ascii="Times New Roman" w:hAnsi="Times New Roman"/>
                <w:sz w:val="22"/>
              </w:rPr>
              <w:t>source_timestamp</w:t>
            </w:r>
          </w:p>
        </w:tc>
        <w:tc>
          <w:tcPr>
            <w:tcW w:type="dxa" w:w="3010"/>
          </w:tcPr>
          <w:p>
            <w:r>
              <w:rPr>
                <w:rFonts w:ascii="Times New Roman" w:hAnsi="Times New Roman"/>
                <w:sz w:val="22"/>
              </w:rPr>
              <w:t>Time generated at the source</w:t>
            </w:r>
          </w:p>
        </w:tc>
      </w:tr>
      <w:tr>
        <w:tc>
          <w:tcPr>
            <w:tcW w:type="dxa" w:w="3010"/>
          </w:tcPr>
          <w:p>
            <w:r>
              <w:rPr>
                <w:rFonts w:ascii="Times New Roman" w:hAnsi="Times New Roman"/>
                <w:sz w:val="22"/>
              </w:rPr>
              <w:t>Event</w:t>
            </w:r>
          </w:p>
        </w:tc>
        <w:tc>
          <w:tcPr>
            <w:tcW w:type="dxa" w:w="3010"/>
          </w:tcPr>
          <w:p>
            <w:r>
              <w:rPr>
                <w:rFonts w:ascii="Times New Roman" w:hAnsi="Times New Roman"/>
                <w:sz w:val="22"/>
              </w:rPr>
              <w:t>processed</w:t>
            </w:r>
          </w:p>
        </w:tc>
        <w:tc>
          <w:tcPr>
            <w:tcW w:type="dxa" w:w="3010"/>
          </w:tcPr>
          <w:p>
            <w:r>
              <w:rPr>
                <w:rFonts w:ascii="Times New Roman" w:hAnsi="Times New Roman"/>
                <w:sz w:val="22"/>
              </w:rPr>
              <w:t>Whether the record has been absorbed into an aggregate</w:t>
            </w:r>
          </w:p>
        </w:tc>
      </w:tr>
      <w:tr>
        <w:tc>
          <w:tcPr>
            <w:tcW w:type="dxa" w:w="3010"/>
          </w:tcPr>
          <w:p>
            <w:r>
              <w:rPr>
                <w:rFonts w:ascii="Times New Roman" w:hAnsi="Times New Roman"/>
                <w:sz w:val="22"/>
              </w:rPr>
              <w:t>AggregatedWindow</w:t>
            </w:r>
          </w:p>
        </w:tc>
        <w:tc>
          <w:tcPr>
            <w:tcW w:type="dxa" w:w="3010"/>
          </w:tcPr>
          <w:p>
            <w:r>
              <w:rPr>
                <w:rFonts w:ascii="Times New Roman" w:hAnsi="Times New Roman"/>
                <w:sz w:val="22"/>
              </w:rPr>
              <w:t>window_start</w:t>
            </w:r>
          </w:p>
        </w:tc>
        <w:tc>
          <w:tcPr>
            <w:tcW w:type="dxa" w:w="3010"/>
          </w:tcPr>
          <w:p>
            <w:r>
              <w:rPr>
                <w:rFonts w:ascii="Times New Roman" w:hAnsi="Times New Roman"/>
                <w:sz w:val="22"/>
              </w:rPr>
              <w:t>Start timestamp for aggregation interval</w:t>
            </w:r>
          </w:p>
        </w:tc>
      </w:tr>
      <w:tr>
        <w:tc>
          <w:tcPr>
            <w:tcW w:type="dxa" w:w="3010"/>
          </w:tcPr>
          <w:p>
            <w:r>
              <w:rPr>
                <w:rFonts w:ascii="Times New Roman" w:hAnsi="Times New Roman"/>
                <w:sz w:val="22"/>
              </w:rPr>
              <w:t>AggregatedWindow</w:t>
            </w:r>
          </w:p>
        </w:tc>
        <w:tc>
          <w:tcPr>
            <w:tcW w:type="dxa" w:w="3010"/>
          </w:tcPr>
          <w:p>
            <w:r>
              <w:rPr>
                <w:rFonts w:ascii="Times New Roman" w:hAnsi="Times New Roman"/>
                <w:sz w:val="22"/>
              </w:rPr>
              <w:t>window_end</w:t>
            </w:r>
          </w:p>
        </w:tc>
        <w:tc>
          <w:tcPr>
            <w:tcW w:type="dxa" w:w="3010"/>
          </w:tcPr>
          <w:p>
            <w:r>
              <w:rPr>
                <w:rFonts w:ascii="Times New Roman" w:hAnsi="Times New Roman"/>
                <w:sz w:val="22"/>
              </w:rPr>
              <w:t>End timestamp for aggregation interval</w:t>
            </w:r>
          </w:p>
        </w:tc>
      </w:tr>
      <w:tr>
        <w:tc>
          <w:tcPr>
            <w:tcW w:type="dxa" w:w="3010"/>
          </w:tcPr>
          <w:p>
            <w:r>
              <w:rPr>
                <w:rFonts w:ascii="Times New Roman" w:hAnsi="Times New Roman"/>
                <w:sz w:val="22"/>
              </w:rPr>
              <w:t>AggregatedWindow</w:t>
            </w:r>
          </w:p>
        </w:tc>
        <w:tc>
          <w:tcPr>
            <w:tcW w:type="dxa" w:w="3010"/>
          </w:tcPr>
          <w:p>
            <w:r>
              <w:rPr>
                <w:rFonts w:ascii="Times New Roman" w:hAnsi="Times New Roman"/>
                <w:sz w:val="22"/>
              </w:rPr>
              <w:t>source_event_count</w:t>
            </w:r>
          </w:p>
        </w:tc>
        <w:tc>
          <w:tcPr>
            <w:tcW w:type="dxa" w:w="3010"/>
          </w:tcPr>
          <w:p>
            <w:r>
              <w:rPr>
                <w:rFonts w:ascii="Times New Roman" w:hAnsi="Times New Roman"/>
                <w:sz w:val="22"/>
              </w:rPr>
              <w:t>How many source events contributed</w:t>
            </w:r>
          </w:p>
        </w:tc>
      </w:tr>
      <w:tr>
        <w:tc>
          <w:tcPr>
            <w:tcW w:type="dxa" w:w="3010"/>
          </w:tcPr>
          <w:p>
            <w:r>
              <w:rPr>
                <w:rFonts w:ascii="Times New Roman" w:hAnsi="Times New Roman"/>
                <w:sz w:val="22"/>
              </w:rPr>
              <w:t>AggregatedWindow</w:t>
            </w:r>
          </w:p>
        </w:tc>
        <w:tc>
          <w:tcPr>
            <w:tcW w:type="dxa" w:w="3010"/>
          </w:tcPr>
          <w:p>
            <w:r>
              <w:rPr>
                <w:rFonts w:ascii="Times New Roman" w:hAnsi="Times New Roman"/>
                <w:sz w:val="22"/>
              </w:rPr>
              <w:t>summary_json</w:t>
            </w:r>
          </w:p>
        </w:tc>
        <w:tc>
          <w:tcPr>
            <w:tcW w:type="dxa" w:w="3010"/>
          </w:tcPr>
          <w:p>
            <w:r>
              <w:rPr>
                <w:rFonts w:ascii="Times New Roman" w:hAnsi="Times New Roman"/>
                <w:sz w:val="22"/>
              </w:rPr>
              <w:t>Derived counters and dominant signals</w:t>
            </w:r>
          </w:p>
        </w:tc>
      </w:tr>
      <w:tr>
        <w:tc>
          <w:tcPr>
            <w:tcW w:type="dxa" w:w="3010"/>
          </w:tcPr>
          <w:p>
            <w:r>
              <w:rPr>
                <w:rFonts w:ascii="Times New Roman" w:hAnsi="Times New Roman"/>
                <w:sz w:val="22"/>
              </w:rPr>
              <w:t>AggregatedWindow</w:t>
            </w:r>
          </w:p>
        </w:tc>
        <w:tc>
          <w:tcPr>
            <w:tcW w:type="dxa" w:w="3010"/>
          </w:tcPr>
          <w:p>
            <w:r>
              <w:rPr>
                <w:rFonts w:ascii="Times New Roman" w:hAnsi="Times New Roman"/>
                <w:sz w:val="22"/>
              </w:rPr>
              <w:t>analyzed</w:t>
            </w:r>
          </w:p>
        </w:tc>
        <w:tc>
          <w:tcPr>
            <w:tcW w:type="dxa" w:w="3010"/>
          </w:tcPr>
          <w:p>
            <w:r>
              <w:rPr>
                <w:rFonts w:ascii="Times New Roman" w:hAnsi="Times New Roman"/>
                <w:sz w:val="22"/>
              </w:rPr>
              <w:t>Whether the LLM/rule stage has completed</w:t>
            </w:r>
          </w:p>
        </w:tc>
      </w:tr>
      <w:tr>
        <w:tc>
          <w:tcPr>
            <w:tcW w:type="dxa" w:w="3010"/>
          </w:tcPr>
          <w:p>
            <w:r>
              <w:rPr>
                <w:rFonts w:ascii="Times New Roman" w:hAnsi="Times New Roman"/>
                <w:sz w:val="22"/>
              </w:rPr>
              <w:t>AggregatedWindow</w:t>
            </w:r>
          </w:p>
        </w:tc>
        <w:tc>
          <w:tcPr>
            <w:tcW w:type="dxa" w:w="3010"/>
          </w:tcPr>
          <w:p>
            <w:r>
              <w:rPr>
                <w:rFonts w:ascii="Times New Roman" w:hAnsi="Times New Roman"/>
                <w:sz w:val="22"/>
              </w:rPr>
              <w:t>llm_output</w:t>
            </w:r>
          </w:p>
        </w:tc>
        <w:tc>
          <w:tcPr>
            <w:tcW w:type="dxa" w:w="3010"/>
          </w:tcPr>
          <w:p>
            <w:r>
              <w:rPr>
                <w:rFonts w:ascii="Times New Roman" w:hAnsi="Times New Roman"/>
                <w:sz w:val="22"/>
              </w:rPr>
              <w:t>Validated analysis JSON and escalation metadata</w:t>
            </w:r>
          </w:p>
        </w:tc>
      </w:tr>
    </w:tbl>
    <w:p>
      <w:pPr>
        <w:pStyle w:val="Heading2"/>
        <w:spacing w:line="288" w:lineRule="auto" w:after="80" w:before="80"/>
        <w:jc w:val="left"/>
      </w:pPr>
      <w:r>
        <w:t>15.4 Alert, Scheduler, and Provider Tables</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Model</w:t>
            </w:r>
          </w:p>
        </w:tc>
        <w:tc>
          <w:tcPr>
            <w:tcW w:type="dxa" w:w="3010"/>
          </w:tcPr>
          <w:p>
            <w:r>
              <w:rPr>
                <w:rFonts w:ascii="Times New Roman" w:hAnsi="Times New Roman"/>
                <w:b/>
                <w:sz w:val="22"/>
              </w:rPr>
              <w:t>Field</w:t>
            </w:r>
          </w:p>
        </w:tc>
        <w:tc>
          <w:tcPr>
            <w:tcW w:type="dxa" w:w="3010"/>
          </w:tcPr>
          <w:p>
            <w:r>
              <w:rPr>
                <w:rFonts w:ascii="Times New Roman" w:hAnsi="Times New Roman"/>
                <w:b/>
                <w:sz w:val="22"/>
              </w:rPr>
              <w:t>Meaning</w:t>
            </w:r>
          </w:p>
        </w:tc>
      </w:tr>
      <w:tr>
        <w:tc>
          <w:tcPr>
            <w:tcW w:type="dxa" w:w="3010"/>
          </w:tcPr>
          <w:p>
            <w:r>
              <w:rPr>
                <w:rFonts w:ascii="Times New Roman" w:hAnsi="Times New Roman"/>
                <w:sz w:val="22"/>
              </w:rPr>
              <w:t>Alert</w:t>
            </w:r>
          </w:p>
        </w:tc>
        <w:tc>
          <w:tcPr>
            <w:tcW w:type="dxa" w:w="3010"/>
          </w:tcPr>
          <w:p>
            <w:r>
              <w:rPr>
                <w:rFonts w:ascii="Times New Roman" w:hAnsi="Times New Roman"/>
                <w:sz w:val="22"/>
              </w:rPr>
              <w:t>threat_level</w:t>
            </w:r>
          </w:p>
        </w:tc>
        <w:tc>
          <w:tcPr>
            <w:tcW w:type="dxa" w:w="3010"/>
          </w:tcPr>
          <w:p>
            <w:r>
              <w:rPr>
                <w:rFonts w:ascii="Times New Roman" w:hAnsi="Times New Roman"/>
                <w:sz w:val="22"/>
              </w:rPr>
              <w:t>Final low/medium/high/critical classification</w:t>
            </w:r>
          </w:p>
        </w:tc>
      </w:tr>
      <w:tr>
        <w:tc>
          <w:tcPr>
            <w:tcW w:type="dxa" w:w="3010"/>
          </w:tcPr>
          <w:p>
            <w:r>
              <w:rPr>
                <w:rFonts w:ascii="Times New Roman" w:hAnsi="Times New Roman"/>
                <w:sz w:val="22"/>
              </w:rPr>
              <w:t>Alert</w:t>
            </w:r>
          </w:p>
        </w:tc>
        <w:tc>
          <w:tcPr>
            <w:tcW w:type="dxa" w:w="3010"/>
          </w:tcPr>
          <w:p>
            <w:r>
              <w:rPr>
                <w:rFonts w:ascii="Times New Roman" w:hAnsi="Times New Roman"/>
                <w:sz w:val="22"/>
              </w:rPr>
              <w:t>confidence</w:t>
            </w:r>
          </w:p>
        </w:tc>
        <w:tc>
          <w:tcPr>
            <w:tcW w:type="dxa" w:w="3010"/>
          </w:tcPr>
          <w:p>
            <w:r>
              <w:rPr>
                <w:rFonts w:ascii="Times New Roman" w:hAnsi="Times New Roman"/>
                <w:sz w:val="22"/>
              </w:rPr>
              <w:t>0-100 confidence value after analysis and escalation</w:t>
            </w:r>
          </w:p>
        </w:tc>
      </w:tr>
      <w:tr>
        <w:tc>
          <w:tcPr>
            <w:tcW w:type="dxa" w:w="3010"/>
          </w:tcPr>
          <w:p>
            <w:r>
              <w:rPr>
                <w:rFonts w:ascii="Times New Roman" w:hAnsi="Times New Roman"/>
                <w:sz w:val="22"/>
              </w:rPr>
              <w:t>Alert</w:t>
            </w:r>
          </w:p>
        </w:tc>
        <w:tc>
          <w:tcPr>
            <w:tcW w:type="dxa" w:w="3010"/>
          </w:tcPr>
          <w:p>
            <w:r>
              <w:rPr>
                <w:rFonts w:ascii="Times New Roman" w:hAnsi="Times New Roman"/>
                <w:sz w:val="22"/>
              </w:rPr>
              <w:t>llm_analysis</w:t>
            </w:r>
          </w:p>
        </w:tc>
        <w:tc>
          <w:tcPr>
            <w:tcW w:type="dxa" w:w="3010"/>
          </w:tcPr>
          <w:p>
            <w:r>
              <w:rPr>
                <w:rFonts w:ascii="Times New Roman" w:hAnsi="Times New Roman"/>
                <w:sz w:val="22"/>
              </w:rPr>
              <w:t>Reasoning, action, provider, and related JSON context</w:t>
            </w:r>
          </w:p>
        </w:tc>
      </w:tr>
      <w:tr>
        <w:tc>
          <w:tcPr>
            <w:tcW w:type="dxa" w:w="3010"/>
          </w:tcPr>
          <w:p>
            <w:r>
              <w:rPr>
                <w:rFonts w:ascii="Times New Roman" w:hAnsi="Times New Roman"/>
                <w:sz w:val="22"/>
              </w:rPr>
              <w:t>Alert</w:t>
            </w:r>
          </w:p>
        </w:tc>
        <w:tc>
          <w:tcPr>
            <w:tcW w:type="dxa" w:w="3010"/>
          </w:tcPr>
          <w:p>
            <w:r>
              <w:rPr>
                <w:rFonts w:ascii="Times New Roman" w:hAnsi="Times New Roman"/>
                <w:sz w:val="22"/>
              </w:rPr>
              <w:t>status</w:t>
            </w:r>
          </w:p>
        </w:tc>
        <w:tc>
          <w:tcPr>
            <w:tcW w:type="dxa" w:w="3010"/>
          </w:tcPr>
          <w:p>
            <w:r>
              <w:rPr>
                <w:rFonts w:ascii="Times New Roman" w:hAnsi="Times New Roman"/>
                <w:sz w:val="22"/>
              </w:rPr>
              <w:t>open, in_progress, or resolved</w:t>
            </w:r>
          </w:p>
        </w:tc>
      </w:tr>
      <w:tr>
        <w:tc>
          <w:tcPr>
            <w:tcW w:type="dxa" w:w="3010"/>
          </w:tcPr>
          <w:p>
            <w:r>
              <w:rPr>
                <w:rFonts w:ascii="Times New Roman" w:hAnsi="Times New Roman"/>
                <w:sz w:val="22"/>
              </w:rPr>
              <w:t>SchedulerConfig</w:t>
            </w:r>
          </w:p>
        </w:tc>
        <w:tc>
          <w:tcPr>
            <w:tcW w:type="dxa" w:w="3010"/>
          </w:tcPr>
          <w:p>
            <w:r>
              <w:rPr>
                <w:rFonts w:ascii="Times New Roman" w:hAnsi="Times New Roman"/>
                <w:sz w:val="22"/>
              </w:rPr>
              <w:t>aggregation_interval</w:t>
            </w:r>
          </w:p>
        </w:tc>
        <w:tc>
          <w:tcPr>
            <w:tcW w:type="dxa" w:w="3010"/>
          </w:tcPr>
          <w:p>
            <w:r>
              <w:rPr>
                <w:rFonts w:ascii="Times New Roman" w:hAnsi="Times New Roman"/>
                <w:sz w:val="22"/>
              </w:rPr>
              <w:t>Seconds between backend aggregation windows</w:t>
            </w:r>
          </w:p>
        </w:tc>
      </w:tr>
      <w:tr>
        <w:tc>
          <w:tcPr>
            <w:tcW w:type="dxa" w:w="3010"/>
          </w:tcPr>
          <w:p>
            <w:r>
              <w:rPr>
                <w:rFonts w:ascii="Times New Roman" w:hAnsi="Times New Roman"/>
                <w:sz w:val="22"/>
              </w:rPr>
              <w:t>SchedulerConfig</w:t>
            </w:r>
          </w:p>
        </w:tc>
        <w:tc>
          <w:tcPr>
            <w:tcW w:type="dxa" w:w="3010"/>
          </w:tcPr>
          <w:p>
            <w:r>
              <w:rPr>
                <w:rFonts w:ascii="Times New Roman" w:hAnsi="Times New Roman"/>
                <w:sz w:val="22"/>
              </w:rPr>
              <w:t>min_severity</w:t>
            </w:r>
          </w:p>
        </w:tc>
        <w:tc>
          <w:tcPr>
            <w:tcW w:type="dxa" w:w="3010"/>
          </w:tcPr>
          <w:p>
            <w:r>
              <w:rPr>
                <w:rFonts w:ascii="Times New Roman" w:hAnsi="Times New Roman"/>
                <w:sz w:val="22"/>
              </w:rPr>
              <w:t>Lowest event severity admitted to aggregation</w:t>
            </w:r>
          </w:p>
        </w:tc>
      </w:tr>
      <w:tr>
        <w:tc>
          <w:tcPr>
            <w:tcW w:type="dxa" w:w="3010"/>
          </w:tcPr>
          <w:p>
            <w:r>
              <w:rPr>
                <w:rFonts w:ascii="Times New Roman" w:hAnsi="Times New Roman"/>
                <w:sz w:val="22"/>
              </w:rPr>
              <w:t>SchedulerConfig</w:t>
            </w:r>
          </w:p>
        </w:tc>
        <w:tc>
          <w:tcPr>
            <w:tcW w:type="dxa" w:w="3010"/>
          </w:tcPr>
          <w:p>
            <w:r>
              <w:rPr>
                <w:rFonts w:ascii="Times New Roman" w:hAnsi="Times New Roman"/>
                <w:sz w:val="22"/>
              </w:rPr>
              <w:t>alert_threshold</w:t>
            </w:r>
          </w:p>
        </w:tc>
        <w:tc>
          <w:tcPr>
            <w:tcW w:type="dxa" w:w="3010"/>
          </w:tcPr>
          <w:p>
            <w:r>
              <w:rPr>
                <w:rFonts w:ascii="Times New Roman" w:hAnsi="Times New Roman"/>
                <w:sz w:val="22"/>
              </w:rPr>
              <w:t>Threat level required before alert creation</w:t>
            </w:r>
          </w:p>
        </w:tc>
      </w:tr>
      <w:tr>
        <w:tc>
          <w:tcPr>
            <w:tcW w:type="dxa" w:w="3010"/>
          </w:tcPr>
          <w:p>
            <w:r>
              <w:rPr>
                <w:rFonts w:ascii="Times New Roman" w:hAnsi="Times New Roman"/>
                <w:sz w:val="22"/>
              </w:rPr>
              <w:t>SchedulerConfig</w:t>
            </w:r>
          </w:p>
        </w:tc>
        <w:tc>
          <w:tcPr>
            <w:tcW w:type="dxa" w:w="3010"/>
          </w:tcPr>
          <w:p>
            <w:r>
              <w:rPr>
                <w:rFonts w:ascii="Times New Roman" w:hAnsi="Times New Roman"/>
                <w:sz w:val="22"/>
              </w:rPr>
              <w:t>agent_sync_interval</w:t>
            </w:r>
          </w:p>
        </w:tc>
        <w:tc>
          <w:tcPr>
            <w:tcW w:type="dxa" w:w="3010"/>
          </w:tcPr>
          <w:p>
            <w:r>
              <w:rPr>
                <w:rFonts w:ascii="Times New Roman" w:hAnsi="Times New Roman"/>
                <w:sz w:val="22"/>
              </w:rPr>
              <w:t>How often agents refresh runtime settings</w:t>
            </w:r>
          </w:p>
        </w:tc>
      </w:tr>
      <w:tr>
        <w:tc>
          <w:tcPr>
            <w:tcW w:type="dxa" w:w="3010"/>
          </w:tcPr>
          <w:p>
            <w:r>
              <w:rPr>
                <w:rFonts w:ascii="Times New Roman" w:hAnsi="Times New Roman"/>
                <w:sz w:val="22"/>
              </w:rPr>
              <w:t>SchedulerConfig</w:t>
            </w:r>
          </w:p>
        </w:tc>
        <w:tc>
          <w:tcPr>
            <w:tcW w:type="dxa" w:w="3010"/>
          </w:tcPr>
          <w:p>
            <w:r>
              <w:rPr>
                <w:rFonts w:ascii="Times New Roman" w:hAnsi="Times New Roman"/>
                <w:sz w:val="22"/>
              </w:rPr>
              <w:t>agent_event_interval</w:t>
            </w:r>
          </w:p>
        </w:tc>
        <w:tc>
          <w:tcPr>
            <w:tcW w:type="dxa" w:w="3010"/>
          </w:tcPr>
          <w:p>
            <w:r>
              <w:rPr>
                <w:rFonts w:ascii="Times New Roman" w:hAnsi="Times New Roman"/>
                <w:sz w:val="22"/>
              </w:rPr>
              <w:t>How often agents send event batches</w:t>
            </w:r>
          </w:p>
        </w:tc>
      </w:tr>
      <w:tr>
        <w:tc>
          <w:tcPr>
            <w:tcW w:type="dxa" w:w="3010"/>
          </w:tcPr>
          <w:p>
            <w:r>
              <w:rPr>
                <w:rFonts w:ascii="Times New Roman" w:hAnsi="Times New Roman"/>
                <w:sz w:val="22"/>
              </w:rPr>
              <w:t>SchedulerConfig</w:t>
            </w:r>
          </w:p>
        </w:tc>
        <w:tc>
          <w:tcPr>
            <w:tcW w:type="dxa" w:w="3010"/>
          </w:tcPr>
          <w:p>
            <w:r>
              <w:rPr>
                <w:rFonts w:ascii="Times New Roman" w:hAnsi="Times New Roman"/>
                <w:sz w:val="22"/>
              </w:rPr>
              <w:t>rule_config_json</w:t>
            </w:r>
          </w:p>
        </w:tc>
        <w:tc>
          <w:tcPr>
            <w:tcW w:type="dxa" w:w="3010"/>
          </w:tcPr>
          <w:p>
            <w:r>
              <w:rPr>
                <w:rFonts w:ascii="Times New Roman" w:hAnsi="Times New Roman"/>
                <w:sz w:val="22"/>
              </w:rPr>
              <w:t>Built-in and custom rule definitions</w:t>
            </w:r>
          </w:p>
        </w:tc>
      </w:tr>
      <w:tr>
        <w:tc>
          <w:tcPr>
            <w:tcW w:type="dxa" w:w="3010"/>
          </w:tcPr>
          <w:p>
            <w:r>
              <w:rPr>
                <w:rFonts w:ascii="Times New Roman" w:hAnsi="Times New Roman"/>
                <w:sz w:val="22"/>
              </w:rPr>
              <w:t>LLMProviderConfig</w:t>
            </w:r>
          </w:p>
        </w:tc>
        <w:tc>
          <w:tcPr>
            <w:tcW w:type="dxa" w:w="3010"/>
          </w:tcPr>
          <w:p>
            <w:r>
              <w:rPr>
                <w:rFonts w:ascii="Times New Roman" w:hAnsi="Times New Roman"/>
                <w:sz w:val="22"/>
              </w:rPr>
              <w:t>provider_type</w:t>
            </w:r>
          </w:p>
        </w:tc>
        <w:tc>
          <w:tcPr>
            <w:tcW w:type="dxa" w:w="3010"/>
          </w:tcPr>
          <w:p>
            <w:r>
              <w:rPr>
                <w:rFonts w:ascii="Times New Roman" w:hAnsi="Times New Roman"/>
                <w:sz w:val="22"/>
              </w:rPr>
              <w:t>openai_compatible or ollama</w:t>
            </w:r>
          </w:p>
        </w:tc>
      </w:tr>
      <w:tr>
        <w:tc>
          <w:tcPr>
            <w:tcW w:type="dxa" w:w="3010"/>
          </w:tcPr>
          <w:p>
            <w:r>
              <w:rPr>
                <w:rFonts w:ascii="Times New Roman" w:hAnsi="Times New Roman"/>
                <w:sz w:val="22"/>
              </w:rPr>
              <w:t>LLMProviderConfig</w:t>
            </w:r>
          </w:p>
        </w:tc>
        <w:tc>
          <w:tcPr>
            <w:tcW w:type="dxa" w:w="3010"/>
          </w:tcPr>
          <w:p>
            <w:r>
              <w:rPr>
                <w:rFonts w:ascii="Times New Roman" w:hAnsi="Times New Roman"/>
                <w:sz w:val="22"/>
              </w:rPr>
              <w:t>base_url</w:t>
            </w:r>
          </w:p>
        </w:tc>
        <w:tc>
          <w:tcPr>
            <w:tcW w:type="dxa" w:w="3010"/>
          </w:tcPr>
          <w:p>
            <w:r>
              <w:rPr>
                <w:rFonts w:ascii="Times New Roman" w:hAnsi="Times New Roman"/>
                <w:sz w:val="22"/>
              </w:rPr>
              <w:t>Remote or local model endpoint</w:t>
            </w:r>
          </w:p>
        </w:tc>
      </w:tr>
      <w:tr>
        <w:tc>
          <w:tcPr>
            <w:tcW w:type="dxa" w:w="3010"/>
          </w:tcPr>
          <w:p>
            <w:r>
              <w:rPr>
                <w:rFonts w:ascii="Times New Roman" w:hAnsi="Times New Roman"/>
                <w:sz w:val="22"/>
              </w:rPr>
              <w:t>LLMProviderConfig</w:t>
            </w:r>
          </w:p>
        </w:tc>
        <w:tc>
          <w:tcPr>
            <w:tcW w:type="dxa" w:w="3010"/>
          </w:tcPr>
          <w:p>
            <w:r>
              <w:rPr>
                <w:rFonts w:ascii="Times New Roman" w:hAnsi="Times New Roman"/>
                <w:sz w:val="22"/>
              </w:rPr>
              <w:t>model</w:t>
            </w:r>
          </w:p>
        </w:tc>
        <w:tc>
          <w:tcPr>
            <w:tcW w:type="dxa" w:w="3010"/>
          </w:tcPr>
          <w:p>
            <w:r>
              <w:rPr>
                <w:rFonts w:ascii="Times New Roman" w:hAnsi="Times New Roman"/>
                <w:sz w:val="22"/>
              </w:rPr>
              <w:t>Concrete model name selected for analysis</w:t>
            </w:r>
          </w:p>
        </w:tc>
      </w:tr>
      <w:tr>
        <w:tc>
          <w:tcPr>
            <w:tcW w:type="dxa" w:w="3010"/>
          </w:tcPr>
          <w:p>
            <w:r>
              <w:rPr>
                <w:rFonts w:ascii="Times New Roman" w:hAnsi="Times New Roman"/>
                <w:sz w:val="22"/>
              </w:rPr>
              <w:t>LLMProviderConfig</w:t>
            </w:r>
          </w:p>
        </w:tc>
        <w:tc>
          <w:tcPr>
            <w:tcW w:type="dxa" w:w="3010"/>
          </w:tcPr>
          <w:p>
            <w:r>
              <w:rPr>
                <w:rFonts w:ascii="Times New Roman" w:hAnsi="Times New Roman"/>
                <w:sz w:val="22"/>
              </w:rPr>
              <w:t>encrypted_api_key</w:t>
            </w:r>
          </w:p>
        </w:tc>
        <w:tc>
          <w:tcPr>
            <w:tcW w:type="dxa" w:w="3010"/>
          </w:tcPr>
          <w:p>
            <w:r>
              <w:rPr>
                <w:rFonts w:ascii="Times New Roman" w:hAnsi="Times New Roman"/>
                <w:sz w:val="22"/>
              </w:rPr>
              <w:t>Encrypted provider credential</w:t>
            </w:r>
          </w:p>
        </w:tc>
      </w:tr>
    </w:tbl>
    <w:p>
      <w:pPr>
        <w:spacing w:line="360" w:lineRule="auto" w:after="120" w:before="0"/>
        <w:jc w:val="both"/>
      </w:pPr>
      <w:r>
        <w:t>The indexing choices in the event and aggregate tables are aligned with operational usage. Queries most often filter by organization, processed state, created_at, and agent. This means the schema is already optimized for the workflows that matter most: aggregation windows, alert retrieval, and dashboard counts.</w:t>
      </w:r>
    </w:p>
    <w:p>
      <w:pPr>
        <w:spacing w:line="360" w:lineRule="auto" w:after="120" w:before="0"/>
        <w:jc w:val="both"/>
      </w:pPr>
      <w:r>
        <w:t>From a report perspective, this data model is one of the strongest parts of the project because it demonstrates that tenancy, operational scheduling, and explainable analysis were considered together instead of as isolated features.</w:t>
      </w:r>
    </w:p>
    <w:p>
      <w:r>
        <w:br w:type="page"/>
      </w:r>
    </w:p>
    <w:p>
      <w:pPr>
        <w:pStyle w:val="Heading1"/>
        <w:spacing w:line="288" w:lineRule="auto" w:after="80" w:before="160"/>
        <w:jc w:val="left"/>
      </w:pPr>
      <w:r>
        <w:t>16. DETAILED MODULE CATALOGUE</w:t>
      </w:r>
    </w:p>
    <w:p>
      <w:pPr>
        <w:spacing w:line="360" w:lineRule="auto" w:after="120" w:before="0"/>
        <w:jc w:val="both"/>
      </w:pPr>
      <w:r>
        <w:t>This appendix maps the repository structure to functional responsibility. It is useful during viva, review meetings, and future maintenance because it shows which code areas are responsible for which capabilities in the platform.</w:t>
      </w:r>
    </w:p>
    <w:p>
      <w:pPr>
        <w:pStyle w:val="Heading2"/>
        <w:spacing w:line="288" w:lineRule="auto" w:after="80" w:before="80"/>
        <w:jc w:val="left"/>
      </w:pPr>
      <w:r>
        <w:t>16.1 Backend Service Catalogue</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File / Module</w:t>
            </w:r>
          </w:p>
        </w:tc>
        <w:tc>
          <w:tcPr>
            <w:tcW w:type="dxa" w:w="3010"/>
          </w:tcPr>
          <w:p>
            <w:r>
              <w:rPr>
                <w:rFonts w:ascii="Times New Roman" w:hAnsi="Times New Roman"/>
                <w:b/>
                <w:sz w:val="22"/>
              </w:rPr>
              <w:t>Responsibility</w:t>
            </w:r>
          </w:p>
        </w:tc>
        <w:tc>
          <w:tcPr>
            <w:tcW w:type="dxa" w:w="3010"/>
          </w:tcPr>
          <w:p>
            <w:r>
              <w:rPr>
                <w:rFonts w:ascii="Times New Roman" w:hAnsi="Times New Roman"/>
                <w:b/>
                <w:sz w:val="22"/>
              </w:rPr>
              <w:t>Why It Matters</w:t>
            </w:r>
          </w:p>
        </w:tc>
      </w:tr>
      <w:tr>
        <w:tc>
          <w:tcPr>
            <w:tcW w:type="dxa" w:w="3010"/>
          </w:tcPr>
          <w:p>
            <w:r>
              <w:rPr>
                <w:rFonts w:ascii="Times New Roman" w:hAnsi="Times New Roman"/>
                <w:sz w:val="22"/>
              </w:rPr>
              <w:t>backend/apps/core/models.py</w:t>
            </w:r>
          </w:p>
        </w:tc>
        <w:tc>
          <w:tcPr>
            <w:tcW w:type="dxa" w:w="3010"/>
          </w:tcPr>
          <w:p>
            <w:r>
              <w:rPr>
                <w:rFonts w:ascii="Times New Roman" w:hAnsi="Times New Roman"/>
                <w:sz w:val="22"/>
              </w:rPr>
              <w:t>Core tenant, agent, event, schedule, aggregate, alert, and provider models</w:t>
            </w:r>
          </w:p>
        </w:tc>
        <w:tc>
          <w:tcPr>
            <w:tcW w:type="dxa" w:w="3010"/>
          </w:tcPr>
          <w:p>
            <w:r>
              <w:rPr>
                <w:rFonts w:ascii="Times New Roman" w:hAnsi="Times New Roman"/>
                <w:sz w:val="22"/>
              </w:rPr>
              <w:t>Defines the system data contract</w:t>
            </w:r>
          </w:p>
        </w:tc>
      </w:tr>
      <w:tr>
        <w:tc>
          <w:tcPr>
            <w:tcW w:type="dxa" w:w="3010"/>
          </w:tcPr>
          <w:p>
            <w:r>
              <w:rPr>
                <w:rFonts w:ascii="Times New Roman" w:hAnsi="Times New Roman"/>
                <w:sz w:val="22"/>
              </w:rPr>
              <w:t>backend/apps/core/views.py</w:t>
            </w:r>
          </w:p>
        </w:tc>
        <w:tc>
          <w:tcPr>
            <w:tcW w:type="dxa" w:w="3010"/>
          </w:tcPr>
          <w:p>
            <w:r>
              <w:rPr>
                <w:rFonts w:ascii="Times New Roman" w:hAnsi="Times New Roman"/>
                <w:sz w:val="22"/>
              </w:rPr>
              <w:t>REST endpoints for auth, onboarding, ingest, dashboard, and admin workflows</w:t>
            </w:r>
          </w:p>
        </w:tc>
        <w:tc>
          <w:tcPr>
            <w:tcW w:type="dxa" w:w="3010"/>
          </w:tcPr>
          <w:p>
            <w:r>
              <w:rPr>
                <w:rFonts w:ascii="Times New Roman" w:hAnsi="Times New Roman"/>
                <w:sz w:val="22"/>
              </w:rPr>
              <w:t>Exposes the full application surface</w:t>
            </w:r>
          </w:p>
        </w:tc>
      </w:tr>
      <w:tr>
        <w:tc>
          <w:tcPr>
            <w:tcW w:type="dxa" w:w="3010"/>
          </w:tcPr>
          <w:p>
            <w:r>
              <w:rPr>
                <w:rFonts w:ascii="Times New Roman" w:hAnsi="Times New Roman"/>
                <w:sz w:val="22"/>
              </w:rPr>
              <w:t>backend/apps/core/services/pipeline.py</w:t>
            </w:r>
          </w:p>
        </w:tc>
        <w:tc>
          <w:tcPr>
            <w:tcW w:type="dxa" w:w="3010"/>
          </w:tcPr>
          <w:p>
            <w:r>
              <w:rPr>
                <w:rFonts w:ascii="Times New Roman" w:hAnsi="Times New Roman"/>
                <w:sz w:val="22"/>
              </w:rPr>
              <w:t>Aggregation windows, rule escalation, and LLM execution flow</w:t>
            </w:r>
          </w:p>
        </w:tc>
        <w:tc>
          <w:tcPr>
            <w:tcW w:type="dxa" w:w="3010"/>
          </w:tcPr>
          <w:p>
            <w:r>
              <w:rPr>
                <w:rFonts w:ascii="Times New Roman" w:hAnsi="Times New Roman"/>
                <w:sz w:val="22"/>
              </w:rPr>
              <w:t>Implements the central triage pipeline</w:t>
            </w:r>
          </w:p>
        </w:tc>
      </w:tr>
      <w:tr>
        <w:tc>
          <w:tcPr>
            <w:tcW w:type="dxa" w:w="3010"/>
          </w:tcPr>
          <w:p>
            <w:r>
              <w:rPr>
                <w:rFonts w:ascii="Times New Roman" w:hAnsi="Times New Roman"/>
                <w:sz w:val="22"/>
              </w:rPr>
              <w:t>backend/apps/core/services/llm.py</w:t>
            </w:r>
          </w:p>
        </w:tc>
        <w:tc>
          <w:tcPr>
            <w:tcW w:type="dxa" w:w="3010"/>
          </w:tcPr>
          <w:p>
            <w:r>
              <w:rPr>
                <w:rFonts w:ascii="Times New Roman" w:hAnsi="Times New Roman"/>
                <w:sz w:val="22"/>
              </w:rPr>
              <w:t>Provider selection, outbound model calls, and strict JSON validation</w:t>
            </w:r>
          </w:p>
        </w:tc>
        <w:tc>
          <w:tcPr>
            <w:tcW w:type="dxa" w:w="3010"/>
          </w:tcPr>
          <w:p>
            <w:r>
              <w:rPr>
                <w:rFonts w:ascii="Times New Roman" w:hAnsi="Times New Roman"/>
                <w:sz w:val="22"/>
              </w:rPr>
              <w:t>Prevents malformed reasoning from polluting alerts</w:t>
            </w:r>
          </w:p>
        </w:tc>
      </w:tr>
      <w:tr>
        <w:tc>
          <w:tcPr>
            <w:tcW w:type="dxa" w:w="3010"/>
          </w:tcPr>
          <w:p>
            <w:r>
              <w:rPr>
                <w:rFonts w:ascii="Times New Roman" w:hAnsi="Times New Roman"/>
                <w:sz w:val="22"/>
              </w:rPr>
              <w:t>backend/apps/core/services/alerts.py</w:t>
            </w:r>
          </w:p>
        </w:tc>
        <w:tc>
          <w:tcPr>
            <w:tcW w:type="dxa" w:w="3010"/>
          </w:tcPr>
          <w:p>
            <w:r>
              <w:rPr>
                <w:rFonts w:ascii="Times New Roman" w:hAnsi="Times New Roman"/>
                <w:sz w:val="22"/>
              </w:rPr>
              <w:t>Alert creation threshold logic</w:t>
            </w:r>
          </w:p>
        </w:tc>
        <w:tc>
          <w:tcPr>
            <w:tcW w:type="dxa" w:w="3010"/>
          </w:tcPr>
          <w:p>
            <w:r>
              <w:rPr>
                <w:rFonts w:ascii="Times New Roman" w:hAnsi="Times New Roman"/>
                <w:sz w:val="22"/>
              </w:rPr>
              <w:t>Turns analysis into actionable queue items</w:t>
            </w:r>
          </w:p>
        </w:tc>
      </w:tr>
      <w:tr>
        <w:tc>
          <w:tcPr>
            <w:tcW w:type="dxa" w:w="3010"/>
          </w:tcPr>
          <w:p>
            <w:r>
              <w:rPr>
                <w:rFonts w:ascii="Times New Roman" w:hAnsi="Times New Roman"/>
                <w:sz w:val="22"/>
              </w:rPr>
              <w:t>backend/apps/core/services/encryption.py</w:t>
            </w:r>
          </w:p>
        </w:tc>
        <w:tc>
          <w:tcPr>
            <w:tcW w:type="dxa" w:w="3010"/>
          </w:tcPr>
          <w:p>
            <w:r>
              <w:rPr>
                <w:rFonts w:ascii="Times New Roman" w:hAnsi="Times New Roman"/>
                <w:sz w:val="22"/>
              </w:rPr>
              <w:t>Secret encryption and decryption</w:t>
            </w:r>
          </w:p>
        </w:tc>
        <w:tc>
          <w:tcPr>
            <w:tcW w:type="dxa" w:w="3010"/>
          </w:tcPr>
          <w:p>
            <w:r>
              <w:rPr>
                <w:rFonts w:ascii="Times New Roman" w:hAnsi="Times New Roman"/>
                <w:sz w:val="22"/>
              </w:rPr>
              <w:t>Protects provider API keys and tokens at rest</w:t>
            </w:r>
          </w:p>
        </w:tc>
      </w:tr>
      <w:tr>
        <w:tc>
          <w:tcPr>
            <w:tcW w:type="dxa" w:w="3010"/>
          </w:tcPr>
          <w:p>
            <w:r>
              <w:rPr>
                <w:rFonts w:ascii="Times New Roman" w:hAnsi="Times New Roman"/>
                <w:sz w:val="22"/>
              </w:rPr>
              <w:t>backend/apps/core/tenancy.py</w:t>
            </w:r>
          </w:p>
        </w:tc>
        <w:tc>
          <w:tcPr>
            <w:tcW w:type="dxa" w:w="3010"/>
          </w:tcPr>
          <w:p>
            <w:r>
              <w:rPr>
                <w:rFonts w:ascii="Times New Roman" w:hAnsi="Times New Roman"/>
                <w:sz w:val="22"/>
              </w:rPr>
              <w:t>Organization resolution and role enforcement</w:t>
            </w:r>
          </w:p>
        </w:tc>
        <w:tc>
          <w:tcPr>
            <w:tcW w:type="dxa" w:w="3010"/>
          </w:tcPr>
          <w:p>
            <w:r>
              <w:rPr>
                <w:rFonts w:ascii="Times New Roman" w:hAnsi="Times New Roman"/>
                <w:sz w:val="22"/>
              </w:rPr>
              <w:t>Maintains tenant isolation</w:t>
            </w:r>
          </w:p>
        </w:tc>
      </w:tr>
      <w:tr>
        <w:tc>
          <w:tcPr>
            <w:tcW w:type="dxa" w:w="3010"/>
          </w:tcPr>
          <w:p>
            <w:r>
              <w:rPr>
                <w:rFonts w:ascii="Times New Roman" w:hAnsi="Times New Roman"/>
                <w:sz w:val="22"/>
              </w:rPr>
              <w:t>backend/apps/core/authentication.py</w:t>
            </w:r>
          </w:p>
        </w:tc>
        <w:tc>
          <w:tcPr>
            <w:tcW w:type="dxa" w:w="3010"/>
          </w:tcPr>
          <w:p>
            <w:r>
              <w:rPr>
                <w:rFonts w:ascii="Times New Roman" w:hAnsi="Times New Roman"/>
                <w:sz w:val="22"/>
              </w:rPr>
              <w:t>Agent header authentication</w:t>
            </w:r>
          </w:p>
        </w:tc>
        <w:tc>
          <w:tcPr>
            <w:tcW w:type="dxa" w:w="3010"/>
          </w:tcPr>
          <w:p>
            <w:r>
              <w:rPr>
                <w:rFonts w:ascii="Times New Roman" w:hAnsi="Times New Roman"/>
                <w:sz w:val="22"/>
              </w:rPr>
              <w:t>Secures ingest and heartbeat requests</w:t>
            </w:r>
          </w:p>
        </w:tc>
      </w:tr>
    </w:tbl>
    <w:p>
      <w:pPr>
        <w:pStyle w:val="Heading2"/>
        <w:spacing w:line="288" w:lineRule="auto" w:after="80" w:before="80"/>
        <w:jc w:val="left"/>
      </w:pPr>
      <w:r>
        <w:t>16.2 Frontend Page Catalogue</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Page</w:t>
            </w:r>
          </w:p>
        </w:tc>
        <w:tc>
          <w:tcPr>
            <w:tcW w:type="dxa" w:w="3010"/>
          </w:tcPr>
          <w:p>
            <w:r>
              <w:rPr>
                <w:rFonts w:ascii="Times New Roman" w:hAnsi="Times New Roman"/>
                <w:b/>
                <w:sz w:val="22"/>
              </w:rPr>
              <w:t>Primary Goal</w:t>
            </w:r>
          </w:p>
        </w:tc>
        <w:tc>
          <w:tcPr>
            <w:tcW w:type="dxa" w:w="3010"/>
          </w:tcPr>
          <w:p>
            <w:r>
              <w:rPr>
                <w:rFonts w:ascii="Times New Roman" w:hAnsi="Times New Roman"/>
                <w:b/>
                <w:sz w:val="22"/>
              </w:rPr>
              <w:t>Important UI Behavior</w:t>
            </w:r>
          </w:p>
        </w:tc>
      </w:tr>
      <w:tr>
        <w:tc>
          <w:tcPr>
            <w:tcW w:type="dxa" w:w="3010"/>
          </w:tcPr>
          <w:p>
            <w:r>
              <w:rPr>
                <w:rFonts w:ascii="Times New Roman" w:hAnsi="Times New Roman"/>
                <w:sz w:val="22"/>
              </w:rPr>
              <w:t>DashboardPage.tsx</w:t>
            </w:r>
          </w:p>
        </w:tc>
        <w:tc>
          <w:tcPr>
            <w:tcW w:type="dxa" w:w="3010"/>
          </w:tcPr>
          <w:p>
            <w:r>
              <w:rPr>
                <w:rFonts w:ascii="Times New Roman" w:hAnsi="Times New Roman"/>
                <w:sz w:val="22"/>
              </w:rPr>
              <w:t>Show live SOC-style overview</w:t>
            </w:r>
          </w:p>
        </w:tc>
        <w:tc>
          <w:tcPr>
            <w:tcW w:type="dxa" w:w="3010"/>
          </w:tcPr>
          <w:p>
            <w:r>
              <w:rPr>
                <w:rFonts w:ascii="Times New Roman" w:hAnsi="Times New Roman"/>
                <w:sz w:val="22"/>
              </w:rPr>
              <w:t>Refreshes overview and alerts on interval, supports alert sound and quick drill-down</w:t>
            </w:r>
          </w:p>
        </w:tc>
      </w:tr>
      <w:tr>
        <w:tc>
          <w:tcPr>
            <w:tcW w:type="dxa" w:w="3010"/>
          </w:tcPr>
          <w:p>
            <w:r>
              <w:rPr>
                <w:rFonts w:ascii="Times New Roman" w:hAnsi="Times New Roman"/>
                <w:sz w:val="22"/>
              </w:rPr>
              <w:t>AlertsPage.tsx</w:t>
            </w:r>
          </w:p>
        </w:tc>
        <w:tc>
          <w:tcPr>
            <w:tcW w:type="dxa" w:w="3010"/>
          </w:tcPr>
          <w:p>
            <w:r>
              <w:rPr>
                <w:rFonts w:ascii="Times New Roman" w:hAnsi="Times New Roman"/>
                <w:sz w:val="22"/>
              </w:rPr>
              <w:t>Manage and review alert queue</w:t>
            </w:r>
          </w:p>
        </w:tc>
        <w:tc>
          <w:tcPr>
            <w:tcW w:type="dxa" w:w="3010"/>
          </w:tcPr>
          <w:p>
            <w:r>
              <w:rPr>
                <w:rFonts w:ascii="Times New Roman" w:hAnsi="Times New Roman"/>
                <w:sz w:val="22"/>
              </w:rPr>
              <w:t>Supports severity filtering, sound controls, drawer details, and status updates</w:t>
            </w:r>
          </w:p>
        </w:tc>
      </w:tr>
      <w:tr>
        <w:tc>
          <w:tcPr>
            <w:tcW w:type="dxa" w:w="3010"/>
          </w:tcPr>
          <w:p>
            <w:r>
              <w:rPr>
                <w:rFonts w:ascii="Times New Roman" w:hAnsi="Times New Roman"/>
                <w:sz w:val="22"/>
              </w:rPr>
              <w:t>AgentsPage.tsx</w:t>
            </w:r>
          </w:p>
        </w:tc>
        <w:tc>
          <w:tcPr>
            <w:tcW w:type="dxa" w:w="3010"/>
          </w:tcPr>
          <w:p>
            <w:r>
              <w:rPr>
                <w:rFonts w:ascii="Times New Roman" w:hAnsi="Times New Roman"/>
                <w:sz w:val="22"/>
              </w:rPr>
              <w:t>Onboard endpoints and download artifacts</w:t>
            </w:r>
          </w:p>
        </w:tc>
        <w:tc>
          <w:tcPr>
            <w:tcW w:type="dxa" w:w="3010"/>
          </w:tcPr>
          <w:p>
            <w:r>
              <w:rPr>
                <w:rFonts w:ascii="Times New Roman" w:hAnsi="Times New Roman"/>
                <w:sz w:val="22"/>
              </w:rPr>
              <w:t>Resets organization token, suggests best package, and shows quick run commands</w:t>
            </w:r>
          </w:p>
        </w:tc>
      </w:tr>
      <w:tr>
        <w:tc>
          <w:tcPr>
            <w:tcW w:type="dxa" w:w="3010"/>
          </w:tcPr>
          <w:p>
            <w:r>
              <w:rPr>
                <w:rFonts w:ascii="Times New Roman" w:hAnsi="Times New Roman"/>
                <w:sz w:val="22"/>
              </w:rPr>
              <w:t>AgentTimelinePage.tsx</w:t>
            </w:r>
          </w:p>
        </w:tc>
        <w:tc>
          <w:tcPr>
            <w:tcW w:type="dxa" w:w="3010"/>
          </w:tcPr>
          <w:p>
            <w:r>
              <w:rPr>
                <w:rFonts w:ascii="Times New Roman" w:hAnsi="Times New Roman"/>
                <w:sz w:val="22"/>
              </w:rPr>
              <w:t>Inspect per-agent history</w:t>
            </w:r>
          </w:p>
        </w:tc>
        <w:tc>
          <w:tcPr>
            <w:tcW w:type="dxa" w:w="3010"/>
          </w:tcPr>
          <w:p>
            <w:r>
              <w:rPr>
                <w:rFonts w:ascii="Times New Roman" w:hAnsi="Times New Roman"/>
                <w:sz w:val="22"/>
              </w:rPr>
              <w:t>Combines raw event timeline and LLM insight windows</w:t>
            </w:r>
          </w:p>
        </w:tc>
      </w:tr>
      <w:tr>
        <w:tc>
          <w:tcPr>
            <w:tcW w:type="dxa" w:w="3010"/>
          </w:tcPr>
          <w:p>
            <w:r>
              <w:rPr>
                <w:rFonts w:ascii="Times New Roman" w:hAnsi="Times New Roman"/>
                <w:sz w:val="22"/>
              </w:rPr>
              <w:t>LlmConfigPage.tsx</w:t>
            </w:r>
          </w:p>
        </w:tc>
        <w:tc>
          <w:tcPr>
            <w:tcW w:type="dxa" w:w="3010"/>
          </w:tcPr>
          <w:p>
            <w:r>
              <w:rPr>
                <w:rFonts w:ascii="Times New Roman" w:hAnsi="Times New Roman"/>
                <w:sz w:val="22"/>
              </w:rPr>
              <w:t>Manage model providers</w:t>
            </w:r>
          </w:p>
        </w:tc>
        <w:tc>
          <w:tcPr>
            <w:tcW w:type="dxa" w:w="3010"/>
          </w:tcPr>
          <w:p>
            <w:r>
              <w:rPr>
                <w:rFonts w:ascii="Times New Roman" w:hAnsi="Times New Roman"/>
                <w:sz w:val="22"/>
              </w:rPr>
              <w:t>Supports presets for OpenAI-compatible and local endpoints</w:t>
            </w:r>
          </w:p>
        </w:tc>
      </w:tr>
      <w:tr>
        <w:tc>
          <w:tcPr>
            <w:tcW w:type="dxa" w:w="3010"/>
          </w:tcPr>
          <w:p>
            <w:r>
              <w:rPr>
                <w:rFonts w:ascii="Times New Roman" w:hAnsi="Times New Roman"/>
                <w:sz w:val="22"/>
              </w:rPr>
              <w:t>SchedulerConfigPage.tsx</w:t>
            </w:r>
          </w:p>
        </w:tc>
        <w:tc>
          <w:tcPr>
            <w:tcW w:type="dxa" w:w="3010"/>
          </w:tcPr>
          <w:p>
            <w:r>
              <w:rPr>
                <w:rFonts w:ascii="Times New Roman" w:hAnsi="Times New Roman"/>
                <w:sz w:val="22"/>
              </w:rPr>
              <w:t>Tune server and agent schedules</w:t>
            </w:r>
          </w:p>
        </w:tc>
        <w:tc>
          <w:tcPr>
            <w:tcW w:type="dxa" w:w="3010"/>
          </w:tcPr>
          <w:p>
            <w:r>
              <w:rPr>
                <w:rFonts w:ascii="Times New Roman" w:hAnsi="Times New Roman"/>
                <w:sz w:val="22"/>
              </w:rPr>
              <w:t>Single profile drives both aggregation and collector behavior</w:t>
            </w:r>
          </w:p>
        </w:tc>
      </w:tr>
      <w:tr>
        <w:tc>
          <w:tcPr>
            <w:tcW w:type="dxa" w:w="3010"/>
          </w:tcPr>
          <w:p>
            <w:r>
              <w:rPr>
                <w:rFonts w:ascii="Times New Roman" w:hAnsi="Times New Roman"/>
                <w:sz w:val="22"/>
              </w:rPr>
              <w:t>RulesPage.tsx</w:t>
            </w:r>
          </w:p>
        </w:tc>
        <w:tc>
          <w:tcPr>
            <w:tcW w:type="dxa" w:w="3010"/>
          </w:tcPr>
          <w:p>
            <w:r>
              <w:rPr>
                <w:rFonts w:ascii="Times New Roman" w:hAnsi="Times New Roman"/>
                <w:sz w:val="22"/>
              </w:rPr>
              <w:t>Manage escalation rules</w:t>
            </w:r>
          </w:p>
        </w:tc>
        <w:tc>
          <w:tcPr>
            <w:tcW w:type="dxa" w:w="3010"/>
          </w:tcPr>
          <w:p>
            <w:r>
              <w:rPr>
                <w:rFonts w:ascii="Times New Roman" w:hAnsi="Times New Roman"/>
                <w:sz w:val="22"/>
              </w:rPr>
              <w:t>Edits built-in rules and imports/exports custom rule packs</w:t>
            </w:r>
          </w:p>
        </w:tc>
      </w:tr>
      <w:tr>
        <w:tc>
          <w:tcPr>
            <w:tcW w:type="dxa" w:w="3010"/>
          </w:tcPr>
          <w:p>
            <w:r>
              <w:rPr>
                <w:rFonts w:ascii="Times New Roman" w:hAnsi="Times New Roman"/>
                <w:sz w:val="22"/>
              </w:rPr>
              <w:t>LoginPage.tsx</w:t>
            </w:r>
          </w:p>
        </w:tc>
        <w:tc>
          <w:tcPr>
            <w:tcW w:type="dxa" w:w="3010"/>
          </w:tcPr>
          <w:p>
            <w:r>
              <w:rPr>
                <w:rFonts w:ascii="Times New Roman" w:hAnsi="Times New Roman"/>
                <w:sz w:val="22"/>
              </w:rPr>
              <w:t>Handle session sign-in</w:t>
            </w:r>
          </w:p>
        </w:tc>
        <w:tc>
          <w:tcPr>
            <w:tcW w:type="dxa" w:w="3010"/>
          </w:tcPr>
          <w:p>
            <w:r>
              <w:rPr>
                <w:rFonts w:ascii="Times New Roman" w:hAnsi="Times New Roman"/>
                <w:sz w:val="22"/>
              </w:rPr>
              <w:t>Entry point for dashboard users</w:t>
            </w:r>
          </w:p>
        </w:tc>
      </w:tr>
    </w:tbl>
    <w:p>
      <w:pPr>
        <w:pStyle w:val="Heading2"/>
        <w:spacing w:line="288" w:lineRule="auto" w:after="80" w:before="80"/>
        <w:jc w:val="left"/>
      </w:pPr>
      <w:r>
        <w:t>16.3 Agent Capability Catalogue</w:t>
      </w:r>
    </w:p>
    <w:p>
      <w:pPr>
        <w:spacing w:line="360" w:lineRule="auto" w:after="120" w:before="0"/>
        <w:jc w:val="both"/>
      </w:pPr>
      <w:r>
        <w:t>The Go agent is intentionally designed as a starter that can grow into a richer endpoint component over time. Even in its current form it already demonstrates several important platform ideas: enrollment, local configuration persistence, runtime schedule synchronization, periodic telemetry submission, and cross-platform packaging.</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Agent Capability</w:t>
            </w:r>
          </w:p>
        </w:tc>
        <w:tc>
          <w:tcPr>
            <w:tcW w:type="dxa" w:w="3010"/>
          </w:tcPr>
          <w:p>
            <w:r>
              <w:rPr>
                <w:rFonts w:ascii="Times New Roman" w:hAnsi="Times New Roman"/>
                <w:b/>
                <w:sz w:val="22"/>
              </w:rPr>
              <w:t>Current Status</w:t>
            </w:r>
          </w:p>
        </w:tc>
        <w:tc>
          <w:tcPr>
            <w:tcW w:type="dxa" w:w="3010"/>
          </w:tcPr>
          <w:p>
            <w:r>
              <w:rPr>
                <w:rFonts w:ascii="Times New Roman" w:hAnsi="Times New Roman"/>
                <w:b/>
                <w:sz w:val="22"/>
              </w:rPr>
              <w:t>Notes</w:t>
            </w:r>
          </w:p>
        </w:tc>
      </w:tr>
      <w:tr>
        <w:tc>
          <w:tcPr>
            <w:tcW w:type="dxa" w:w="3010"/>
          </w:tcPr>
          <w:p>
            <w:r>
              <w:rPr>
                <w:rFonts w:ascii="Times New Roman" w:hAnsi="Times New Roman"/>
                <w:sz w:val="22"/>
              </w:rPr>
              <w:t>Interactive setup wizard</w:t>
            </w:r>
          </w:p>
        </w:tc>
        <w:tc>
          <w:tcPr>
            <w:tcW w:type="dxa" w:w="3010"/>
          </w:tcPr>
          <w:p>
            <w:r>
              <w:rPr>
                <w:rFonts w:ascii="Times New Roman" w:hAnsi="Times New Roman"/>
                <w:sz w:val="22"/>
              </w:rPr>
              <w:t>Implemented</w:t>
            </w:r>
          </w:p>
        </w:tc>
        <w:tc>
          <w:tcPr>
            <w:tcW w:type="dxa" w:w="3010"/>
          </w:tcPr>
          <w:p>
            <w:r>
              <w:rPr>
                <w:rFonts w:ascii="Times New Roman" w:hAnsi="Times New Roman"/>
                <w:sz w:val="22"/>
              </w:rPr>
              <w:t>Supports organization token mode, direct credentials, and legacy enrollment token flow</w:t>
            </w:r>
          </w:p>
        </w:tc>
      </w:tr>
      <w:tr>
        <w:tc>
          <w:tcPr>
            <w:tcW w:type="dxa" w:w="3010"/>
          </w:tcPr>
          <w:p>
            <w:r>
              <w:rPr>
                <w:rFonts w:ascii="Times New Roman" w:hAnsi="Times New Roman"/>
                <w:sz w:val="22"/>
              </w:rPr>
              <w:t>Local configuration file</w:t>
            </w:r>
          </w:p>
        </w:tc>
        <w:tc>
          <w:tcPr>
            <w:tcW w:type="dxa" w:w="3010"/>
          </w:tcPr>
          <w:p>
            <w:r>
              <w:rPr>
                <w:rFonts w:ascii="Times New Roman" w:hAnsi="Times New Roman"/>
                <w:sz w:val="22"/>
              </w:rPr>
              <w:t>Implemented</w:t>
            </w:r>
          </w:p>
        </w:tc>
        <w:tc>
          <w:tcPr>
            <w:tcW w:type="dxa" w:w="3010"/>
          </w:tcPr>
          <w:p>
            <w:r>
              <w:rPr>
                <w:rFonts w:ascii="Times New Roman" w:hAnsi="Times New Roman"/>
                <w:sz w:val="22"/>
              </w:rPr>
              <w:t>Stores API base, tenant slug, agent credentials, and host details</w:t>
            </w:r>
          </w:p>
        </w:tc>
      </w:tr>
      <w:tr>
        <w:tc>
          <w:tcPr>
            <w:tcW w:type="dxa" w:w="3010"/>
          </w:tcPr>
          <w:p>
            <w:r>
              <w:rPr>
                <w:rFonts w:ascii="Times New Roman" w:hAnsi="Times New Roman"/>
                <w:sz w:val="22"/>
              </w:rPr>
              <w:t>Runtime config sync</w:t>
            </w:r>
          </w:p>
        </w:tc>
        <w:tc>
          <w:tcPr>
            <w:tcW w:type="dxa" w:w="3010"/>
          </w:tcPr>
          <w:p>
            <w:r>
              <w:rPr>
                <w:rFonts w:ascii="Times New Roman" w:hAnsi="Times New Roman"/>
                <w:sz w:val="22"/>
              </w:rPr>
              <w:t>Implemented</w:t>
            </w:r>
          </w:p>
        </w:tc>
        <w:tc>
          <w:tcPr>
            <w:tcW w:type="dxa" w:w="3010"/>
          </w:tcPr>
          <w:p>
            <w:r>
              <w:rPr>
                <w:rFonts w:ascii="Times New Roman" w:hAnsi="Times New Roman"/>
                <w:sz w:val="22"/>
              </w:rPr>
              <w:t>Fetches scheduler profile from /api/v1/ingest/config/</w:t>
            </w:r>
          </w:p>
        </w:tc>
      </w:tr>
      <w:tr>
        <w:tc>
          <w:tcPr>
            <w:tcW w:type="dxa" w:w="3010"/>
          </w:tcPr>
          <w:p>
            <w:r>
              <w:rPr>
                <w:rFonts w:ascii="Times New Roman" w:hAnsi="Times New Roman"/>
                <w:sz w:val="22"/>
              </w:rPr>
              <w:t>Heartbeat messaging</w:t>
            </w:r>
          </w:p>
        </w:tc>
        <w:tc>
          <w:tcPr>
            <w:tcW w:type="dxa" w:w="3010"/>
          </w:tcPr>
          <w:p>
            <w:r>
              <w:rPr>
                <w:rFonts w:ascii="Times New Roman" w:hAnsi="Times New Roman"/>
                <w:sz w:val="22"/>
              </w:rPr>
              <w:t>Implemented</w:t>
            </w:r>
          </w:p>
        </w:tc>
        <w:tc>
          <w:tcPr>
            <w:tcW w:type="dxa" w:w="3010"/>
          </w:tcPr>
          <w:p>
            <w:r>
              <w:rPr>
                <w:rFonts w:ascii="Times New Roman" w:hAnsi="Times New Roman"/>
                <w:sz w:val="22"/>
              </w:rPr>
              <w:t>Updates device last_seen on the backend</w:t>
            </w:r>
          </w:p>
        </w:tc>
      </w:tr>
      <w:tr>
        <w:tc>
          <w:tcPr>
            <w:tcW w:type="dxa" w:w="3010"/>
          </w:tcPr>
          <w:p>
            <w:r>
              <w:rPr>
                <w:rFonts w:ascii="Times New Roman" w:hAnsi="Times New Roman"/>
                <w:sz w:val="22"/>
              </w:rPr>
              <w:t>Process snapshot collection</w:t>
            </w:r>
          </w:p>
        </w:tc>
        <w:tc>
          <w:tcPr>
            <w:tcW w:type="dxa" w:w="3010"/>
          </w:tcPr>
          <w:p>
            <w:r>
              <w:rPr>
                <w:rFonts w:ascii="Times New Roman" w:hAnsi="Times New Roman"/>
                <w:sz w:val="22"/>
              </w:rPr>
              <w:t>Implemented</w:t>
            </w:r>
          </w:p>
        </w:tc>
        <w:tc>
          <w:tcPr>
            <w:tcW w:type="dxa" w:w="3010"/>
          </w:tcPr>
          <w:p>
            <w:r>
              <w:rPr>
                <w:rFonts w:ascii="Times New Roman" w:hAnsi="Times New Roman"/>
                <w:sz w:val="22"/>
              </w:rPr>
              <w:t>Captures OS-specific process listing</w:t>
            </w:r>
          </w:p>
        </w:tc>
      </w:tr>
      <w:tr>
        <w:tc>
          <w:tcPr>
            <w:tcW w:type="dxa" w:w="3010"/>
          </w:tcPr>
          <w:p>
            <w:r>
              <w:rPr>
                <w:rFonts w:ascii="Times New Roman" w:hAnsi="Times New Roman"/>
                <w:sz w:val="22"/>
              </w:rPr>
              <w:t>Security log sampling</w:t>
            </w:r>
          </w:p>
        </w:tc>
        <w:tc>
          <w:tcPr>
            <w:tcW w:type="dxa" w:w="3010"/>
          </w:tcPr>
          <w:p>
            <w:r>
              <w:rPr>
                <w:rFonts w:ascii="Times New Roman" w:hAnsi="Times New Roman"/>
                <w:sz w:val="22"/>
              </w:rPr>
              <w:t>Implemented</w:t>
            </w:r>
          </w:p>
        </w:tc>
        <w:tc>
          <w:tcPr>
            <w:tcW w:type="dxa" w:w="3010"/>
          </w:tcPr>
          <w:p>
            <w:r>
              <w:rPr>
                <w:rFonts w:ascii="Times New Roman" w:hAnsi="Times New Roman"/>
                <w:sz w:val="22"/>
              </w:rPr>
              <w:t>Samples available system/auth logs where accessible</w:t>
            </w:r>
          </w:p>
        </w:tc>
      </w:tr>
      <w:tr>
        <w:tc>
          <w:tcPr>
            <w:tcW w:type="dxa" w:w="3010"/>
          </w:tcPr>
          <w:p>
            <w:r>
              <w:rPr>
                <w:rFonts w:ascii="Times New Roman" w:hAnsi="Times New Roman"/>
                <w:sz w:val="22"/>
              </w:rPr>
              <w:t>Network snapshot collection</w:t>
            </w:r>
          </w:p>
        </w:tc>
        <w:tc>
          <w:tcPr>
            <w:tcW w:type="dxa" w:w="3010"/>
          </w:tcPr>
          <w:p>
            <w:r>
              <w:rPr>
                <w:rFonts w:ascii="Times New Roman" w:hAnsi="Times New Roman"/>
                <w:sz w:val="22"/>
              </w:rPr>
              <w:t>Implemented</w:t>
            </w:r>
          </w:p>
        </w:tc>
        <w:tc>
          <w:tcPr>
            <w:tcW w:type="dxa" w:w="3010"/>
          </w:tcPr>
          <w:p>
            <w:r>
              <w:rPr>
                <w:rFonts w:ascii="Times New Roman" w:hAnsi="Times New Roman"/>
                <w:sz w:val="22"/>
              </w:rPr>
              <w:t>Samples connection list and derives count hints</w:t>
            </w:r>
          </w:p>
        </w:tc>
      </w:tr>
      <w:tr>
        <w:tc>
          <w:tcPr>
            <w:tcW w:type="dxa" w:w="3010"/>
          </w:tcPr>
          <w:p>
            <w:r>
              <w:rPr>
                <w:rFonts w:ascii="Times New Roman" w:hAnsi="Times New Roman"/>
                <w:sz w:val="22"/>
              </w:rPr>
              <w:t>File integrity monitoring</w:t>
            </w:r>
          </w:p>
        </w:tc>
        <w:tc>
          <w:tcPr>
            <w:tcW w:type="dxa" w:w="3010"/>
          </w:tcPr>
          <w:p>
            <w:r>
              <w:rPr>
                <w:rFonts w:ascii="Times New Roman" w:hAnsi="Times New Roman"/>
                <w:sz w:val="22"/>
              </w:rPr>
              <w:t>Planned placeholder</w:t>
            </w:r>
          </w:p>
        </w:tc>
        <w:tc>
          <w:tcPr>
            <w:tcW w:type="dxa" w:w="3010"/>
          </w:tcPr>
          <w:p>
            <w:r>
              <w:rPr>
                <w:rFonts w:ascii="Times New Roman" w:hAnsi="Times New Roman"/>
                <w:sz w:val="22"/>
              </w:rPr>
              <w:t>Structure exists but deep collector is future work</w:t>
            </w:r>
          </w:p>
        </w:tc>
      </w:tr>
    </w:tbl>
    <w:p>
      <w:pPr>
        <w:pStyle w:val="Heading2"/>
        <w:spacing w:line="288" w:lineRule="auto" w:after="80" w:before="80"/>
        <w:jc w:val="left"/>
      </w:pPr>
      <w:r>
        <w:t>16.4 Deployment Service Catalogue</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Docker Service</w:t>
            </w:r>
          </w:p>
        </w:tc>
        <w:tc>
          <w:tcPr>
            <w:tcW w:type="dxa" w:w="3010"/>
          </w:tcPr>
          <w:p>
            <w:r>
              <w:rPr>
                <w:rFonts w:ascii="Times New Roman" w:hAnsi="Times New Roman"/>
                <w:b/>
                <w:sz w:val="22"/>
              </w:rPr>
              <w:t>Purpose</w:t>
            </w:r>
          </w:p>
        </w:tc>
        <w:tc>
          <w:tcPr>
            <w:tcW w:type="dxa" w:w="3010"/>
          </w:tcPr>
          <w:p>
            <w:r>
              <w:rPr>
                <w:rFonts w:ascii="Times New Roman" w:hAnsi="Times New Roman"/>
                <w:b/>
                <w:sz w:val="22"/>
              </w:rPr>
              <w:t>Key Runtime Notes</w:t>
            </w:r>
          </w:p>
        </w:tc>
      </w:tr>
      <w:tr>
        <w:tc>
          <w:tcPr>
            <w:tcW w:type="dxa" w:w="3010"/>
          </w:tcPr>
          <w:p>
            <w:r>
              <w:rPr>
                <w:rFonts w:ascii="Times New Roman" w:hAnsi="Times New Roman"/>
                <w:sz w:val="22"/>
              </w:rPr>
              <w:t>postgres</w:t>
            </w:r>
          </w:p>
        </w:tc>
        <w:tc>
          <w:tcPr>
            <w:tcW w:type="dxa" w:w="3010"/>
          </w:tcPr>
          <w:p>
            <w:r>
              <w:rPr>
                <w:rFonts w:ascii="Times New Roman" w:hAnsi="Times New Roman"/>
                <w:sz w:val="22"/>
              </w:rPr>
              <w:t>Primary relational database</w:t>
            </w:r>
          </w:p>
        </w:tc>
        <w:tc>
          <w:tcPr>
            <w:tcW w:type="dxa" w:w="3010"/>
          </w:tcPr>
          <w:p>
            <w:r>
              <w:rPr>
                <w:rFonts w:ascii="Times New Roman" w:hAnsi="Times New Roman"/>
                <w:sz w:val="22"/>
              </w:rPr>
              <w:t>Stores tenant state, events, aggregates, alerts, and configuration</w:t>
            </w:r>
          </w:p>
        </w:tc>
      </w:tr>
      <w:tr>
        <w:tc>
          <w:tcPr>
            <w:tcW w:type="dxa" w:w="3010"/>
          </w:tcPr>
          <w:p>
            <w:r>
              <w:rPr>
                <w:rFonts w:ascii="Times New Roman" w:hAnsi="Times New Roman"/>
                <w:sz w:val="22"/>
              </w:rPr>
              <w:t>redis</w:t>
            </w:r>
          </w:p>
        </w:tc>
        <w:tc>
          <w:tcPr>
            <w:tcW w:type="dxa" w:w="3010"/>
          </w:tcPr>
          <w:p>
            <w:r>
              <w:rPr>
                <w:rFonts w:ascii="Times New Roman" w:hAnsi="Times New Roman"/>
                <w:sz w:val="22"/>
              </w:rPr>
              <w:t>Broker and transient coordination</w:t>
            </w:r>
          </w:p>
        </w:tc>
        <w:tc>
          <w:tcPr>
            <w:tcW w:type="dxa" w:w="3010"/>
          </w:tcPr>
          <w:p>
            <w:r>
              <w:rPr>
                <w:rFonts w:ascii="Times New Roman" w:hAnsi="Times New Roman"/>
                <w:sz w:val="22"/>
              </w:rPr>
              <w:t>Used by Celery worker and beat</w:t>
            </w:r>
          </w:p>
        </w:tc>
      </w:tr>
      <w:tr>
        <w:tc>
          <w:tcPr>
            <w:tcW w:type="dxa" w:w="3010"/>
          </w:tcPr>
          <w:p>
            <w:r>
              <w:rPr>
                <w:rFonts w:ascii="Times New Roman" w:hAnsi="Times New Roman"/>
                <w:sz w:val="22"/>
              </w:rPr>
              <w:t>backend</w:t>
            </w:r>
          </w:p>
        </w:tc>
        <w:tc>
          <w:tcPr>
            <w:tcW w:type="dxa" w:w="3010"/>
          </w:tcPr>
          <w:p>
            <w:r>
              <w:rPr>
                <w:rFonts w:ascii="Times New Roman" w:hAnsi="Times New Roman"/>
                <w:sz w:val="22"/>
              </w:rPr>
              <w:t>Django API and main application</w:t>
            </w:r>
          </w:p>
        </w:tc>
        <w:tc>
          <w:tcPr>
            <w:tcW w:type="dxa" w:w="3010"/>
          </w:tcPr>
          <w:p>
            <w:r>
              <w:rPr>
                <w:rFonts w:ascii="Times New Roman" w:hAnsi="Times New Roman"/>
                <w:sz w:val="22"/>
              </w:rPr>
              <w:t>Runs migrations, collectstatic, and gunicorn</w:t>
            </w:r>
          </w:p>
        </w:tc>
      </w:tr>
      <w:tr>
        <w:tc>
          <w:tcPr>
            <w:tcW w:type="dxa" w:w="3010"/>
          </w:tcPr>
          <w:p>
            <w:r>
              <w:rPr>
                <w:rFonts w:ascii="Times New Roman" w:hAnsi="Times New Roman"/>
                <w:sz w:val="22"/>
              </w:rPr>
              <w:t>worker</w:t>
            </w:r>
          </w:p>
        </w:tc>
        <w:tc>
          <w:tcPr>
            <w:tcW w:type="dxa" w:w="3010"/>
          </w:tcPr>
          <w:p>
            <w:r>
              <w:rPr>
                <w:rFonts w:ascii="Times New Roman" w:hAnsi="Times New Roman"/>
                <w:sz w:val="22"/>
              </w:rPr>
              <w:t>Celery async worker</w:t>
            </w:r>
          </w:p>
        </w:tc>
        <w:tc>
          <w:tcPr>
            <w:tcW w:type="dxa" w:w="3010"/>
          </w:tcPr>
          <w:p>
            <w:r>
              <w:rPr>
                <w:rFonts w:ascii="Times New Roman" w:hAnsi="Times New Roman"/>
                <w:sz w:val="22"/>
              </w:rPr>
              <w:t>Processes scheduled and queued jobs</w:t>
            </w:r>
          </w:p>
        </w:tc>
      </w:tr>
      <w:tr>
        <w:tc>
          <w:tcPr>
            <w:tcW w:type="dxa" w:w="3010"/>
          </w:tcPr>
          <w:p>
            <w:r>
              <w:rPr>
                <w:rFonts w:ascii="Times New Roman" w:hAnsi="Times New Roman"/>
                <w:sz w:val="22"/>
              </w:rPr>
              <w:t>beat</w:t>
            </w:r>
          </w:p>
        </w:tc>
        <w:tc>
          <w:tcPr>
            <w:tcW w:type="dxa" w:w="3010"/>
          </w:tcPr>
          <w:p>
            <w:r>
              <w:rPr>
                <w:rFonts w:ascii="Times New Roman" w:hAnsi="Times New Roman"/>
                <w:sz w:val="22"/>
              </w:rPr>
              <w:t>Celery beat scheduler</w:t>
            </w:r>
          </w:p>
        </w:tc>
        <w:tc>
          <w:tcPr>
            <w:tcW w:type="dxa" w:w="3010"/>
          </w:tcPr>
          <w:p>
            <w:r>
              <w:rPr>
                <w:rFonts w:ascii="Times New Roman" w:hAnsi="Times New Roman"/>
                <w:sz w:val="22"/>
              </w:rPr>
              <w:t>Triggers periodic scheduler tick</w:t>
            </w:r>
          </w:p>
        </w:tc>
      </w:tr>
      <w:tr>
        <w:tc>
          <w:tcPr>
            <w:tcW w:type="dxa" w:w="3010"/>
          </w:tcPr>
          <w:p>
            <w:r>
              <w:rPr>
                <w:rFonts w:ascii="Times New Roman" w:hAnsi="Times New Roman"/>
                <w:sz w:val="22"/>
              </w:rPr>
              <w:t>frontend</w:t>
            </w:r>
          </w:p>
        </w:tc>
        <w:tc>
          <w:tcPr>
            <w:tcW w:type="dxa" w:w="3010"/>
          </w:tcPr>
          <w:p>
            <w:r>
              <w:rPr>
                <w:rFonts w:ascii="Times New Roman" w:hAnsi="Times New Roman"/>
                <w:sz w:val="22"/>
              </w:rPr>
              <w:t>Serves compiled React application</w:t>
            </w:r>
          </w:p>
        </w:tc>
        <w:tc>
          <w:tcPr>
            <w:tcW w:type="dxa" w:w="3010"/>
          </w:tcPr>
          <w:p>
            <w:r>
              <w:rPr>
                <w:rFonts w:ascii="Times New Roman" w:hAnsi="Times New Roman"/>
                <w:sz w:val="22"/>
              </w:rPr>
              <w:t>Exposes HTTP and HTTPS ports for operator access</w:t>
            </w:r>
          </w:p>
        </w:tc>
      </w:tr>
    </w:tbl>
    <w:p>
      <w:pPr>
        <w:spacing w:line="360" w:lineRule="auto" w:after="120" w:before="0"/>
        <w:jc w:val="both"/>
      </w:pPr>
      <w:r>
        <w:t>This modular breakdown makes the project easier to defend academically because every major system claim maps cleanly to code. It also gives future contributors a direct roadmap for where to add new collectors, visualizations, or security controls without destabilizing the rest of the platform.</w:t>
      </w:r>
    </w:p>
    <w:p>
      <w:r>
        <w:br w:type="page"/>
      </w:r>
    </w:p>
    <w:p>
      <w:pPr>
        <w:pStyle w:val="Heading1"/>
        <w:spacing w:line="288" w:lineRule="auto" w:after="80" w:before="160"/>
        <w:jc w:val="left"/>
      </w:pPr>
      <w:r>
        <w:t>17. VALIDATION EVIDENCE AND TEST CASES</w:t>
      </w:r>
    </w:p>
    <w:p>
      <w:pPr>
        <w:spacing w:line="360" w:lineRule="auto" w:after="120" w:before="0"/>
        <w:jc w:val="both"/>
      </w:pPr>
      <w:r>
        <w:t>The capstone evaluation for ScropIDS is strongest when the report demonstrates not just design intent but repeatable validation. This appendix therefore combines automated checks, smoke commands, and manual operator test cases that can be replayed during demonstration.</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Test ID</w:t>
            </w:r>
          </w:p>
        </w:tc>
        <w:tc>
          <w:tcPr>
            <w:tcW w:type="dxa" w:w="3010"/>
          </w:tcPr>
          <w:p>
            <w:r>
              <w:rPr>
                <w:rFonts w:ascii="Times New Roman" w:hAnsi="Times New Roman"/>
                <w:b/>
                <w:sz w:val="22"/>
              </w:rPr>
              <w:t>Scenario</w:t>
            </w:r>
          </w:p>
        </w:tc>
        <w:tc>
          <w:tcPr>
            <w:tcW w:type="dxa" w:w="3010"/>
          </w:tcPr>
          <w:p>
            <w:r>
              <w:rPr>
                <w:rFonts w:ascii="Times New Roman" w:hAnsi="Times New Roman"/>
                <w:b/>
                <w:sz w:val="22"/>
              </w:rPr>
              <w:t>Expected Result</w:t>
            </w:r>
          </w:p>
        </w:tc>
      </w:tr>
      <w:tr>
        <w:tc>
          <w:tcPr>
            <w:tcW w:type="dxa" w:w="3010"/>
          </w:tcPr>
          <w:p>
            <w:r>
              <w:rPr>
                <w:rFonts w:ascii="Times New Roman" w:hAnsi="Times New Roman"/>
                <w:sz w:val="22"/>
              </w:rPr>
              <w:t>TC-01</w:t>
            </w:r>
          </w:p>
        </w:tc>
        <w:tc>
          <w:tcPr>
            <w:tcW w:type="dxa" w:w="3010"/>
          </w:tcPr>
          <w:p>
            <w:r>
              <w:rPr>
                <w:rFonts w:ascii="Times New Roman" w:hAnsi="Times New Roman"/>
                <w:sz w:val="22"/>
              </w:rPr>
              <w:t>Register user and create first tenant</w:t>
            </w:r>
          </w:p>
        </w:tc>
        <w:tc>
          <w:tcPr>
            <w:tcW w:type="dxa" w:w="3010"/>
          </w:tcPr>
          <w:p>
            <w:r>
              <w:rPr>
                <w:rFonts w:ascii="Times New Roman" w:hAnsi="Times New Roman"/>
                <w:sz w:val="22"/>
              </w:rPr>
              <w:t>Session is created and organization appears in /auth/me/</w:t>
            </w:r>
          </w:p>
        </w:tc>
      </w:tr>
      <w:tr>
        <w:tc>
          <w:tcPr>
            <w:tcW w:type="dxa" w:w="3010"/>
          </w:tcPr>
          <w:p>
            <w:r>
              <w:rPr>
                <w:rFonts w:ascii="Times New Roman" w:hAnsi="Times New Roman"/>
                <w:sz w:val="22"/>
              </w:rPr>
              <w:t>TC-02</w:t>
            </w:r>
          </w:p>
        </w:tc>
        <w:tc>
          <w:tcPr>
            <w:tcW w:type="dxa" w:w="3010"/>
          </w:tcPr>
          <w:p>
            <w:r>
              <w:rPr>
                <w:rFonts w:ascii="Times New Roman" w:hAnsi="Times New Roman"/>
                <w:sz w:val="22"/>
              </w:rPr>
              <w:t>Create organization through organizations endpoint</w:t>
            </w:r>
          </w:p>
        </w:tc>
        <w:tc>
          <w:tcPr>
            <w:tcW w:type="dxa" w:w="3010"/>
          </w:tcPr>
          <w:p>
            <w:r>
              <w:rPr>
                <w:rFonts w:ascii="Times New Roman" w:hAnsi="Times New Roman"/>
                <w:sz w:val="22"/>
              </w:rPr>
              <w:t>New tenant slug is returned</w:t>
            </w:r>
          </w:p>
        </w:tc>
      </w:tr>
      <w:tr>
        <w:tc>
          <w:tcPr>
            <w:tcW w:type="dxa" w:w="3010"/>
          </w:tcPr>
          <w:p>
            <w:r>
              <w:rPr>
                <w:rFonts w:ascii="Times New Roman" w:hAnsi="Times New Roman"/>
                <w:sz w:val="22"/>
              </w:rPr>
              <w:t>TC-03</w:t>
            </w:r>
          </w:p>
        </w:tc>
        <w:tc>
          <w:tcPr>
            <w:tcW w:type="dxa" w:w="3010"/>
          </w:tcPr>
          <w:p>
            <w:r>
              <w:rPr>
                <w:rFonts w:ascii="Times New Roman" w:hAnsi="Times New Roman"/>
                <w:sz w:val="22"/>
              </w:rPr>
              <w:t>Issue one-time enrollment token</w:t>
            </w:r>
          </w:p>
        </w:tc>
        <w:tc>
          <w:tcPr>
            <w:tcW w:type="dxa" w:w="3010"/>
          </w:tcPr>
          <w:p>
            <w:r>
              <w:rPr>
                <w:rFonts w:ascii="Times New Roman" w:hAnsi="Times New Roman"/>
                <w:sz w:val="22"/>
              </w:rPr>
              <w:t>Token record is created with expiry metadata</w:t>
            </w:r>
          </w:p>
        </w:tc>
      </w:tr>
      <w:tr>
        <w:tc>
          <w:tcPr>
            <w:tcW w:type="dxa" w:w="3010"/>
          </w:tcPr>
          <w:p>
            <w:r>
              <w:rPr>
                <w:rFonts w:ascii="Times New Roman" w:hAnsi="Times New Roman"/>
                <w:sz w:val="22"/>
              </w:rPr>
              <w:t>TC-04</w:t>
            </w:r>
          </w:p>
        </w:tc>
        <w:tc>
          <w:tcPr>
            <w:tcW w:type="dxa" w:w="3010"/>
          </w:tcPr>
          <w:p>
            <w:r>
              <w:rPr>
                <w:rFonts w:ascii="Times New Roman" w:hAnsi="Times New Roman"/>
                <w:sz w:val="22"/>
              </w:rPr>
              <w:t>Rotate organization access token</w:t>
            </w:r>
          </w:p>
        </w:tc>
        <w:tc>
          <w:tcPr>
            <w:tcW w:type="dxa" w:w="3010"/>
          </w:tcPr>
          <w:p>
            <w:r>
              <w:rPr>
                <w:rFonts w:ascii="Times New Roman" w:hAnsi="Times New Roman"/>
                <w:sz w:val="22"/>
              </w:rPr>
              <w:t>Fresh tenant token is returned and previous token becomes obsolete</w:t>
            </w:r>
          </w:p>
        </w:tc>
      </w:tr>
      <w:tr>
        <w:tc>
          <w:tcPr>
            <w:tcW w:type="dxa" w:w="3010"/>
          </w:tcPr>
          <w:p>
            <w:r>
              <w:rPr>
                <w:rFonts w:ascii="Times New Roman" w:hAnsi="Times New Roman"/>
                <w:sz w:val="22"/>
              </w:rPr>
              <w:t>TC-05</w:t>
            </w:r>
          </w:p>
        </w:tc>
        <w:tc>
          <w:tcPr>
            <w:tcW w:type="dxa" w:w="3010"/>
          </w:tcPr>
          <w:p>
            <w:r>
              <w:rPr>
                <w:rFonts w:ascii="Times New Roman" w:hAnsi="Times New Roman"/>
                <w:sz w:val="22"/>
              </w:rPr>
              <w:t>Quick-enroll agent using organization token</w:t>
            </w:r>
          </w:p>
        </w:tc>
        <w:tc>
          <w:tcPr>
            <w:tcW w:type="dxa" w:w="3010"/>
          </w:tcPr>
          <w:p>
            <w:r>
              <w:rPr>
                <w:rFonts w:ascii="Times New Roman" w:hAnsi="Times New Roman"/>
                <w:sz w:val="22"/>
              </w:rPr>
              <w:t>agent_id and agent_token are returned</w:t>
            </w:r>
          </w:p>
        </w:tc>
      </w:tr>
      <w:tr>
        <w:tc>
          <w:tcPr>
            <w:tcW w:type="dxa" w:w="3010"/>
          </w:tcPr>
          <w:p>
            <w:r>
              <w:rPr>
                <w:rFonts w:ascii="Times New Roman" w:hAnsi="Times New Roman"/>
                <w:sz w:val="22"/>
              </w:rPr>
              <w:t>TC-06</w:t>
            </w:r>
          </w:p>
        </w:tc>
        <w:tc>
          <w:tcPr>
            <w:tcW w:type="dxa" w:w="3010"/>
          </w:tcPr>
          <w:p>
            <w:r>
              <w:rPr>
                <w:rFonts w:ascii="Times New Roman" w:hAnsi="Times New Roman"/>
                <w:sz w:val="22"/>
              </w:rPr>
              <w:t>Send valid heartbeat</w:t>
            </w:r>
          </w:p>
        </w:tc>
        <w:tc>
          <w:tcPr>
            <w:tcW w:type="dxa" w:w="3010"/>
          </w:tcPr>
          <w:p>
            <w:r>
              <w:rPr>
                <w:rFonts w:ascii="Times New Roman" w:hAnsi="Times New Roman"/>
                <w:sz w:val="22"/>
              </w:rPr>
              <w:t>Backend returns ok and updates last_seen</w:t>
            </w:r>
          </w:p>
        </w:tc>
      </w:tr>
      <w:tr>
        <w:tc>
          <w:tcPr>
            <w:tcW w:type="dxa" w:w="3010"/>
          </w:tcPr>
          <w:p>
            <w:r>
              <w:rPr>
                <w:rFonts w:ascii="Times New Roman" w:hAnsi="Times New Roman"/>
                <w:sz w:val="22"/>
              </w:rPr>
              <w:t>TC-07</w:t>
            </w:r>
          </w:p>
        </w:tc>
        <w:tc>
          <w:tcPr>
            <w:tcW w:type="dxa" w:w="3010"/>
          </w:tcPr>
          <w:p>
            <w:r>
              <w:rPr>
                <w:rFonts w:ascii="Times New Roman" w:hAnsi="Times New Roman"/>
                <w:sz w:val="22"/>
              </w:rPr>
              <w:t>Send valid event batch</w:t>
            </w:r>
          </w:p>
        </w:tc>
        <w:tc>
          <w:tcPr>
            <w:tcW w:type="dxa" w:w="3010"/>
          </w:tcPr>
          <w:p>
            <w:r>
              <w:rPr>
                <w:rFonts w:ascii="Times New Roman" w:hAnsi="Times New Roman"/>
                <w:sz w:val="22"/>
              </w:rPr>
              <w:t>accepted count increases and event records are stored</w:t>
            </w:r>
          </w:p>
        </w:tc>
      </w:tr>
      <w:tr>
        <w:tc>
          <w:tcPr>
            <w:tcW w:type="dxa" w:w="3010"/>
          </w:tcPr>
          <w:p>
            <w:r>
              <w:rPr>
                <w:rFonts w:ascii="Times New Roman" w:hAnsi="Times New Roman"/>
                <w:sz w:val="22"/>
              </w:rPr>
              <w:t>TC-08</w:t>
            </w:r>
          </w:p>
        </w:tc>
        <w:tc>
          <w:tcPr>
            <w:tcW w:type="dxa" w:w="3010"/>
          </w:tcPr>
          <w:p>
            <w:r>
              <w:rPr>
                <w:rFonts w:ascii="Times New Roman" w:hAnsi="Times New Roman"/>
                <w:sz w:val="22"/>
              </w:rPr>
              <w:t>Fetch runtime config from agent endpoint</w:t>
            </w:r>
          </w:p>
        </w:tc>
        <w:tc>
          <w:tcPr>
            <w:tcW w:type="dxa" w:w="3010"/>
          </w:tcPr>
          <w:p>
            <w:r>
              <w:rPr>
                <w:rFonts w:ascii="Times New Roman" w:hAnsi="Times New Roman"/>
                <w:sz w:val="22"/>
              </w:rPr>
              <w:t>Collector toggles and intervals match tenant schedule</w:t>
            </w:r>
          </w:p>
        </w:tc>
      </w:tr>
      <w:tr>
        <w:tc>
          <w:tcPr>
            <w:tcW w:type="dxa" w:w="3010"/>
          </w:tcPr>
          <w:p>
            <w:r>
              <w:rPr>
                <w:rFonts w:ascii="Times New Roman" w:hAnsi="Times New Roman"/>
                <w:sz w:val="22"/>
              </w:rPr>
              <w:t>TC-09</w:t>
            </w:r>
          </w:p>
        </w:tc>
        <w:tc>
          <w:tcPr>
            <w:tcW w:type="dxa" w:w="3010"/>
          </w:tcPr>
          <w:p>
            <w:r>
              <w:rPr>
                <w:rFonts w:ascii="Times New Roman" w:hAnsi="Times New Roman"/>
                <w:sz w:val="22"/>
              </w:rPr>
              <w:t>Run scheduler tick</w:t>
            </w:r>
          </w:p>
        </w:tc>
        <w:tc>
          <w:tcPr>
            <w:tcW w:type="dxa" w:w="3010"/>
          </w:tcPr>
          <w:p>
            <w:r>
              <w:rPr>
                <w:rFonts w:ascii="Times New Roman" w:hAnsi="Times New Roman"/>
                <w:sz w:val="22"/>
              </w:rPr>
              <w:t>Aggregate windows are created for eligible events</w:t>
            </w:r>
          </w:p>
        </w:tc>
      </w:tr>
      <w:tr>
        <w:tc>
          <w:tcPr>
            <w:tcW w:type="dxa" w:w="3010"/>
          </w:tcPr>
          <w:p>
            <w:r>
              <w:rPr>
                <w:rFonts w:ascii="Times New Roman" w:hAnsi="Times New Roman"/>
                <w:sz w:val="22"/>
              </w:rPr>
              <w:t>TC-10</w:t>
            </w:r>
          </w:p>
        </w:tc>
        <w:tc>
          <w:tcPr>
            <w:tcW w:type="dxa" w:w="3010"/>
          </w:tcPr>
          <w:p>
            <w:r>
              <w:rPr>
                <w:rFonts w:ascii="Times New Roman" w:hAnsi="Times New Roman"/>
                <w:sz w:val="22"/>
              </w:rPr>
              <w:t>Analyze pending aggregate with active provider</w:t>
            </w:r>
          </w:p>
        </w:tc>
        <w:tc>
          <w:tcPr>
            <w:tcW w:type="dxa" w:w="3010"/>
          </w:tcPr>
          <w:p>
            <w:r>
              <w:rPr>
                <w:rFonts w:ascii="Times New Roman" w:hAnsi="Times New Roman"/>
                <w:sz w:val="22"/>
              </w:rPr>
              <w:t>LLM output is validated and stored</w:t>
            </w:r>
          </w:p>
        </w:tc>
      </w:tr>
      <w:tr>
        <w:tc>
          <w:tcPr>
            <w:tcW w:type="dxa" w:w="3010"/>
          </w:tcPr>
          <w:p>
            <w:r>
              <w:rPr>
                <w:rFonts w:ascii="Times New Roman" w:hAnsi="Times New Roman"/>
                <w:sz w:val="22"/>
              </w:rPr>
              <w:t>TC-11</w:t>
            </w:r>
          </w:p>
        </w:tc>
        <w:tc>
          <w:tcPr>
            <w:tcW w:type="dxa" w:w="3010"/>
          </w:tcPr>
          <w:p>
            <w:r>
              <w:rPr>
                <w:rFonts w:ascii="Times New Roman" w:hAnsi="Times New Roman"/>
                <w:sz w:val="22"/>
              </w:rPr>
              <w:t>Trigger rule escalation path</w:t>
            </w:r>
          </w:p>
        </w:tc>
        <w:tc>
          <w:tcPr>
            <w:tcW w:type="dxa" w:w="3010"/>
          </w:tcPr>
          <w:p>
            <w:r>
              <w:rPr>
                <w:rFonts w:ascii="Times New Roman" w:hAnsi="Times New Roman"/>
                <w:sz w:val="22"/>
              </w:rPr>
              <w:t>Final threat level may increase above raw model output</w:t>
            </w:r>
          </w:p>
        </w:tc>
      </w:tr>
      <w:tr>
        <w:tc>
          <w:tcPr>
            <w:tcW w:type="dxa" w:w="3010"/>
          </w:tcPr>
          <w:p>
            <w:r>
              <w:rPr>
                <w:rFonts w:ascii="Times New Roman" w:hAnsi="Times New Roman"/>
                <w:sz w:val="22"/>
              </w:rPr>
              <w:t>TC-12</w:t>
            </w:r>
          </w:p>
        </w:tc>
        <w:tc>
          <w:tcPr>
            <w:tcW w:type="dxa" w:w="3010"/>
          </w:tcPr>
          <w:p>
            <w:r>
              <w:rPr>
                <w:rFonts w:ascii="Times New Roman" w:hAnsi="Times New Roman"/>
                <w:sz w:val="22"/>
              </w:rPr>
              <w:t>Cross alert threshold</w:t>
            </w:r>
          </w:p>
        </w:tc>
        <w:tc>
          <w:tcPr>
            <w:tcW w:type="dxa" w:w="3010"/>
          </w:tcPr>
          <w:p>
            <w:r>
              <w:rPr>
                <w:rFonts w:ascii="Times New Roman" w:hAnsi="Times New Roman"/>
                <w:sz w:val="22"/>
              </w:rPr>
              <w:t>Alert appears in alert queue</w:t>
            </w:r>
          </w:p>
        </w:tc>
      </w:tr>
      <w:tr>
        <w:tc>
          <w:tcPr>
            <w:tcW w:type="dxa" w:w="3010"/>
          </w:tcPr>
          <w:p>
            <w:r>
              <w:rPr>
                <w:rFonts w:ascii="Times New Roman" w:hAnsi="Times New Roman"/>
                <w:sz w:val="22"/>
              </w:rPr>
              <w:t>TC-13</w:t>
            </w:r>
          </w:p>
        </w:tc>
        <w:tc>
          <w:tcPr>
            <w:tcW w:type="dxa" w:w="3010"/>
          </w:tcPr>
          <w:p>
            <w:r>
              <w:rPr>
                <w:rFonts w:ascii="Times New Roman" w:hAnsi="Times New Roman"/>
                <w:sz w:val="22"/>
              </w:rPr>
              <w:t>Open alert in dashboard drawer</w:t>
            </w:r>
          </w:p>
        </w:tc>
        <w:tc>
          <w:tcPr>
            <w:tcW w:type="dxa" w:w="3010"/>
          </w:tcPr>
          <w:p>
            <w:r>
              <w:rPr>
                <w:rFonts w:ascii="Times New Roman" w:hAnsi="Times New Roman"/>
                <w:sz w:val="22"/>
              </w:rPr>
              <w:t>Reasoning and recommended action are shown</w:t>
            </w:r>
          </w:p>
        </w:tc>
      </w:tr>
      <w:tr>
        <w:tc>
          <w:tcPr>
            <w:tcW w:type="dxa" w:w="3010"/>
          </w:tcPr>
          <w:p>
            <w:r>
              <w:rPr>
                <w:rFonts w:ascii="Times New Roman" w:hAnsi="Times New Roman"/>
                <w:sz w:val="22"/>
              </w:rPr>
              <w:t>TC-14</w:t>
            </w:r>
          </w:p>
        </w:tc>
        <w:tc>
          <w:tcPr>
            <w:tcW w:type="dxa" w:w="3010"/>
          </w:tcPr>
          <w:p>
            <w:r>
              <w:rPr>
                <w:rFonts w:ascii="Times New Roman" w:hAnsi="Times New Roman"/>
                <w:sz w:val="22"/>
              </w:rPr>
              <w:t>Download agent artifact manifest</w:t>
            </w:r>
          </w:p>
        </w:tc>
        <w:tc>
          <w:tcPr>
            <w:tcW w:type="dxa" w:w="3010"/>
          </w:tcPr>
          <w:p>
            <w:r>
              <w:rPr>
                <w:rFonts w:ascii="Times New Roman" w:hAnsi="Times New Roman"/>
                <w:sz w:val="22"/>
              </w:rPr>
              <w:t>Platform-specific packages appear in response</w:t>
            </w:r>
          </w:p>
        </w:tc>
      </w:tr>
      <w:tr>
        <w:tc>
          <w:tcPr>
            <w:tcW w:type="dxa" w:w="3010"/>
          </w:tcPr>
          <w:p>
            <w:r>
              <w:rPr>
                <w:rFonts w:ascii="Times New Roman" w:hAnsi="Times New Roman"/>
                <w:sz w:val="22"/>
              </w:rPr>
              <w:t>TC-15</w:t>
            </w:r>
          </w:p>
        </w:tc>
        <w:tc>
          <w:tcPr>
            <w:tcW w:type="dxa" w:w="3010"/>
          </w:tcPr>
          <w:p>
            <w:r>
              <w:rPr>
                <w:rFonts w:ascii="Times New Roman" w:hAnsi="Times New Roman"/>
                <w:sz w:val="22"/>
              </w:rPr>
              <w:t>Build frontend bundle</w:t>
            </w:r>
          </w:p>
        </w:tc>
        <w:tc>
          <w:tcPr>
            <w:tcW w:type="dxa" w:w="3010"/>
          </w:tcPr>
          <w:p>
            <w:r>
              <w:rPr>
                <w:rFonts w:ascii="Times New Roman" w:hAnsi="Times New Roman"/>
                <w:sz w:val="22"/>
              </w:rPr>
              <w:t>Production assets are generated successfully</w:t>
            </w:r>
          </w:p>
        </w:tc>
      </w:tr>
      <w:tr>
        <w:tc>
          <w:tcPr>
            <w:tcW w:type="dxa" w:w="3010"/>
          </w:tcPr>
          <w:p>
            <w:r>
              <w:rPr>
                <w:rFonts w:ascii="Times New Roman" w:hAnsi="Times New Roman"/>
                <w:sz w:val="22"/>
              </w:rPr>
              <w:t>TC-16</w:t>
            </w:r>
          </w:p>
        </w:tc>
        <w:tc>
          <w:tcPr>
            <w:tcW w:type="dxa" w:w="3010"/>
          </w:tcPr>
          <w:p>
            <w:r>
              <w:rPr>
                <w:rFonts w:ascii="Times New Roman" w:hAnsi="Times New Roman"/>
                <w:sz w:val="22"/>
              </w:rPr>
              <w:t>Run backend unit tests</w:t>
            </w:r>
          </w:p>
        </w:tc>
        <w:tc>
          <w:tcPr>
            <w:tcW w:type="dxa" w:w="3010"/>
          </w:tcPr>
          <w:p>
            <w:r>
              <w:rPr>
                <w:rFonts w:ascii="Times New Roman" w:hAnsi="Times New Roman"/>
                <w:sz w:val="22"/>
              </w:rPr>
              <w:t>All current tests pass</w:t>
            </w:r>
          </w:p>
        </w:tc>
      </w:tr>
      <w:tr>
        <w:tc>
          <w:tcPr>
            <w:tcW w:type="dxa" w:w="3010"/>
          </w:tcPr>
          <w:p>
            <w:r>
              <w:rPr>
                <w:rFonts w:ascii="Times New Roman" w:hAnsi="Times New Roman"/>
                <w:sz w:val="22"/>
              </w:rPr>
              <w:t>TC-17</w:t>
            </w:r>
          </w:p>
        </w:tc>
        <w:tc>
          <w:tcPr>
            <w:tcW w:type="dxa" w:w="3010"/>
          </w:tcPr>
          <w:p>
            <w:r>
              <w:rPr>
                <w:rFonts w:ascii="Times New Roman" w:hAnsi="Times New Roman"/>
                <w:sz w:val="22"/>
              </w:rPr>
              <w:t>Build Go agent</w:t>
            </w:r>
          </w:p>
        </w:tc>
        <w:tc>
          <w:tcPr>
            <w:tcW w:type="dxa" w:w="3010"/>
          </w:tcPr>
          <w:p>
            <w:r>
              <w:rPr>
                <w:rFonts w:ascii="Times New Roman" w:hAnsi="Times New Roman"/>
                <w:sz w:val="22"/>
              </w:rPr>
              <w:t>Binary compilation completes without errors</w:t>
            </w:r>
          </w:p>
        </w:tc>
      </w:tr>
    </w:tbl>
    <w:p>
      <w:pPr>
        <w:pStyle w:val="Heading2"/>
        <w:spacing w:line="288" w:lineRule="auto" w:after="80" w:before="80"/>
        <w:jc w:val="left"/>
      </w:pPr>
      <w:r>
        <w:t>17.1 Command Evidence</w:t>
      </w:r>
    </w:p>
    <w:p>
      <w:pPr>
        <w:spacing w:line="276" w:lineRule="auto" w:after="160" w:before="0"/>
        <w:jc w:val="left"/>
      </w:pPr>
      <w:r>
        <w:rPr>
          <w:rFonts w:ascii="Courier New" w:hAnsi="Courier New"/>
          <w:sz w:val="20"/>
        </w:rPr>
        <w:t>Backend unit tests:</w:t>
        <w:br/>
        <w:t>./backend/.venv/bin/python manage.py test apps.core</w:t>
        <w:br/>
        <w:br/>
        <w:t>Frontend production build:</w:t>
        <w:br/>
        <w:t>npm run build</w:t>
        <w:br/>
        <w:br/>
        <w:t>Go agent build:</w:t>
        <w:br/>
        <w:t>go build -o /tmp/scropids-agent-verify ./cmd/agent</w:t>
      </w:r>
    </w:p>
    <w:p>
      <w:pPr>
        <w:pStyle w:val="Heading2"/>
        <w:spacing w:line="288" w:lineRule="auto" w:after="80" w:before="80"/>
        <w:jc w:val="left"/>
      </w:pPr>
      <w:r>
        <w:t>17.2 SaaS Smoke Validation Flow</w:t>
      </w:r>
    </w:p>
    <w:p>
      <w:pPr>
        <w:spacing w:line="276" w:lineRule="auto" w:after="160" w:before="0"/>
        <w:jc w:val="left"/>
      </w:pPr>
      <w:r>
        <w:rPr>
          <w:rFonts w:ascii="Courier New" w:hAnsi="Courier New"/>
          <w:sz w:val="20"/>
        </w:rPr>
        <w:t>1. Start services</w:t>
        <w:br/>
        <w:t xml:space="preserve">   docker compose up --build</w:t>
        <w:br/>
        <w:br/>
        <w:t>2. Create admin user</w:t>
        <w:br/>
        <w:t xml:space="preserve">   docker compose exec backend python manage.py createsuperuser</w:t>
        <w:br/>
        <w:br/>
        <w:t>3. Create organization</w:t>
        <w:br/>
        <w:t xml:space="preserve">   curl -u admin:adminpass -X POST http://localhost:8000/api/v1/organizations/      -H "Content-Type: application/json"      -d '{"name":"Acme SOC"}'</w:t>
        <w:br/>
        <w:br/>
        <w:t>4. Create enrollment token or rotate organization access token</w:t>
        <w:br/>
        <w:t>5. Enroll agent</w:t>
        <w:br/>
        <w:t>6. Send event batch</w:t>
        <w:br/>
        <w:t>7. Trigger scheduler tick</w:t>
        <w:br/>
        <w:t>8. Check dashboard overview</w:t>
      </w:r>
    </w:p>
    <w:p>
      <w:pPr>
        <w:pStyle w:val="Heading2"/>
        <w:spacing w:line="288" w:lineRule="auto" w:after="80" w:before="80"/>
        <w:jc w:val="left"/>
      </w:pPr>
      <w:r>
        <w:t>17.3 Risk-Based Validation Discussion</w:t>
      </w:r>
    </w:p>
    <w:p>
      <w:pPr>
        <w:spacing w:line="360" w:lineRule="auto" w:after="120" w:before="0"/>
        <w:jc w:val="both"/>
      </w:pPr>
      <w:r>
        <w:t>Validation in ScropIDS is not limited to whether an endpoint responds. The more meaningful question is whether the platform behaves safely under realistic failure conditions. For this reason, the implementation contains explicit fallback logic when no active LLM provider exists or when provider output cannot be parsed into the required JSON schema.</w:t>
      </w:r>
    </w:p>
    <w:p>
      <w:pPr>
        <w:spacing w:line="360" w:lineRule="auto" w:after="120" w:before="0"/>
        <w:jc w:val="both"/>
      </w:pPr>
      <w:r>
        <w:t>This matters in production-like security workflows because analysts cannot afford silent failure. Even when external inference is unavailable, the scheduler and rule engine still provide structure that keeps the platform operational and reviewable.</w:t>
      </w:r>
    </w:p>
    <w:p>
      <w:r>
        <w:br w:type="page"/>
      </w:r>
    </w:p>
    <w:p>
      <w:pPr>
        <w:pStyle w:val="Heading1"/>
        <w:spacing w:line="288" w:lineRule="auto" w:after="80" w:before="160"/>
        <w:jc w:val="left"/>
      </w:pPr>
      <w:r>
        <w:t>18. SYSTEM SNAPSHOT AND EVIDENCE PAGES</w:t>
      </w:r>
    </w:p>
    <w:p>
      <w:pPr>
        <w:spacing w:line="360" w:lineRule="auto" w:after="120" w:before="0"/>
        <w:jc w:val="both"/>
      </w:pPr>
      <w:r>
        <w:t>The following pages are intentionally reserved for high-value project evidence. When final screenshots are inserted, this section becomes a powerful visual appendix for demonstration, viva review, and final submission. Each page below corresponds directly to an implemented screen, command result, or deployment artifact in the repository.</w:t>
      </w:r>
    </w:p>
    <w:p>
      <w:r>
        <w:br w:type="page"/>
      </w:r>
    </w:p>
    <w:p>
      <w:pPr>
        <w:pStyle w:val="Heading2"/>
        <w:spacing w:line="288" w:lineRule="auto" w:after="80" w:before="80"/>
        <w:jc w:val="left"/>
      </w:pPr>
      <w:r>
        <w:t>18.1 Screenshot Page - Login</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final login page showing session-based entry into ScropIDS.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18.2 Screenshot Page - Registration / First Tenant Creation</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registration or first-run onboarding view that creates a tenant workspace.</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18.3 Screenshot Page - Overview Dashboard</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main dashboard hero section with tenant title, alert counts, and live status.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18.4 Screenshot Page - Threat Distribution and KPI Widgets</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chart section that shows severity counts, totals, and dashboard KPIs.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18.5 Screenshot Page - Alerts Queue</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alert list with threat level, confidence, and status columns.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18.6 Screenshot Page - Alert Detail Drawer</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slide-over or detail panel with reasoning and recommended action.</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18.7 Screenshot Page - Agents Page</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agent inventory table with hostname, OS, and online/offline state.</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18.8 Screenshot Page - Token Rotation Panel</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organization access token panel after a successful reset.</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18.9 Screenshot Page - Agent Artifact Downloads</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artifact list showing platform, package type, and download options.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18.10 Screenshot Page - Quick Run Command</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command block that helps operators start the downloaded agent.</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18.11 Screenshot Page - Agent Timeline</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per-agent history page showing events and LLM insights.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18.12 Screenshot Page - LLM Provider Overview</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provider listing page with active/inactive configuration records.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18.13 Screenshot Page - LLM Provider Create/Edit Form</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create or edit form for provider configuration.</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18.14 Screenshot Page - Scheduler Server Controls</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scheduler view showing aggregation interval and thresholds.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18.15 Screenshot Page - Scheduler Agent Profile</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collector and runtime profile controls for agents.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18.16 Screenshot Page - Rules Page Built-in Rules</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rule engine configuration with built-in detections.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18.17 Screenshot Page - Rules Page Custom Rules</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custom JSON rule editor or import/export controls.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18.18 Screenshot Page - Admin Interface</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Django admin or tenant administration view.</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18.19 Evidence Page - Health Endpoint</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terminal or browser output for /api/v1/health/ showing healthy services.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18.20 Evidence Page - Smoke Test cURL Responses</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one or more terminal captures for organization creation, enrollment, or dashboard overview.</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18.21 Evidence Page - Backend Unit Test Output</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terminal evidence for successful backend tests.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18.22 Evidence Page - Frontend Build Output</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terminal evidence for successful Vite production build.</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18.23 Evidence Page - Go Agent Build Output</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terminal evidence for successful Go agent compilation.</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18.24 Evidence Page - Docker Service Topology</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docker compose ps output or a deployment diagram capturing running services.</w:t>
              <w:br/>
              <w:br/>
              <w:t>Suggested content: full-page screenshot, command output, architectural diagram, or signed validation evidence.</w:t>
            </w:r>
          </w:p>
        </w:tc>
      </w:tr>
    </w:tbl>
    <w:p/>
    <w:p/>
    <w:p/>
    <w:p/>
    <w:p/>
    <w:p/>
    <w:p/>
    <w:p/>
    <w:p/>
    <w:p/>
    <w:p/>
    <w:p/>
    <w:p>
      <w:r>
        <w:br w:type="page"/>
      </w:r>
    </w:p>
    <w:p>
      <w:pPr>
        <w:pStyle w:val="Heading1"/>
        <w:spacing w:line="288" w:lineRule="auto" w:after="80" w:before="160"/>
        <w:jc w:val="left"/>
      </w:pPr>
      <w:r>
        <w:t>19. DEPLOYMENT, RISK, AND PROJECT MANAGEMENT APPENDIX</w:t>
      </w:r>
    </w:p>
    <w:p>
      <w:pPr>
        <w:spacing w:line="360" w:lineRule="auto" w:after="120" w:before="0"/>
        <w:jc w:val="both"/>
      </w:pPr>
      <w:r>
        <w:t>Capstone evaluation is stronger when technical depth is paired with delivery discipline. This appendix summarizes deployment readiness, likely risks, and a practical milestone plan that can be used to explain how the project evolved from concept to working platform.</w:t>
      </w:r>
    </w:p>
    <w:p>
      <w:pPr>
        <w:pStyle w:val="Heading2"/>
        <w:spacing w:line="288" w:lineRule="auto" w:after="80" w:before="80"/>
        <w:jc w:val="left"/>
      </w:pPr>
      <w:r>
        <w:t>19.1 Deployment Checklist</w:t>
      </w:r>
    </w:p>
    <w:p>
      <w:pPr>
        <w:pStyle w:val="ListNumber"/>
        <w:spacing w:line="360" w:lineRule="auto" w:after="120" w:before="0"/>
        <w:jc w:val="both"/>
      </w:pPr>
      <w:r>
        <w:t>Prepare backend environment variables and database credentials.</w:t>
      </w:r>
    </w:p>
    <w:p>
      <w:pPr>
        <w:pStyle w:val="ListNumber"/>
        <w:spacing w:line="360" w:lineRule="auto" w:after="120" w:before="0"/>
        <w:jc w:val="both"/>
      </w:pPr>
      <w:r>
        <w:t>Run migrations and collect static assets during backend startup.</w:t>
      </w:r>
    </w:p>
    <w:p>
      <w:pPr>
        <w:pStyle w:val="ListNumber"/>
        <w:spacing w:line="360" w:lineRule="auto" w:after="120" w:before="0"/>
        <w:jc w:val="both"/>
      </w:pPr>
      <w:r>
        <w:t>Validate PostgreSQL and Redis health checks before exposing the application.</w:t>
      </w:r>
    </w:p>
    <w:p>
      <w:pPr>
        <w:pStyle w:val="ListNumber"/>
        <w:spacing w:line="360" w:lineRule="auto" w:after="120" w:before="0"/>
        <w:jc w:val="both"/>
      </w:pPr>
      <w:r>
        <w:t>Confirm Celery worker and beat processes are connected to the same broker.</w:t>
      </w:r>
    </w:p>
    <w:p>
      <w:pPr>
        <w:pStyle w:val="ListNumber"/>
        <w:spacing w:line="360" w:lineRule="auto" w:after="120" w:before="0"/>
        <w:jc w:val="both"/>
      </w:pPr>
      <w:r>
        <w:t>Create an administrative account and at least one organization.</w:t>
      </w:r>
    </w:p>
    <w:p>
      <w:pPr>
        <w:pStyle w:val="ListNumber"/>
        <w:spacing w:line="360" w:lineRule="auto" w:after="120" w:before="0"/>
        <w:jc w:val="both"/>
      </w:pPr>
      <w:r>
        <w:t>Configure an LLM provider or deliberately test the rule-only fallback path.</w:t>
      </w:r>
    </w:p>
    <w:p>
      <w:pPr>
        <w:pStyle w:val="ListNumber"/>
        <w:spacing w:line="360" w:lineRule="auto" w:after="120" w:before="0"/>
        <w:jc w:val="both"/>
      </w:pPr>
      <w:r>
        <w:t>Rotate organization access token before onboarding devices in a shared lab.</w:t>
      </w:r>
    </w:p>
    <w:p>
      <w:pPr>
        <w:pStyle w:val="ListNumber"/>
        <w:spacing w:line="360" w:lineRule="auto" w:after="120" w:before="0"/>
        <w:jc w:val="both"/>
      </w:pPr>
      <w:r>
        <w:t>Verify health endpoint, dashboard overview, and alert queue before the demonstration.</w:t>
      </w:r>
    </w:p>
    <w:p>
      <w:pPr>
        <w:pStyle w:val="Heading2"/>
        <w:spacing w:line="288" w:lineRule="auto" w:after="80" w:before="80"/>
        <w:jc w:val="left"/>
      </w:pPr>
      <w:r>
        <w:t>19.2 Risk Register</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Risk</w:t>
            </w:r>
          </w:p>
        </w:tc>
        <w:tc>
          <w:tcPr>
            <w:tcW w:type="dxa" w:w="3010"/>
          </w:tcPr>
          <w:p>
            <w:r>
              <w:rPr>
                <w:rFonts w:ascii="Times New Roman" w:hAnsi="Times New Roman"/>
                <w:b/>
                <w:sz w:val="22"/>
              </w:rPr>
              <w:t>Impact</w:t>
            </w:r>
          </w:p>
        </w:tc>
        <w:tc>
          <w:tcPr>
            <w:tcW w:type="dxa" w:w="3010"/>
          </w:tcPr>
          <w:p>
            <w:r>
              <w:rPr>
                <w:rFonts w:ascii="Times New Roman" w:hAnsi="Times New Roman"/>
                <w:b/>
                <w:sz w:val="22"/>
              </w:rPr>
              <w:t>Mitigation</w:t>
            </w:r>
          </w:p>
        </w:tc>
      </w:tr>
      <w:tr>
        <w:tc>
          <w:tcPr>
            <w:tcW w:type="dxa" w:w="3010"/>
          </w:tcPr>
          <w:p>
            <w:r>
              <w:rPr>
                <w:rFonts w:ascii="Times New Roman" w:hAnsi="Times New Roman"/>
                <w:sz w:val="22"/>
              </w:rPr>
              <w:t>Provider API outage or invalid model output</w:t>
            </w:r>
          </w:p>
        </w:tc>
        <w:tc>
          <w:tcPr>
            <w:tcW w:type="dxa" w:w="3010"/>
          </w:tcPr>
          <w:p>
            <w:r>
              <w:rPr>
                <w:rFonts w:ascii="Times New Roman" w:hAnsi="Times New Roman"/>
                <w:sz w:val="22"/>
              </w:rPr>
              <w:t>Alert enrichment quality may fall</w:t>
            </w:r>
          </w:p>
        </w:tc>
        <w:tc>
          <w:tcPr>
            <w:tcW w:type="dxa" w:w="3010"/>
          </w:tcPr>
          <w:p>
            <w:r>
              <w:rPr>
                <w:rFonts w:ascii="Times New Roman" w:hAnsi="Times New Roman"/>
                <w:sz w:val="22"/>
              </w:rPr>
              <w:t>Use strict validation and fallback handling</w:t>
            </w:r>
          </w:p>
        </w:tc>
      </w:tr>
      <w:tr>
        <w:tc>
          <w:tcPr>
            <w:tcW w:type="dxa" w:w="3010"/>
          </w:tcPr>
          <w:p>
            <w:r>
              <w:rPr>
                <w:rFonts w:ascii="Times New Roman" w:hAnsi="Times New Roman"/>
                <w:sz w:val="22"/>
              </w:rPr>
              <w:t>Improper tenant scoping</w:t>
            </w:r>
          </w:p>
        </w:tc>
        <w:tc>
          <w:tcPr>
            <w:tcW w:type="dxa" w:w="3010"/>
          </w:tcPr>
          <w:p>
            <w:r>
              <w:rPr>
                <w:rFonts w:ascii="Times New Roman" w:hAnsi="Times New Roman"/>
                <w:sz w:val="22"/>
              </w:rPr>
              <w:t>Cross-tenant data exposure</w:t>
            </w:r>
          </w:p>
        </w:tc>
        <w:tc>
          <w:tcPr>
            <w:tcW w:type="dxa" w:w="3010"/>
          </w:tcPr>
          <w:p>
            <w:r>
              <w:rPr>
                <w:rFonts w:ascii="Times New Roman" w:hAnsi="Times New Roman"/>
                <w:sz w:val="22"/>
              </w:rPr>
              <w:t>Enforce organization ownership and role checks at the API layer</w:t>
            </w:r>
          </w:p>
        </w:tc>
      </w:tr>
      <w:tr>
        <w:tc>
          <w:tcPr>
            <w:tcW w:type="dxa" w:w="3010"/>
          </w:tcPr>
          <w:p>
            <w:r>
              <w:rPr>
                <w:rFonts w:ascii="Times New Roman" w:hAnsi="Times New Roman"/>
                <w:sz w:val="22"/>
              </w:rPr>
              <w:t>Noisy event ingestion</w:t>
            </w:r>
          </w:p>
        </w:tc>
        <w:tc>
          <w:tcPr>
            <w:tcW w:type="dxa" w:w="3010"/>
          </w:tcPr>
          <w:p>
            <w:r>
              <w:rPr>
                <w:rFonts w:ascii="Times New Roman" w:hAnsi="Times New Roman"/>
                <w:sz w:val="22"/>
              </w:rPr>
              <w:t>Excessive false positives</w:t>
            </w:r>
          </w:p>
        </w:tc>
        <w:tc>
          <w:tcPr>
            <w:tcW w:type="dxa" w:w="3010"/>
          </w:tcPr>
          <w:p>
            <w:r>
              <w:rPr>
                <w:rFonts w:ascii="Times New Roman" w:hAnsi="Times New Roman"/>
                <w:sz w:val="22"/>
              </w:rPr>
              <w:t>Use severity filtering, aggregation windows, and rule tuning</w:t>
            </w:r>
          </w:p>
        </w:tc>
      </w:tr>
      <w:tr>
        <w:tc>
          <w:tcPr>
            <w:tcW w:type="dxa" w:w="3010"/>
          </w:tcPr>
          <w:p>
            <w:r>
              <w:rPr>
                <w:rFonts w:ascii="Times New Roman" w:hAnsi="Times New Roman"/>
                <w:sz w:val="22"/>
              </w:rPr>
              <w:t>Weak onboarding hygiene</w:t>
            </w:r>
          </w:p>
        </w:tc>
        <w:tc>
          <w:tcPr>
            <w:tcW w:type="dxa" w:w="3010"/>
          </w:tcPr>
          <w:p>
            <w:r>
              <w:rPr>
                <w:rFonts w:ascii="Times New Roman" w:hAnsi="Times New Roman"/>
                <w:sz w:val="22"/>
              </w:rPr>
              <w:t>Unauthorized agents may attempt enrollment</w:t>
            </w:r>
          </w:p>
        </w:tc>
        <w:tc>
          <w:tcPr>
            <w:tcW w:type="dxa" w:w="3010"/>
          </w:tcPr>
          <w:p>
            <w:r>
              <w:rPr>
                <w:rFonts w:ascii="Times New Roman" w:hAnsi="Times New Roman"/>
                <w:sz w:val="22"/>
              </w:rPr>
              <w:t>Use expiring tokens and rotate organization access tokens</w:t>
            </w:r>
          </w:p>
        </w:tc>
      </w:tr>
      <w:tr>
        <w:tc>
          <w:tcPr>
            <w:tcW w:type="dxa" w:w="3010"/>
          </w:tcPr>
          <w:p>
            <w:r>
              <w:rPr>
                <w:rFonts w:ascii="Times New Roman" w:hAnsi="Times New Roman"/>
                <w:sz w:val="22"/>
              </w:rPr>
              <w:t>Long-running queue backlog</w:t>
            </w:r>
          </w:p>
        </w:tc>
        <w:tc>
          <w:tcPr>
            <w:tcW w:type="dxa" w:w="3010"/>
          </w:tcPr>
          <w:p>
            <w:r>
              <w:rPr>
                <w:rFonts w:ascii="Times New Roman" w:hAnsi="Times New Roman"/>
                <w:sz w:val="22"/>
              </w:rPr>
              <w:t>Delayed alert creation</w:t>
            </w:r>
          </w:p>
        </w:tc>
        <w:tc>
          <w:tcPr>
            <w:tcW w:type="dxa" w:w="3010"/>
          </w:tcPr>
          <w:p>
            <w:r>
              <w:rPr>
                <w:rFonts w:ascii="Times New Roman" w:hAnsi="Times New Roman"/>
                <w:sz w:val="22"/>
              </w:rPr>
              <w:t>Scale worker concurrency and monitor scheduler cadence</w:t>
            </w:r>
          </w:p>
        </w:tc>
      </w:tr>
      <w:tr>
        <w:tc>
          <w:tcPr>
            <w:tcW w:type="dxa" w:w="3010"/>
          </w:tcPr>
          <w:p>
            <w:r>
              <w:rPr>
                <w:rFonts w:ascii="Times New Roman" w:hAnsi="Times New Roman"/>
                <w:sz w:val="22"/>
              </w:rPr>
              <w:t>Collector permission gaps</w:t>
            </w:r>
          </w:p>
        </w:tc>
        <w:tc>
          <w:tcPr>
            <w:tcW w:type="dxa" w:w="3010"/>
          </w:tcPr>
          <w:p>
            <w:r>
              <w:rPr>
                <w:rFonts w:ascii="Times New Roman" w:hAnsi="Times New Roman"/>
                <w:sz w:val="22"/>
              </w:rPr>
              <w:t>Reduced endpoint visibility</w:t>
            </w:r>
          </w:p>
        </w:tc>
        <w:tc>
          <w:tcPr>
            <w:tcW w:type="dxa" w:w="3010"/>
          </w:tcPr>
          <w:p>
            <w:r>
              <w:rPr>
                <w:rFonts w:ascii="Times New Roman" w:hAnsi="Times New Roman"/>
                <w:sz w:val="22"/>
              </w:rPr>
              <w:t>Expose scheduler guidance and document elevated-permission requirements</w:t>
            </w:r>
          </w:p>
        </w:tc>
      </w:tr>
      <w:tr>
        <w:tc>
          <w:tcPr>
            <w:tcW w:type="dxa" w:w="3010"/>
          </w:tcPr>
          <w:p>
            <w:r>
              <w:rPr>
                <w:rFonts w:ascii="Times New Roman" w:hAnsi="Times New Roman"/>
                <w:sz w:val="22"/>
              </w:rPr>
              <w:t>Frontend bundle growth</w:t>
            </w:r>
          </w:p>
        </w:tc>
        <w:tc>
          <w:tcPr>
            <w:tcW w:type="dxa" w:w="3010"/>
          </w:tcPr>
          <w:p>
            <w:r>
              <w:rPr>
                <w:rFonts w:ascii="Times New Roman" w:hAnsi="Times New Roman"/>
                <w:sz w:val="22"/>
              </w:rPr>
              <w:t>Slower load or heavier client delivery</w:t>
            </w:r>
          </w:p>
        </w:tc>
        <w:tc>
          <w:tcPr>
            <w:tcW w:type="dxa" w:w="3010"/>
          </w:tcPr>
          <w:p>
            <w:r>
              <w:rPr>
                <w:rFonts w:ascii="Times New Roman" w:hAnsi="Times New Roman"/>
                <w:sz w:val="22"/>
              </w:rPr>
              <w:t>Introduce code splitting and chunk tuning in later iterations</w:t>
            </w:r>
          </w:p>
        </w:tc>
      </w:tr>
      <w:tr>
        <w:tc>
          <w:tcPr>
            <w:tcW w:type="dxa" w:w="3010"/>
          </w:tcPr>
          <w:p>
            <w:r>
              <w:rPr>
                <w:rFonts w:ascii="Times New Roman" w:hAnsi="Times New Roman"/>
                <w:sz w:val="22"/>
              </w:rPr>
              <w:t>Limited long-term benchmarking</w:t>
            </w:r>
          </w:p>
        </w:tc>
        <w:tc>
          <w:tcPr>
            <w:tcW w:type="dxa" w:w="3010"/>
          </w:tcPr>
          <w:p>
            <w:r>
              <w:rPr>
                <w:rFonts w:ascii="Times New Roman" w:hAnsi="Times New Roman"/>
                <w:sz w:val="22"/>
              </w:rPr>
              <w:t>Unknown scale ceiling</w:t>
            </w:r>
          </w:p>
        </w:tc>
        <w:tc>
          <w:tcPr>
            <w:tcW w:type="dxa" w:w="3010"/>
          </w:tcPr>
          <w:p>
            <w:r>
              <w:rPr>
                <w:rFonts w:ascii="Times New Roman" w:hAnsi="Times New Roman"/>
                <w:sz w:val="22"/>
              </w:rPr>
              <w:t>Plan future load testing and performance profiling</w:t>
            </w:r>
          </w:p>
        </w:tc>
      </w:tr>
    </w:tbl>
    <w:p>
      <w:pPr>
        <w:pStyle w:val="Heading2"/>
        <w:spacing w:line="288" w:lineRule="auto" w:after="80" w:before="80"/>
        <w:jc w:val="left"/>
      </w:pPr>
      <w:r>
        <w:t>19.3 Milestone Timeline</w:t>
      </w:r>
    </w:p>
    <w:tbl>
      <w:tblPr>
        <w:tblStyle w:val="TableGrid"/>
        <w:tblW w:type="auto" w:w="0"/>
        <w:tblLook w:firstColumn="1" w:firstRow="1" w:lastColumn="0" w:lastRow="0" w:noHBand="0" w:noVBand="1" w:val="04A0"/>
      </w:tblPr>
      <w:tblGrid>
        <w:gridCol w:w="3010"/>
        <w:gridCol w:w="3010"/>
        <w:gridCol w:w="3010"/>
      </w:tblGrid>
      <w:tr>
        <w:tc>
          <w:tcPr>
            <w:tcW w:type="dxa" w:w="3010"/>
          </w:tcPr>
          <w:p>
            <w:r>
              <w:rPr>
                <w:rFonts w:ascii="Times New Roman" w:hAnsi="Times New Roman"/>
                <w:b/>
                <w:sz w:val="22"/>
              </w:rPr>
              <w:t>Week / Phase</w:t>
            </w:r>
          </w:p>
        </w:tc>
        <w:tc>
          <w:tcPr>
            <w:tcW w:type="dxa" w:w="3010"/>
          </w:tcPr>
          <w:p>
            <w:r>
              <w:rPr>
                <w:rFonts w:ascii="Times New Roman" w:hAnsi="Times New Roman"/>
                <w:b/>
                <w:sz w:val="22"/>
              </w:rPr>
              <w:t>Major Work Item</w:t>
            </w:r>
          </w:p>
        </w:tc>
        <w:tc>
          <w:tcPr>
            <w:tcW w:type="dxa" w:w="3010"/>
          </w:tcPr>
          <w:p>
            <w:r>
              <w:rPr>
                <w:rFonts w:ascii="Times New Roman" w:hAnsi="Times New Roman"/>
                <w:b/>
                <w:sz w:val="22"/>
              </w:rPr>
              <w:t>Deliverable</w:t>
            </w:r>
          </w:p>
        </w:tc>
      </w:tr>
      <w:tr>
        <w:tc>
          <w:tcPr>
            <w:tcW w:type="dxa" w:w="3010"/>
          </w:tcPr>
          <w:p>
            <w:r>
              <w:rPr>
                <w:rFonts w:ascii="Times New Roman" w:hAnsi="Times New Roman"/>
                <w:sz w:val="22"/>
              </w:rPr>
              <w:t>Week 1</w:t>
            </w:r>
          </w:p>
        </w:tc>
        <w:tc>
          <w:tcPr>
            <w:tcW w:type="dxa" w:w="3010"/>
          </w:tcPr>
          <w:p>
            <w:r>
              <w:rPr>
                <w:rFonts w:ascii="Times New Roman" w:hAnsi="Times New Roman"/>
                <w:sz w:val="22"/>
              </w:rPr>
              <w:t>Problem framing and platform selection</w:t>
            </w:r>
          </w:p>
        </w:tc>
        <w:tc>
          <w:tcPr>
            <w:tcW w:type="dxa" w:w="3010"/>
          </w:tcPr>
          <w:p>
            <w:r>
              <w:rPr>
                <w:rFonts w:ascii="Times New Roman" w:hAnsi="Times New Roman"/>
                <w:sz w:val="22"/>
              </w:rPr>
              <w:t>Capstone scope definition</w:t>
            </w:r>
          </w:p>
        </w:tc>
      </w:tr>
      <w:tr>
        <w:tc>
          <w:tcPr>
            <w:tcW w:type="dxa" w:w="3010"/>
          </w:tcPr>
          <w:p>
            <w:r>
              <w:rPr>
                <w:rFonts w:ascii="Times New Roman" w:hAnsi="Times New Roman"/>
                <w:sz w:val="22"/>
              </w:rPr>
              <w:t>Week 2</w:t>
            </w:r>
          </w:p>
        </w:tc>
        <w:tc>
          <w:tcPr>
            <w:tcW w:type="dxa" w:w="3010"/>
          </w:tcPr>
          <w:p>
            <w:r>
              <w:rPr>
                <w:rFonts w:ascii="Times New Roman" w:hAnsi="Times New Roman"/>
                <w:sz w:val="22"/>
              </w:rPr>
              <w:t>Architecture planning and tenant workflow design</w:t>
            </w:r>
          </w:p>
        </w:tc>
        <w:tc>
          <w:tcPr>
            <w:tcW w:type="dxa" w:w="3010"/>
          </w:tcPr>
          <w:p>
            <w:r>
              <w:rPr>
                <w:rFonts w:ascii="Times New Roman" w:hAnsi="Times New Roman"/>
                <w:sz w:val="22"/>
              </w:rPr>
              <w:t>Initial system blueprint</w:t>
            </w:r>
          </w:p>
        </w:tc>
      </w:tr>
      <w:tr>
        <w:tc>
          <w:tcPr>
            <w:tcW w:type="dxa" w:w="3010"/>
          </w:tcPr>
          <w:p>
            <w:r>
              <w:rPr>
                <w:rFonts w:ascii="Times New Roman" w:hAnsi="Times New Roman"/>
                <w:sz w:val="22"/>
              </w:rPr>
              <w:t>Week 3</w:t>
            </w:r>
          </w:p>
        </w:tc>
        <w:tc>
          <w:tcPr>
            <w:tcW w:type="dxa" w:w="3010"/>
          </w:tcPr>
          <w:p>
            <w:r>
              <w:rPr>
                <w:rFonts w:ascii="Times New Roman" w:hAnsi="Times New Roman"/>
                <w:sz w:val="22"/>
              </w:rPr>
              <w:t>Data model and API contract drafting</w:t>
            </w:r>
          </w:p>
        </w:tc>
        <w:tc>
          <w:tcPr>
            <w:tcW w:type="dxa" w:w="3010"/>
          </w:tcPr>
          <w:p>
            <w:r>
              <w:rPr>
                <w:rFonts w:ascii="Times New Roman" w:hAnsi="Times New Roman"/>
                <w:sz w:val="22"/>
              </w:rPr>
              <w:t>Core backend schema</w:t>
            </w:r>
          </w:p>
        </w:tc>
      </w:tr>
      <w:tr>
        <w:tc>
          <w:tcPr>
            <w:tcW w:type="dxa" w:w="3010"/>
          </w:tcPr>
          <w:p>
            <w:r>
              <w:rPr>
                <w:rFonts w:ascii="Times New Roman" w:hAnsi="Times New Roman"/>
                <w:sz w:val="22"/>
              </w:rPr>
              <w:t>Week 4</w:t>
            </w:r>
          </w:p>
        </w:tc>
        <w:tc>
          <w:tcPr>
            <w:tcW w:type="dxa" w:w="3010"/>
          </w:tcPr>
          <w:p>
            <w:r>
              <w:rPr>
                <w:rFonts w:ascii="Times New Roman" w:hAnsi="Times New Roman"/>
                <w:sz w:val="22"/>
              </w:rPr>
              <w:t>Authentication and tenancy foundation</w:t>
            </w:r>
          </w:p>
        </w:tc>
        <w:tc>
          <w:tcPr>
            <w:tcW w:type="dxa" w:w="3010"/>
          </w:tcPr>
          <w:p>
            <w:r>
              <w:rPr>
                <w:rFonts w:ascii="Times New Roman" w:hAnsi="Times New Roman"/>
                <w:sz w:val="22"/>
              </w:rPr>
              <w:t>User/tenant scoped backend</w:t>
            </w:r>
          </w:p>
        </w:tc>
      </w:tr>
      <w:tr>
        <w:tc>
          <w:tcPr>
            <w:tcW w:type="dxa" w:w="3010"/>
          </w:tcPr>
          <w:p>
            <w:r>
              <w:rPr>
                <w:rFonts w:ascii="Times New Roman" w:hAnsi="Times New Roman"/>
                <w:sz w:val="22"/>
              </w:rPr>
              <w:t>Week 5</w:t>
            </w:r>
          </w:p>
        </w:tc>
        <w:tc>
          <w:tcPr>
            <w:tcW w:type="dxa" w:w="3010"/>
          </w:tcPr>
          <w:p>
            <w:r>
              <w:rPr>
                <w:rFonts w:ascii="Times New Roman" w:hAnsi="Times New Roman"/>
                <w:sz w:val="22"/>
              </w:rPr>
              <w:t>Agent onboarding endpoints</w:t>
            </w:r>
          </w:p>
        </w:tc>
        <w:tc>
          <w:tcPr>
            <w:tcW w:type="dxa" w:w="3010"/>
          </w:tcPr>
          <w:p>
            <w:r>
              <w:rPr>
                <w:rFonts w:ascii="Times New Roman" w:hAnsi="Times New Roman"/>
                <w:sz w:val="22"/>
              </w:rPr>
              <w:t>Enrollment and quick-enroll flows</w:t>
            </w:r>
          </w:p>
        </w:tc>
      </w:tr>
      <w:tr>
        <w:tc>
          <w:tcPr>
            <w:tcW w:type="dxa" w:w="3010"/>
          </w:tcPr>
          <w:p>
            <w:r>
              <w:rPr>
                <w:rFonts w:ascii="Times New Roman" w:hAnsi="Times New Roman"/>
                <w:sz w:val="22"/>
              </w:rPr>
              <w:t>Week 6</w:t>
            </w:r>
          </w:p>
        </w:tc>
        <w:tc>
          <w:tcPr>
            <w:tcW w:type="dxa" w:w="3010"/>
          </w:tcPr>
          <w:p>
            <w:r>
              <w:rPr>
                <w:rFonts w:ascii="Times New Roman" w:hAnsi="Times New Roman"/>
                <w:sz w:val="22"/>
              </w:rPr>
              <w:t>Telemetry ingest pipeline</w:t>
            </w:r>
          </w:p>
        </w:tc>
        <w:tc>
          <w:tcPr>
            <w:tcW w:type="dxa" w:w="3010"/>
          </w:tcPr>
          <w:p>
            <w:r>
              <w:rPr>
                <w:rFonts w:ascii="Times New Roman" w:hAnsi="Times New Roman"/>
                <w:sz w:val="22"/>
              </w:rPr>
              <w:t>Event acceptance and storage</w:t>
            </w:r>
          </w:p>
        </w:tc>
      </w:tr>
      <w:tr>
        <w:tc>
          <w:tcPr>
            <w:tcW w:type="dxa" w:w="3010"/>
          </w:tcPr>
          <w:p>
            <w:r>
              <w:rPr>
                <w:rFonts w:ascii="Times New Roman" w:hAnsi="Times New Roman"/>
                <w:sz w:val="22"/>
              </w:rPr>
              <w:t>Week 7</w:t>
            </w:r>
          </w:p>
        </w:tc>
        <w:tc>
          <w:tcPr>
            <w:tcW w:type="dxa" w:w="3010"/>
          </w:tcPr>
          <w:p>
            <w:r>
              <w:rPr>
                <w:rFonts w:ascii="Times New Roman" w:hAnsi="Times New Roman"/>
                <w:sz w:val="22"/>
              </w:rPr>
              <w:t>Scheduler and aggregate window design</w:t>
            </w:r>
          </w:p>
        </w:tc>
        <w:tc>
          <w:tcPr>
            <w:tcW w:type="dxa" w:w="3010"/>
          </w:tcPr>
          <w:p>
            <w:r>
              <w:rPr>
                <w:rFonts w:ascii="Times New Roman" w:hAnsi="Times New Roman"/>
                <w:sz w:val="22"/>
              </w:rPr>
              <w:t>Background analysis foundation</w:t>
            </w:r>
          </w:p>
        </w:tc>
      </w:tr>
      <w:tr>
        <w:tc>
          <w:tcPr>
            <w:tcW w:type="dxa" w:w="3010"/>
          </w:tcPr>
          <w:p>
            <w:r>
              <w:rPr>
                <w:rFonts w:ascii="Times New Roman" w:hAnsi="Times New Roman"/>
                <w:sz w:val="22"/>
              </w:rPr>
              <w:t>Week 8</w:t>
            </w:r>
          </w:p>
        </w:tc>
        <w:tc>
          <w:tcPr>
            <w:tcW w:type="dxa" w:w="3010"/>
          </w:tcPr>
          <w:p>
            <w:r>
              <w:rPr>
                <w:rFonts w:ascii="Times New Roman" w:hAnsi="Times New Roman"/>
                <w:sz w:val="22"/>
              </w:rPr>
              <w:t>LLM integration and JSON validation</w:t>
            </w:r>
          </w:p>
        </w:tc>
        <w:tc>
          <w:tcPr>
            <w:tcW w:type="dxa" w:w="3010"/>
          </w:tcPr>
          <w:p>
            <w:r>
              <w:rPr>
                <w:rFonts w:ascii="Times New Roman" w:hAnsi="Times New Roman"/>
                <w:sz w:val="22"/>
              </w:rPr>
              <w:t>Model-assisted reasoning path</w:t>
            </w:r>
          </w:p>
        </w:tc>
      </w:tr>
      <w:tr>
        <w:tc>
          <w:tcPr>
            <w:tcW w:type="dxa" w:w="3010"/>
          </w:tcPr>
          <w:p>
            <w:r>
              <w:rPr>
                <w:rFonts w:ascii="Times New Roman" w:hAnsi="Times New Roman"/>
                <w:sz w:val="22"/>
              </w:rPr>
              <w:t>Week 9</w:t>
            </w:r>
          </w:p>
        </w:tc>
        <w:tc>
          <w:tcPr>
            <w:tcW w:type="dxa" w:w="3010"/>
          </w:tcPr>
          <w:p>
            <w:r>
              <w:rPr>
                <w:rFonts w:ascii="Times New Roman" w:hAnsi="Times New Roman"/>
                <w:sz w:val="22"/>
              </w:rPr>
              <w:t>Alert lifecycle and dashboard metrics</w:t>
            </w:r>
          </w:p>
        </w:tc>
        <w:tc>
          <w:tcPr>
            <w:tcW w:type="dxa" w:w="3010"/>
          </w:tcPr>
          <w:p>
            <w:r>
              <w:rPr>
                <w:rFonts w:ascii="Times New Roman" w:hAnsi="Times New Roman"/>
                <w:sz w:val="22"/>
              </w:rPr>
              <w:t>Usable analyst outputs</w:t>
            </w:r>
          </w:p>
        </w:tc>
      </w:tr>
      <w:tr>
        <w:tc>
          <w:tcPr>
            <w:tcW w:type="dxa" w:w="3010"/>
          </w:tcPr>
          <w:p>
            <w:r>
              <w:rPr>
                <w:rFonts w:ascii="Times New Roman" w:hAnsi="Times New Roman"/>
                <w:sz w:val="22"/>
              </w:rPr>
              <w:t>Week 10</w:t>
            </w:r>
          </w:p>
        </w:tc>
        <w:tc>
          <w:tcPr>
            <w:tcW w:type="dxa" w:w="3010"/>
          </w:tcPr>
          <w:p>
            <w:r>
              <w:rPr>
                <w:rFonts w:ascii="Times New Roman" w:hAnsi="Times New Roman"/>
                <w:sz w:val="22"/>
              </w:rPr>
              <w:t>Frontend operational pages</w:t>
            </w:r>
          </w:p>
        </w:tc>
        <w:tc>
          <w:tcPr>
            <w:tcW w:type="dxa" w:w="3010"/>
          </w:tcPr>
          <w:p>
            <w:r>
              <w:rPr>
                <w:rFonts w:ascii="Times New Roman" w:hAnsi="Times New Roman"/>
                <w:sz w:val="22"/>
              </w:rPr>
              <w:t>Agents, alerts, scheduler, rules, and LLM config UI</w:t>
            </w:r>
          </w:p>
        </w:tc>
      </w:tr>
      <w:tr>
        <w:tc>
          <w:tcPr>
            <w:tcW w:type="dxa" w:w="3010"/>
          </w:tcPr>
          <w:p>
            <w:r>
              <w:rPr>
                <w:rFonts w:ascii="Times New Roman" w:hAnsi="Times New Roman"/>
                <w:sz w:val="22"/>
              </w:rPr>
              <w:t>Week 11</w:t>
            </w:r>
          </w:p>
        </w:tc>
        <w:tc>
          <w:tcPr>
            <w:tcW w:type="dxa" w:w="3010"/>
          </w:tcPr>
          <w:p>
            <w:r>
              <w:rPr>
                <w:rFonts w:ascii="Times New Roman" w:hAnsi="Times New Roman"/>
                <w:sz w:val="22"/>
              </w:rPr>
              <w:t>Packaging and smoke validation</w:t>
            </w:r>
          </w:p>
        </w:tc>
        <w:tc>
          <w:tcPr>
            <w:tcW w:type="dxa" w:w="3010"/>
          </w:tcPr>
          <w:p>
            <w:r>
              <w:rPr>
                <w:rFonts w:ascii="Times New Roman" w:hAnsi="Times New Roman"/>
                <w:sz w:val="22"/>
              </w:rPr>
              <w:t>Cross-platform agent artifacts and tests</w:t>
            </w:r>
          </w:p>
        </w:tc>
      </w:tr>
      <w:tr>
        <w:tc>
          <w:tcPr>
            <w:tcW w:type="dxa" w:w="3010"/>
          </w:tcPr>
          <w:p>
            <w:r>
              <w:rPr>
                <w:rFonts w:ascii="Times New Roman" w:hAnsi="Times New Roman"/>
                <w:sz w:val="22"/>
              </w:rPr>
              <w:t>Week 12</w:t>
            </w:r>
          </w:p>
        </w:tc>
        <w:tc>
          <w:tcPr>
            <w:tcW w:type="dxa" w:w="3010"/>
          </w:tcPr>
          <w:p>
            <w:r>
              <w:rPr>
                <w:rFonts w:ascii="Times New Roman" w:hAnsi="Times New Roman"/>
                <w:sz w:val="22"/>
              </w:rPr>
              <w:t>Documentation and final report preparation</w:t>
            </w:r>
          </w:p>
        </w:tc>
        <w:tc>
          <w:tcPr>
            <w:tcW w:type="dxa" w:w="3010"/>
          </w:tcPr>
          <w:p>
            <w:r>
              <w:rPr>
                <w:rFonts w:ascii="Times New Roman" w:hAnsi="Times New Roman"/>
                <w:sz w:val="22"/>
              </w:rPr>
              <w:t>Submission-ready capstone package</w:t>
            </w:r>
          </w:p>
        </w:tc>
      </w:tr>
    </w:tbl>
    <w:p>
      <w:pPr>
        <w:pStyle w:val="Heading2"/>
        <w:spacing w:line="288" w:lineRule="auto" w:after="80" w:before="80"/>
        <w:jc w:val="left"/>
      </w:pPr>
      <w:r>
        <w:t>19.4 Final Delivery Notes</w:t>
      </w:r>
    </w:p>
    <w:p>
      <w:pPr>
        <w:spacing w:line="360" w:lineRule="auto" w:after="120" w:before="0"/>
        <w:jc w:val="both"/>
      </w:pPr>
      <w:r>
        <w:t>This project is already positioned well for an academic defense because it demonstrates a complete software lifecycle: problem analysis, requirements, architecture, implementation, validation, and deployment planning. The extra appendices also make it easier to defend the practical depth of the work.</w:t>
      </w:r>
    </w:p>
    <w:p>
      <w:pPr>
        <w:spacing w:line="360" w:lineRule="auto" w:after="120" w:before="0"/>
        <w:jc w:val="both"/>
      </w:pPr>
      <w:r>
        <w:t>If exact institutional formatting or a hard page-count target must be met, the easiest next step is to replace the reserved evidence pages with final screenshots and command captures. That will increase the visual richness of the report without weakening its technical relevance.</w:t>
      </w:r>
    </w:p>
    <w:p>
      <w:r>
        <w:br w:type="page"/>
      </w:r>
    </w:p>
    <w:p>
      <w:pPr>
        <w:pStyle w:val="Heading1"/>
        <w:spacing w:line="288" w:lineRule="auto" w:after="80" w:before="160"/>
        <w:jc w:val="left"/>
      </w:pPr>
      <w:r>
        <w:t>20. SUPPLEMENTARY TECHNICAL EVIDENCE RESERVE</w:t>
      </w:r>
    </w:p>
    <w:p>
      <w:pPr>
        <w:spacing w:line="360" w:lineRule="auto" w:after="120" w:before="0"/>
        <w:jc w:val="both"/>
      </w:pPr>
      <w:r>
        <w:t>The pages in this section are reserved for additional high-value material that often strengthens final capstone submissions: raw API captures, exported JSON structures, diagrams, validation outputs, and configuration snapshots. They are intentionally project-specific so the report can be enriched further without changing its overall structure.</w:t>
      </w:r>
    </w:p>
    <w:p>
      <w:r>
        <w:br w:type="page"/>
      </w:r>
    </w:p>
    <w:p>
      <w:pPr>
        <w:pStyle w:val="Heading2"/>
        <w:spacing w:line="288" w:lineRule="auto" w:after="80" w:before="80"/>
        <w:jc w:val="left"/>
      </w:pPr>
      <w:r>
        <w:t>20.1 Supplementary Page - Database Schema Visualization</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a diagram or export that visualizes the relationship between organizations, agents, events, aggregates, alerts, and providers.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20.2 Supplementary Page - Organization and Membership Records</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admin or API evidence showing how organizations and organization memberships are stored and reviewed.</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20.3 Supplementary Page - Enrollment Token Issue Evidence</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a capture of enrollment token creation with description, expiry, and one-time token behavior.</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20.4 Supplementary Page - Quick-Enroll Response Capture</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response returned after successful quick enrollment using the organization access token.</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20.5 Supplementary Page - Runtime Config Response</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JSON response returned from /api/v1/ingest/config/ for an enrolled agent.</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20.6 Supplementary Page - Event Ingest Acceptance</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accepted/dropped response and a sample event payload after telemetry submission.</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20.7 Supplementary Page - Aggregate Summary JSON</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an example aggregate window summary showing failed logins, suspicious commands, and external connections.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20.8 Supplementary Page - Validated LLM Output JSON</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a model response after strict schema validation and escalation metadata.</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20.9 Supplementary Page - Alert Record JSON</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a stored alert representation with threat_level, confidence, llm_analysis, and status.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20.10 Supplementary Page - Agent Local Configuration File</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the saved agent configuration file or a redacted example of its structure.</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20.11 Supplementary Page - Rule Pack Export JSON</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a rule pack export from the Rules page or backend response.</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20.12 Supplementary Page - Scheduler Profile Export</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scheduler-config JSON showing server and agent runtime settings.</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20.13 Supplementary Page - Artifact Manifest JSON</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agent-download manifest output listing platform, architecture, package type, size, and download path.</w:t>
              <w:br/>
              <w:br/>
              <w:t>Suggested content: full-page screenshot, command output, architectural diagram, or signed validation evidence.</w:t>
            </w:r>
          </w:p>
        </w:tc>
      </w:tr>
    </w:tbl>
    <w:p/>
    <w:p/>
    <w:p/>
    <w:p/>
    <w:p/>
    <w:p/>
    <w:p/>
    <w:p/>
    <w:p/>
    <w:p/>
    <w:p/>
    <w:p/>
    <w:p>
      <w:r>
        <w:br w:type="page"/>
      </w:r>
    </w:p>
    <w:p>
      <w:pPr>
        <w:pStyle w:val="Heading2"/>
        <w:spacing w:line="288" w:lineRule="auto" w:after="80" w:before="80"/>
        <w:jc w:val="left"/>
      </w:pPr>
      <w:r>
        <w:t>20.14 Supplementary Page - Final Deployment Proof</w:t>
      </w:r>
    </w:p>
    <w:tbl>
      <w:tblPr>
        <w:tblStyle w:val="TableGrid"/>
        <w:tblW w:type="auto" w:w="0"/>
        <w:tblLook w:firstColumn="1" w:firstRow="1" w:lastColumn="0" w:lastRow="0" w:noHBand="0" w:noVBand="1" w:val="04A0"/>
      </w:tblPr>
      <w:tblGrid>
        <w:gridCol w:w="9029"/>
      </w:tblGrid>
      <w:tr>
        <w:tc>
          <w:tcPr>
            <w:tcW w:type="dxa" w:w="9029"/>
          </w:tcPr>
          <w:p>
            <w:pPr>
              <w:spacing w:line="288" w:lineRule="auto" w:after="40" w:before="0"/>
              <w:jc w:val="left"/>
            </w:pPr>
            <w:r>
              <w:rPr>
                <w:rFonts w:ascii="Times New Roman" w:hAnsi="Times New Roman"/>
                <w:b/>
                <w:sz w:val="24"/>
              </w:rPr>
              <w:t>Insert Final Evidence Here</w:t>
              <w:br/>
            </w:r>
            <w:r>
              <w:rPr>
                <w:rFonts w:ascii="Times New Roman" w:hAnsi="Times New Roman"/>
                <w:sz w:val="22"/>
              </w:rPr>
              <w:t>Insert final docker compose or browser evidence demonstrating that the full stack is live and operational.</w:t>
              <w:br/>
              <w:br/>
              <w:t>Suggested content: full-page screenshot, command output, architectural diagram, or signed validation evidence.</w:t>
            </w:r>
          </w:p>
        </w:tc>
      </w:tr>
    </w:tbl>
    <w:p/>
    <w:p/>
    <w:p/>
    <w:p/>
    <w:p/>
    <w:p/>
    <w:p/>
    <w:p/>
    <w:p/>
    <w:p/>
    <w:p/>
    <w:p/>
    <w:p>
      <w:r>
        <w:br w:type="page"/>
      </w:r>
    </w:p>
    <w:p>
      <w:pPr>
        <w:pStyle w:val="Heading1"/>
        <w:spacing w:line="288" w:lineRule="auto" w:after="80" w:before="160"/>
        <w:jc w:val="left"/>
      </w:pPr>
      <w:r>
        <w:t>BIBLIOGRAPHY</w:t>
      </w:r>
    </w:p>
    <w:p>
      <w:pPr>
        <w:pStyle w:val="ListNumber"/>
        <w:spacing w:line="360" w:lineRule="auto" w:after="120" w:before="0"/>
        <w:jc w:val="both"/>
      </w:pPr>
      <w:r>
        <w:t>ScropIDS project repository documentation: README.md, docs/architecture.md, docs/api-contract.md, docs/smoke-test-saas.md.</w:t>
      </w:r>
    </w:p>
    <w:p>
      <w:pPr>
        <w:pStyle w:val="ListNumber"/>
        <w:spacing w:line="360" w:lineRule="auto" w:after="120" w:before="0"/>
        <w:jc w:val="both"/>
      </w:pPr>
      <w:r>
        <w:t>Django Documentation. https://docs.djangoproject.com/</w:t>
      </w:r>
    </w:p>
    <w:p>
      <w:pPr>
        <w:pStyle w:val="ListNumber"/>
        <w:spacing w:line="360" w:lineRule="auto" w:after="120" w:before="0"/>
        <w:jc w:val="both"/>
      </w:pPr>
      <w:r>
        <w:t>React Documentation. https://react.dev/</w:t>
      </w:r>
    </w:p>
    <w:p>
      <w:pPr>
        <w:pStyle w:val="ListNumber"/>
        <w:spacing w:line="360" w:lineRule="auto" w:after="120" w:before="0"/>
        <w:jc w:val="both"/>
      </w:pPr>
      <w:r>
        <w:t>Celery Documentation. https://docs.celeryq.dev/</w:t>
      </w:r>
    </w:p>
    <w:p>
      <w:pPr>
        <w:pStyle w:val="ListNumber"/>
        <w:spacing w:line="360" w:lineRule="auto" w:after="120" w:before="0"/>
        <w:jc w:val="both"/>
      </w:pPr>
      <w:r>
        <w:t>PostgreSQL Documentation. https://www.postgresql.org/docs/</w:t>
      </w:r>
    </w:p>
    <w:p>
      <w:pPr>
        <w:pStyle w:val="ListNumber"/>
        <w:spacing w:line="360" w:lineRule="auto" w:after="120" w:before="0"/>
        <w:jc w:val="both"/>
      </w:pPr>
      <w:r>
        <w:t>Docker Documentation. https://docs.docker.com/</w:t>
      </w:r>
    </w:p>
    <w:p>
      <w:pPr>
        <w:pStyle w:val="ListNumber"/>
        <w:spacing w:line="360" w:lineRule="auto" w:after="120" w:before="0"/>
        <w:jc w:val="both"/>
      </w:pPr>
      <w:r>
        <w:t>MITRE ATT&amp;CK. https://attack.mitre.org/</w:t>
      </w:r>
    </w:p>
    <w:p>
      <w:pPr>
        <w:pStyle w:val="ListNumber"/>
        <w:spacing w:line="360" w:lineRule="auto" w:after="120" w:before="0"/>
        <w:jc w:val="both"/>
      </w:pPr>
      <w:r>
        <w:t>NIST Cybersecurity Framework 2.0. https://www.nist.gov/cyberframework</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