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864"/>
          <w:sz w:val="64"/>
          <w:szCs w:val="64"/>
        </w:rPr>
        <w:t xml:space="preserve">AIML_AUDIT</w:t>
      </w:r>
    </w:p>
    <w:p>
      <w:pPr>
        <w:spacing w:after="100"/>
        <w:jc w:val="center"/>
      </w:pPr>
      <w:r>
        <w:rPr>
          <w:b/>
          <w:bCs/>
          <w:color w:val="0F6B5C"/>
          <w:sz w:val="40"/>
          <w:szCs w:val="40"/>
        </w:rPr>
        <w:t xml:space="preserve">Product Constitution</w:t>
      </w:r>
    </w:p>
    <w:p>
      <w:pPr>
        <w:spacing w:after="600"/>
        <w:jc w:val="center"/>
      </w:pPr>
      <w:r>
        <w:rPr>
          <w:i/>
          <w:iCs/>
          <w:color w:val="5A5A5A"/>
          <w:sz w:val="24"/>
          <w:szCs w:val="24"/>
        </w:rPr>
        <w:t xml:space="preserve">Version 2.4 — Reconciled Against Existing ADRs 001–006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Pr>
          <w:p>
            <w:r>
              <w:rPr>
                <w:b/>
                <w:bCs/>
                <w:color w:val="FFFFFF"/>
                <w:sz w:val="20"/>
                <w:szCs w:val="20"/>
              </w:rPr>
              <w:t xml:space="preserve">Field</w:t>
            </w:r>
          </w:p>
        </w:tc>
        <w:tc>
          <w:tcPr>
            <w:tcW w:type="dxa" w:w="6000"/>
            <w:shd w:fill="1F3864" w:val="clear"/>
          </w:tcPr>
          <w:p>
            <w:r>
              <w:rPr>
                <w:b/>
                <w:bCs/>
                <w:color w:val="FFFFFF"/>
                <w:sz w:val="20"/>
                <w:szCs w:val="20"/>
              </w:rPr>
              <w:t xml:space="preserve">Value</w:t>
            </w:r>
          </w:p>
        </w:tc>
      </w:tr>
      <w:tr>
        <w:tc>
          <w:tcPr>
            <w:tcW w:type="dxa" w:w="3000"/>
          </w:tcPr>
          <w:p>
            <w:r>
              <w:rPr>
                <w:b w:val="false"/>
                <w:bCs w:val="false"/>
                <w:sz w:val="20"/>
                <w:szCs w:val="20"/>
              </w:rPr>
              <w:t xml:space="preserve">Document Version</w:t>
            </w:r>
          </w:p>
        </w:tc>
        <w:tc>
          <w:tcPr>
            <w:tcW w:type="dxa" w:w="6000"/>
          </w:tcPr>
          <w:p>
            <w:r>
              <w:rPr>
                <w:b w:val="false"/>
                <w:bCs w:val="false"/>
                <w:sz w:val="20"/>
                <w:szCs w:val="20"/>
              </w:rPr>
              <w:t xml:space="preserve">2.4</w:t>
            </w:r>
          </w:p>
        </w:tc>
      </w:tr>
      <w:tr>
        <w:tc>
          <w:tcPr>
            <w:tcW w:type="dxa" w:w="3000"/>
          </w:tcPr>
          <w:p>
            <w:r>
              <w:rPr>
                <w:b w:val="false"/>
                <w:bCs w:val="false"/>
                <w:sz w:val="20"/>
                <w:szCs w:val="20"/>
              </w:rPr>
              <w:t xml:space="preserve">Document Type</w:t>
            </w:r>
          </w:p>
        </w:tc>
        <w:tc>
          <w:tcPr>
            <w:tcW w:type="dxa" w:w="6000"/>
          </w:tcPr>
          <w:p>
            <w:r>
              <w:rPr>
                <w:b w:val="false"/>
                <w:bCs w:val="false"/>
                <w:sz w:val="20"/>
                <w:szCs w:val="20"/>
              </w:rPr>
              <w:t xml:space="preserve">Enterprise Product Constitution</w:t>
            </w:r>
          </w:p>
        </w:tc>
      </w:tr>
      <w:tr>
        <w:tc>
          <w:tcPr>
            <w:tcW w:type="dxa" w:w="3000"/>
          </w:tcPr>
          <w:p>
            <w:r>
              <w:rPr>
                <w:b w:val="false"/>
                <w:bCs w:val="false"/>
                <w:sz w:val="20"/>
                <w:szCs w:val="20"/>
              </w:rPr>
              <w:t xml:space="preserve">Classification</w:t>
            </w:r>
          </w:p>
        </w:tc>
        <w:tc>
          <w:tcPr>
            <w:tcW w:type="dxa" w:w="6000"/>
          </w:tcPr>
          <w:p>
            <w:r>
              <w:rPr>
                <w:b w:val="false"/>
                <w:bCs w:val="false"/>
                <w:sz w:val="20"/>
                <w:szCs w:val="20"/>
              </w:rPr>
              <w:t xml:space="preserve">Internal Architecture Standard</w:t>
            </w:r>
          </w:p>
        </w:tc>
      </w:tr>
      <w:tr>
        <w:tc>
          <w:tcPr>
            <w:tcW w:type="dxa" w:w="3000"/>
          </w:tcPr>
          <w:p>
            <w:r>
              <w:rPr>
                <w:b w:val="false"/>
                <w:bCs w:val="false"/>
                <w:sz w:val="20"/>
                <w:szCs w:val="20"/>
              </w:rPr>
              <w:t xml:space="preserve">Product Name</w:t>
            </w:r>
          </w:p>
        </w:tc>
        <w:tc>
          <w:tcPr>
            <w:tcW w:type="dxa" w:w="6000"/>
          </w:tcPr>
          <w:p>
            <w:r>
              <w:rPr>
                <w:b w:val="false"/>
                <w:bCs w:val="false"/>
                <w:sz w:val="20"/>
                <w:szCs w:val="20"/>
              </w:rPr>
              <w:t xml:space="preserve">AIML_AUDIT</w:t>
            </w:r>
          </w:p>
        </w:tc>
      </w:tr>
      <w:tr>
        <w:tc>
          <w:tcPr>
            <w:tcW w:type="dxa" w:w="3000"/>
          </w:tcPr>
          <w:p>
            <w:r>
              <w:rPr>
                <w:b w:val="false"/>
                <w:bCs w:val="false"/>
                <w:sz w:val="20"/>
                <w:szCs w:val="20"/>
              </w:rPr>
              <w:t xml:space="preserve">Author / Architecture Owner</w:t>
            </w:r>
          </w:p>
        </w:tc>
        <w:tc>
          <w:tcPr>
            <w:tcW w:type="dxa" w:w="6000"/>
          </w:tcPr>
          <w:p>
            <w:r>
              <w:rPr>
                <w:b w:val="false"/>
                <w:bCs w:val="false"/>
                <w:sz w:val="20"/>
                <w:szCs w:val="20"/>
              </w:rPr>
              <w:t xml:space="preserve">AP Nagarajan</w:t>
            </w:r>
          </w:p>
        </w:tc>
      </w:tr>
      <w:tr>
        <w:tc>
          <w:tcPr>
            <w:tcW w:type="dxa" w:w="3000"/>
          </w:tcPr>
          <w:p>
            <w:r>
              <w:rPr>
                <w:b w:val="false"/>
                <w:bCs w:val="false"/>
                <w:sz w:val="20"/>
                <w:szCs w:val="20"/>
              </w:rPr>
              <w:t xml:space="preserve">Status</w:t>
            </w:r>
          </w:p>
        </w:tc>
        <w:tc>
          <w:tcPr>
            <w:tcW w:type="dxa" w:w="6000"/>
          </w:tcPr>
          <w:p>
            <w:r>
              <w:rPr>
                <w:b w:val="false"/>
                <w:bCs w:val="false"/>
                <w:sz w:val="20"/>
                <w:szCs w:val="20"/>
              </w:rPr>
              <w:t xml:space="preserve">Governance layer above the repo's own ADRs — supersedes v1.0 through v2.3</w:t>
            </w:r>
          </w:p>
        </w:tc>
      </w:tr>
    </w:tbl>
    <w:p>
      <w:pPr>
        <w:spacing w:before="400"/>
      </w:pPr>
    </w:p>
    <w:p>
      <w:pPr>
        <w:spacing w:after="140"/>
      </w:pPr>
      <w:r>
        <w:rPr>
          <w:b w:val="false"/>
          <w:bCs w:val="false"/>
          <w:i w:val="false"/>
          <w:iCs w:val="false"/>
        </w:rPr>
        <w:t xml:space="preserve">Primary Audience: Product Owner · Enterprise Architects · Solution Architects · Software Architects · Technical Leads · Developers · QA Engineers · DevOps Engineers · AI Engineers · Future Contributors · Cursor AI · AI Coding Assistants</w:t>
      </w:r>
    </w:p>
    <w:p>
      <w:pPr>
        <w:pStyle w:val="Heading1"/>
        <w:pageBreakBefore/>
        <w:spacing w:after="200" w:before="400"/>
      </w:pPr>
      <w:r>
        <w:t xml:space="preserve">0. Purpose, Authority &amp; Scope</w:t>
      </w:r>
    </w:p>
    <w:p>
      <w:pPr>
        <w:pStyle w:val="Heading2"/>
        <w:spacing w:after="140" w:before="280"/>
      </w:pPr>
      <w:r>
        <w:t xml:space="preserve">0.1 Purpose of this Constitution</w:t>
      </w:r>
    </w:p>
    <w:p>
      <w:pPr>
        <w:spacing w:after="140"/>
      </w:pPr>
      <w:r>
        <w:rPr>
          <w:b w:val="false"/>
          <w:bCs w:val="false"/>
          <w:i w:val="false"/>
          <w:iCs w:val="false"/>
        </w:rPr>
        <w:t xml:space="preserve">This document is the supreme architecture and governance reference for AIML_AUDIT. It ensures that every future implementation — whether written by the founder, a future employee, or an AI coding assistant — follows one common engineering vision, regardless of who writes the code.</w:t>
      </w:r>
    </w:p>
    <w:p>
      <w:pPr>
        <w:pStyle w:val="Heading2"/>
        <w:spacing w:after="140" w:before="280"/>
      </w:pPr>
      <w:r>
        <w:t xml:space="preserve">0.2 Constitution Authority</w:t>
      </w:r>
    </w:p>
    <w:p>
      <w:pPr>
        <w:spacing w:after="140"/>
      </w:pPr>
      <w:r>
        <w:rPr>
          <w:b w:val="false"/>
          <w:bCs w:val="false"/>
          <w:i w:val="false"/>
          <w:iCs w:val="false"/>
        </w:rPr>
        <w:t xml:space="preserve">If any design specification, implementation guide, coding standard, or AI-generated solution conflicts with this Constitution, this Constitution takes precedence. It may only be revised through a documented Architecture Review (Section 9.11), never silently.</w:t>
      </w:r>
    </w:p>
    <w:p>
      <w:pPr>
        <w:pStyle w:val="Heading2"/>
        <w:spacing w:after="140" w:before="280"/>
      </w:pPr>
      <w:r>
        <w:t xml:space="preserve">0.3 Version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7700"/>
      </w:tblGrid>
      <w:tr>
        <w:trPr>
          <w:tblHeader/>
        </w:trPr>
        <w:tc>
          <w:tcPr>
            <w:tcW w:type="dxa" w:w="1300"/>
            <w:shd w:fill="1F3864" w:val="clear"/>
          </w:tcPr>
          <w:p>
            <w:r>
              <w:rPr>
                <w:b/>
                <w:bCs/>
                <w:color w:val="FFFFFF"/>
                <w:sz w:val="20"/>
                <w:szCs w:val="20"/>
              </w:rPr>
              <w:t xml:space="preserve">Version</w:t>
            </w:r>
          </w:p>
        </w:tc>
        <w:tc>
          <w:tcPr>
            <w:tcW w:type="dxa" w:w="7700"/>
            <w:shd w:fill="1F3864" w:val="clear"/>
          </w:tcPr>
          <w:p>
            <w:r>
              <w:rPr>
                <w:b/>
                <w:bCs/>
                <w:color w:val="FFFFFF"/>
                <w:sz w:val="20"/>
                <w:szCs w:val="20"/>
              </w:rPr>
              <w:t xml:space="preserve">Description</w:t>
            </w:r>
          </w:p>
        </w:tc>
      </w:tr>
      <w:tr>
        <w:tc>
          <w:tcPr>
            <w:tcW w:type="dxa" w:w="1300"/>
          </w:tcPr>
          <w:p>
            <w:r>
              <w:rPr>
                <w:b w:val="false"/>
                <w:bCs w:val="false"/>
                <w:sz w:val="20"/>
                <w:szCs w:val="20"/>
              </w:rPr>
              <w:t xml:space="preserve">1.0</w:t>
            </w:r>
          </w:p>
        </w:tc>
        <w:tc>
          <w:tcPr>
            <w:tcW w:type="dxa" w:w="7700"/>
          </w:tcPr>
          <w:p>
            <w:r>
              <w:rPr>
                <w:b w:val="false"/>
                <w:bCs w:val="false"/>
                <w:sz w:val="20"/>
                <w:szCs w:val="20"/>
              </w:rPr>
              <w:t xml:space="preserve">Initial product constitution.</w:t>
            </w:r>
          </w:p>
        </w:tc>
      </w:tr>
      <w:tr>
        <w:tc>
          <w:tcPr>
            <w:tcW w:type="dxa" w:w="1300"/>
          </w:tcPr>
          <w:p>
            <w:r>
              <w:rPr>
                <w:b w:val="false"/>
                <w:bCs w:val="false"/>
                <w:sz w:val="20"/>
                <w:szCs w:val="20"/>
              </w:rPr>
              <w:t xml:space="preserve">1.1</w:t>
            </w:r>
          </w:p>
        </w:tc>
        <w:tc>
          <w:tcPr>
            <w:tcW w:type="dxa" w:w="7700"/>
          </w:tcPr>
          <w:p>
            <w:r>
              <w:rPr>
                <w:b w:val="false"/>
                <w:bCs w:val="false"/>
                <w:sz w:val="20"/>
                <w:szCs w:val="20"/>
              </w:rPr>
              <w:t xml:space="preserve">Enterprise architecture, product governance, working papers, evidence standards, AI governance.</w:t>
            </w:r>
          </w:p>
        </w:tc>
      </w:tr>
      <w:tr>
        <w:tc>
          <w:tcPr>
            <w:tcW w:type="dxa" w:w="1300"/>
          </w:tcPr>
          <w:p>
            <w:r>
              <w:rPr>
                <w:b w:val="false"/>
                <w:bCs w:val="false"/>
                <w:sz w:val="20"/>
                <w:szCs w:val="20"/>
              </w:rPr>
              <w:t xml:space="preserve">1.2</w:t>
            </w:r>
          </w:p>
        </w:tc>
        <w:tc>
          <w:tcPr>
            <w:tcW w:type="dxa" w:w="7700"/>
          </w:tcPr>
          <w:p>
            <w:r>
              <w:rPr>
                <w:b w:val="false"/>
                <w:bCs w:val="false"/>
                <w:sz w:val="20"/>
                <w:szCs w:val="20"/>
              </w:rPr>
              <w:t xml:space="preserve">Pipeline order clarification, Evidence Gate enforcement, technology additions, solo-developer remediation roadmap (added as an appendix section).</w:t>
            </w:r>
          </w:p>
        </w:tc>
      </w:tr>
      <w:tr>
        <w:tc>
          <w:tcPr>
            <w:tcW w:type="dxa" w:w="1300"/>
          </w:tcPr>
          <w:p>
            <w:r>
              <w:rPr>
                <w:b w:val="false"/>
                <w:bCs w:val="false"/>
                <w:sz w:val="20"/>
                <w:szCs w:val="20"/>
              </w:rPr>
              <w:t xml:space="preserve">2.0</w:t>
            </w:r>
          </w:p>
        </w:tc>
        <w:tc>
          <w:tcPr>
            <w:tcW w:type="dxa" w:w="7700"/>
          </w:tcPr>
          <w:p>
            <w:r>
              <w:rPr>
                <w:b w:val="false"/>
                <w:bCs w:val="false"/>
                <w:sz w:val="20"/>
                <w:szCs w:val="20"/>
              </w:rPr>
              <w:t xml:space="preserve">First full restructure. Subscription &amp; Billing and Compliance Posture promoted to first-class chapters; module portfolio rationalized. This version compressed engineering detail too aggressively and was superseded within days.</w:t>
            </w:r>
          </w:p>
        </w:tc>
      </w:tr>
      <w:tr>
        <w:tc>
          <w:tcPr>
            <w:tcW w:type="dxa" w:w="1300"/>
          </w:tcPr>
          <w:p>
            <w:r>
              <w:rPr>
                <w:b w:val="false"/>
                <w:bCs w:val="false"/>
                <w:sz w:val="20"/>
                <w:szCs w:val="20"/>
              </w:rPr>
              <w:t xml:space="preserve">2.1</w:t>
            </w:r>
          </w:p>
        </w:tc>
        <w:tc>
          <w:tcPr>
            <w:tcW w:type="dxa" w:w="7700"/>
          </w:tcPr>
          <w:p>
            <w:r>
              <w:rPr>
                <w:b w:val="false"/>
                <w:bCs w:val="false"/>
                <w:sz w:val="20"/>
                <w:szCs w:val="20"/>
              </w:rPr>
              <w:t xml:space="preserve">Complete rebuild. Restores every substantive engineering section from v1.2 (module framework mechanics, per-engine pipeline detail, full technology and security standards, engineering governance) while keeping every v2.0 correction and new chapter. This is the first version intended to be complete enough to build against without returning to chat history.</w:t>
            </w:r>
          </w:p>
        </w:tc>
      </w:tr>
      <w:tr>
        <w:tc>
          <w:tcPr>
            <w:tcW w:type="dxa" w:w="1300"/>
          </w:tcPr>
          <w:p>
            <w:r>
              <w:rPr>
                <w:b w:val="false"/>
                <w:bCs w:val="false"/>
                <w:sz w:val="20"/>
                <w:szCs w:val="20"/>
              </w:rPr>
              <w:t xml:space="preserve">2.2</w:t>
            </w:r>
          </w:p>
        </w:tc>
        <w:tc>
          <w:tcPr>
            <w:tcW w:type="dxa" w:w="7700"/>
          </w:tcPr>
          <w:p>
            <w:r>
              <w:rPr>
                <w:b w:val="false"/>
                <w:bCs w:val="false"/>
                <w:sz w:val="20"/>
                <w:szCs w:val="20"/>
              </w:rPr>
              <w:t xml:space="preserve">Reconciled against the actual codebase (first Cursor implementation audit). Cloud Strategy updated from a placeholder (Azure) to the real, ratified choice (Vercel + Railway). Local-disk evidence storage flagged as an urgent data-loss risk, not a deferred item. Evidence Gate retrofit elevated to the top of the roadmap, since three modules shipped before it was implemented. Analysis Run states reconciled with the states actually in use. Module Portfolio annotated with build status and a required database-catalog cleanup. A Current Implementation Snapshot section added so this document stays self-contained without chat history.</w:t>
            </w:r>
          </w:p>
        </w:tc>
      </w:tr>
      <w:tr>
        <w:tc>
          <w:tcPr>
            <w:tcW w:type="dxa" w:w="1300"/>
          </w:tcPr>
          <w:p>
            <w:r>
              <w:rPr>
                <w:b w:val="false"/>
                <w:bCs w:val="false"/>
                <w:sz w:val="20"/>
                <w:szCs w:val="20"/>
              </w:rPr>
              <w:t xml:space="preserve">2.3</w:t>
            </w:r>
          </w:p>
        </w:tc>
        <w:tc>
          <w:tcPr>
            <w:tcW w:type="dxa" w:w="7700"/>
          </w:tcPr>
          <w:p>
            <w:r>
              <w:rPr>
                <w:b w:val="false"/>
                <w:bCs w:val="false"/>
                <w:sz w:val="20"/>
                <w:szCs w:val="20"/>
              </w:rPr>
              <w:t xml:space="preserve">Founder clarification: Vercel + Railway is temporary testing infrastructure, not the permanent choice. Microsoft Azure restored as the official target cloud platform, with Vercel/Railway named explicitly as the current development environment on the migration path toward it. AI Provider strategy clarified as an open decision between Anthropic Claude and OpenAI, pending a formal Architecture Review, with the abstraction layer made mandatory precisely because that decision is not yet final. Razorpay reconfirmed as the committed v1 payment gateway target.</w:t>
            </w:r>
          </w:p>
        </w:tc>
      </w:tr>
      <w:tr>
        <w:tc>
          <w:tcPr>
            <w:tcW w:type="dxa" w:w="1300"/>
          </w:tcPr>
          <w:p>
            <w:r>
              <w:rPr>
                <w:b w:val="false"/>
                <w:bCs w:val="false"/>
                <w:sz w:val="20"/>
                <w:szCs w:val="20"/>
              </w:rPr>
              <w:t xml:space="preserve">2.4</w:t>
            </w:r>
          </w:p>
        </w:tc>
        <w:tc>
          <w:tcPr>
            <w:tcW w:type="dxa" w:w="7700"/>
          </w:tcPr>
          <w:p>
            <w:r>
              <w:rPr>
                <w:b w:val="false"/>
                <w:bCs w:val="false"/>
                <w:sz w:val="20"/>
                <w:szCs w:val="20"/>
              </w:rPr>
              <w:t xml:space="preserve">Reconciled against six existing, previously-unknown Architecture Decision Records (ADR-001 through ADR-006) and PROJECT_STATUS.md already in the repository. Three corrections: (1) Row-Level Security retraction — ADR-003 deliberately deferred RLS to Phase 3 with documented reasoning; this document wrongly called it an urgent gap and now aligns with the existing phased decision instead. (2) Module Portfolio rewritten to match the existing 22-module catalog (ADR-002) exactly — the prior 18-analytical-plus-3-platform-capability reclassification is retracted per the founder's explicit decision to keep repo truth. (3) Customer Balance Confirmation restored as its own catalog module, not folded into Revenue Testing. This document now explicitly defers to the ADRs for implementation-level decisions rather than restating or overriding them.</w:t>
            </w:r>
          </w:p>
        </w:tc>
      </w:tr>
    </w:tbl>
    <w:p>
      <w:pPr>
        <w:pStyle w:val="Heading2"/>
        <w:spacing w:after="140" w:before="280"/>
      </w:pPr>
      <w:r>
        <w:t xml:space="preserve">0.4 Scope</w:t>
      </w:r>
    </w:p>
    <w:p>
      <w:pPr>
        <w:spacing w:after="140"/>
      </w:pPr>
      <w:r>
        <w:rPr>
          <w:b w:val="false"/>
          <w:bCs w:val="false"/>
          <w:i w:val="false"/>
          <w:iCs w:val="false"/>
        </w:rPr>
        <w:t xml:space="preserve">This constitution applies to every component of AIML_AUDIT: frontend, backend, APIs, database, AI services, generic engines, audit modules, reports, notifications, authentication, billing, integrations, infrastructure, DevOps, and documentation. No component is exempt.</w:t>
      </w:r>
    </w:p>
    <w:p>
      <w:pPr>
        <w:pStyle w:val="Heading2"/>
        <w:spacing w:after="140" w:before="280"/>
      </w:pPr>
      <w:r>
        <w:t xml:space="preserve">0.5 Intended Users</w:t>
      </w:r>
    </w:p>
    <w:p>
      <w:pPr>
        <w:spacing w:after="140"/>
      </w:pPr>
      <w:r>
        <w:rPr>
          <w:b w:val="false"/>
          <w:bCs w:val="false"/>
          <w:i w:val="false"/>
          <w:iCs w:val="false"/>
        </w:rPr>
        <w:t xml:space="preserve">The platform is designed to serve, without architectural redesign as customers grow:</w:t>
      </w:r>
    </w:p>
    <w:p>
      <w:pPr>
        <w:pStyle w:val="ListParagraph"/>
        <w:numPr>
          <w:ilvl w:val="0"/>
          <w:numId w:val="2"/>
        </w:numPr>
        <w:spacing w:after="60"/>
      </w:pPr>
      <w:r>
        <w:t xml:space="preserve">Individual Chartered Accountants</w:t>
      </w:r>
    </w:p>
    <w:p>
      <w:pPr>
        <w:pStyle w:val="ListParagraph"/>
        <w:numPr>
          <w:ilvl w:val="0"/>
          <w:numId w:val="2"/>
        </w:numPr>
        <w:spacing w:after="60"/>
      </w:pPr>
      <w:r>
        <w:t xml:space="preserve">Small Audit Firms</w:t>
      </w:r>
    </w:p>
    <w:p>
      <w:pPr>
        <w:pStyle w:val="ListParagraph"/>
        <w:numPr>
          <w:ilvl w:val="0"/>
          <w:numId w:val="2"/>
        </w:numPr>
        <w:spacing w:after="60"/>
      </w:pPr>
      <w:r>
        <w:t xml:space="preserve">Medium Audit Firms</w:t>
      </w:r>
    </w:p>
    <w:p>
      <w:pPr>
        <w:pStyle w:val="ListParagraph"/>
        <w:numPr>
          <w:ilvl w:val="0"/>
          <w:numId w:val="2"/>
        </w:numPr>
        <w:spacing w:after="60"/>
      </w:pPr>
      <w:r>
        <w:t xml:space="preserve">Large Audit Firms</w:t>
      </w:r>
    </w:p>
    <w:p>
      <w:pPr>
        <w:pStyle w:val="ListParagraph"/>
        <w:numPr>
          <w:ilvl w:val="0"/>
          <w:numId w:val="2"/>
        </w:numPr>
        <w:spacing w:after="60"/>
      </w:pPr>
      <w:r>
        <w:t xml:space="preserve">Internal Audit Teams</w:t>
      </w:r>
    </w:p>
    <w:p>
      <w:pPr>
        <w:pStyle w:val="ListParagraph"/>
        <w:numPr>
          <w:ilvl w:val="0"/>
          <w:numId w:val="2"/>
        </w:numPr>
        <w:spacing w:after="60"/>
      </w:pPr>
      <w:r>
        <w:t xml:space="preserve">Enterprise Audit Teams</w:t>
      </w:r>
    </w:p>
    <w:p>
      <w:pPr>
        <w:pStyle w:val="Heading2"/>
        <w:spacing w:after="140" w:before="280"/>
      </w:pPr>
      <w:r>
        <w:t xml:space="preserve">0.6 How a Solo Developer Should Use This Document</w:t>
      </w:r>
    </w:p>
    <w:p>
      <w:pPr>
        <w:pStyle w:val="ListParagraph"/>
        <w:numPr>
          <w:ilvl w:val="0"/>
          <w:numId w:val="2"/>
        </w:numPr>
        <w:spacing w:after="60"/>
      </w:pPr>
      <w:r>
        <w:t xml:space="preserve">Read Chapters 1–2 fully before writing a line of production code. They define what may never change.</w:t>
      </w:r>
    </w:p>
    <w:p>
      <w:pPr>
        <w:pStyle w:val="ListParagraph"/>
        <w:numPr>
          <w:ilvl w:val="0"/>
          <w:numId w:val="2"/>
        </w:numPr>
        <w:spacing w:after="60"/>
      </w:pPr>
      <w:r>
        <w:t xml:space="preserve">Treat the Chapter 5 module table as literal current scope, not aspiration.</w:t>
      </w:r>
    </w:p>
    <w:p>
      <w:pPr>
        <w:pStyle w:val="ListParagraph"/>
        <w:numPr>
          <w:ilvl w:val="0"/>
          <w:numId w:val="2"/>
        </w:numPr>
        <w:spacing w:after="60"/>
      </w:pPr>
      <w:r>
        <w:t xml:space="preserve">Treat Chapter 8 (Compliance Posture) as a roadmap with target dates, not a v1 launch blocker.</w:t>
      </w:r>
    </w:p>
    <w:p>
      <w:pPr>
        <w:pStyle w:val="ListParagraph"/>
        <w:numPr>
          <w:ilvl w:val="0"/>
          <w:numId w:val="2"/>
        </w:numPr>
        <w:spacing w:after="60"/>
      </w:pPr>
      <w:r>
        <w:t xml:space="preserve">When any implementation decision is unclear, return to this document before improvising. If the document is silent or contradictory, that is a defect in the document, not license to guess — raise it and revise the Constitution formally through Section 9.11.</w:t>
      </w:r>
    </w:p>
    <w:p>
      <w:pPr>
        <w:pStyle w:val="Heading2"/>
        <w:spacing w:after="140" w:before="280"/>
      </w:pPr>
      <w:r>
        <w:t xml:space="preserve">0.7 Relationship to Existing Architecture Decision Records</w:t>
      </w:r>
    </w:p>
    <w:p>
      <w:pPr>
        <w:spacing w:after="140"/>
      </w:pPr>
      <w:r>
        <w:rPr>
          <w:b w:val="false"/>
          <w:bCs w:val="false"/>
          <w:i w:val="false"/>
          <w:iCs w:val="false"/>
        </w:rPr>
        <w:t xml:space="preserve">The repository already contains a formal ADR process (`docs/adr/ADR-001` through `ADR-006`) and a living `docs/status/PROJECT_STATUS.md`. This Constitution is a governance layer above them, not a replacement: where an ADR has made a specific implementation decision (tenant isolation mechanism, migration strategy, module catalog structure, module enablement, API strategy), that ADR is authoritative, and this document should be read as deferring to it. This Constitution's role is to state the principles an ADR must satisfy — not to re-decide what the ADR already decided. Where this document and an existing ADR conflict, that is a defect in this document to be corrected, not a signal to override the ADR unilaterally.</w:t>
      </w:r>
    </w:p>
    <w:p>
      <w:pPr>
        <w:pStyle w:val="Heading2"/>
        <w:spacing w:after="140" w:before="280"/>
      </w:pPr>
      <w:r>
        <w:t xml:space="preserve">0.8 Current Implementation Snapshot</w:t>
      </w:r>
    </w:p>
    <w:p>
      <w:pPr>
        <w:spacing w:after="140"/>
      </w:pPr>
      <w:r>
        <w:rPr>
          <w:b w:val="false"/>
          <w:bCs w:val="false"/>
          <w:i w:val="false"/>
          <w:iCs w:val="false"/>
        </w:rPr>
        <w:t xml:space="preserve">Recorded from `docs/status/PROJECT_STATUS.md` as of the date noted, so this document remains self-contained without returning to chat history. This snapshot will go stale — treat it as a dated fact, not a permanent status.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Pr>
          <w:p>
            <w:r>
              <w:rPr>
                <w:b/>
                <w:bCs/>
                <w:color w:val="FFFFFF"/>
                <w:sz w:val="20"/>
                <w:szCs w:val="20"/>
              </w:rPr>
              <w:t xml:space="preserve">Area</w:t>
            </w:r>
          </w:p>
        </w:tc>
        <w:tc>
          <w:tcPr>
            <w:tcW w:type="dxa" w:w="6400"/>
            <w:shd w:fill="1F3864" w:val="clear"/>
          </w:tcPr>
          <w:p>
            <w:r>
              <w:rPr>
                <w:b/>
                <w:bCs/>
                <w:color w:val="FFFFFF"/>
                <w:sz w:val="20"/>
                <w:szCs w:val="20"/>
              </w:rPr>
              <w:t xml:space="preserve">Status</w:t>
            </w:r>
          </w:p>
        </w:tc>
      </w:tr>
      <w:tr>
        <w:tc>
          <w:tcPr>
            <w:tcW w:type="dxa" w:w="2600"/>
          </w:tcPr>
          <w:p>
            <w:r>
              <w:rPr>
                <w:b w:val="false"/>
                <w:bCs w:val="false"/>
                <w:sz w:val="20"/>
                <w:szCs w:val="20"/>
              </w:rPr>
              <w:t xml:space="preserve">Phase 1 — SaaS Foundation</w:t>
            </w:r>
          </w:p>
        </w:tc>
        <w:tc>
          <w:tcPr>
            <w:tcW w:type="dxa" w:w="6400"/>
          </w:tcPr>
          <w:p>
            <w:r>
              <w:rPr>
                <w:b w:val="false"/>
                <w:bCs w:val="false"/>
                <w:sz w:val="20"/>
                <w:szCs w:val="20"/>
              </w:rPr>
              <w:t xml:space="preserve">~92% — organizations, subscriptions, RBAC, JWT with org_id/org_role claims, tenant isolation via organization_id are implemented. Remaining: subscription limit enforcement on all write APIs, full multi-tenant HTTP isolation test matrix.</w:t>
            </w:r>
          </w:p>
        </w:tc>
      </w:tr>
      <w:tr>
        <w:tc>
          <w:tcPr>
            <w:tcW w:type="dxa" w:w="2600"/>
          </w:tcPr>
          <w:p>
            <w:r>
              <w:rPr>
                <w:b w:val="false"/>
                <w:bCs w:val="false"/>
                <w:sz w:val="20"/>
                <w:szCs w:val="20"/>
              </w:rPr>
              <w:t xml:space="preserve">Phase 2 — Enterprise Workflow</w:t>
            </w:r>
          </w:p>
        </w:tc>
        <w:tc>
          <w:tcPr>
            <w:tcW w:type="dxa" w:w="6400"/>
          </w:tcPr>
          <w:p>
            <w:r>
              <w:rPr>
                <w:b w:val="false"/>
                <w:bCs w:val="false"/>
                <w:sz w:val="20"/>
                <w:szCs w:val="20"/>
              </w:rPr>
              <w:t xml:space="preserve">~80% — engagement hub, evidence/workpaper storage, finding lifecycle, review workflow APIs exist. Remaining: production async job pipeline (Redis), review/official-run UI, S3/blob storage migration.</w:t>
            </w:r>
          </w:p>
        </w:tc>
      </w:tr>
      <w:tr>
        <w:tc>
          <w:tcPr>
            <w:tcW w:type="dxa" w:w="2600"/>
          </w:tcPr>
          <w:p>
            <w:r>
              <w:rPr>
                <w:b w:val="false"/>
                <w:bCs w:val="false"/>
                <w:sz w:val="20"/>
                <w:szCs w:val="20"/>
              </w:rPr>
              <w:t xml:space="preserve">Phase 3 M1–M2 — Generic Module Framework</w:t>
            </w:r>
          </w:p>
        </w:tc>
        <w:tc>
          <w:tcPr>
            <w:tcW w:type="dxa" w:w="6400"/>
          </w:tcPr>
          <w:p>
            <w:r>
              <w:rPr>
                <w:b w:val="false"/>
                <w:bCs w:val="false"/>
                <w:sz w:val="20"/>
                <w:szCs w:val="20"/>
              </w:rPr>
              <w:t xml:space="preserve">100% — shared engines and plugin structure exist for the 3 shipped modules; generic /modules/{code}/* APIs live alongside a documented, deprecation-headed legacy shim (per ADR-005).</w:t>
            </w:r>
          </w:p>
        </w:tc>
      </w:tr>
      <w:tr>
        <w:tc>
          <w:tcPr>
            <w:tcW w:type="dxa" w:w="2600"/>
          </w:tcPr>
          <w:p>
            <w:r>
              <w:rPr>
                <w:b w:val="false"/>
                <w:bCs w:val="false"/>
                <w:sz w:val="20"/>
                <w:szCs w:val="20"/>
              </w:rPr>
              <w:t xml:space="preserve">Audit modules shipped</w:t>
            </w:r>
          </w:p>
        </w:tc>
        <w:tc>
          <w:tcPr>
            <w:tcW w:type="dxa" w:w="6400"/>
          </w:tcPr>
          <w:p>
            <w:r>
              <w:rPr>
                <w:b w:val="false"/>
                <w:bCs w:val="false"/>
                <w:sz w:val="20"/>
                <w:szCs w:val="20"/>
              </w:rPr>
              <w:t xml:space="preserve">3 of 22 catalog modules built end-to-end: Journal Entry Testing, Revenue Testing, Procurement Testing.</w:t>
            </w:r>
          </w:p>
        </w:tc>
      </w:tr>
      <w:tr>
        <w:tc>
          <w:tcPr>
            <w:tcW w:type="dxa" w:w="2600"/>
          </w:tcPr>
          <w:p>
            <w:r>
              <w:rPr>
                <w:b w:val="false"/>
                <w:bCs w:val="false"/>
                <w:sz w:val="20"/>
                <w:szCs w:val="20"/>
              </w:rPr>
              <w:t xml:space="preserve">Evidence Gate</w:t>
            </w:r>
          </w:p>
        </w:tc>
        <w:tc>
          <w:tcPr>
            <w:tcW w:type="dxa" w:w="6400"/>
          </w:tcPr>
          <w:p>
            <w:r>
              <w:rPr>
                <w:b w:val="false"/>
                <w:bCs w:val="false"/>
                <w:sz w:val="20"/>
                <w:szCs w:val="20"/>
              </w:rPr>
              <w:t xml:space="preserve">Evidence and Evidence Link tables already exist (more capable than assumed — includes versioning). NOT yet enforced as a blocking check in risk scoring — see Section 10.1.</w:t>
            </w:r>
          </w:p>
        </w:tc>
      </w:tr>
      <w:tr>
        <w:tc>
          <w:tcPr>
            <w:tcW w:type="dxa" w:w="2600"/>
          </w:tcPr>
          <w:p>
            <w:r>
              <w:rPr>
                <w:b w:val="false"/>
                <w:bCs w:val="false"/>
                <w:sz w:val="20"/>
                <w:szCs w:val="20"/>
              </w:rPr>
              <w:t xml:space="preserve">Tenant isolation</w:t>
            </w:r>
          </w:p>
        </w:tc>
        <w:tc>
          <w:tcPr>
            <w:tcW w:type="dxa" w:w="6400"/>
          </w:tcPr>
          <w:p>
            <w:r>
              <w:rPr>
                <w:b w:val="false"/>
                <w:bCs w:val="false"/>
                <w:sz w:val="20"/>
                <w:szCs w:val="20"/>
              </w:rPr>
              <w:t xml:space="preserve">organization_id exists on ~10 tables; still missing on several tenant-scoped tables per ADR-003's own acknowledged risk. Row-Level Security is deliberately deferred to Phase 3 per ADR-003 — this is a documented decision, not a gap.</w:t>
            </w:r>
          </w:p>
        </w:tc>
      </w:tr>
      <w:tr>
        <w:tc>
          <w:tcPr>
            <w:tcW w:type="dxa" w:w="2600"/>
          </w:tcPr>
          <w:p>
            <w:r>
              <w:rPr>
                <w:b w:val="false"/>
                <w:bCs w:val="false"/>
                <w:sz w:val="20"/>
                <w:szCs w:val="20"/>
              </w:rPr>
              <w:t xml:space="preserve">Test coverage</w:t>
            </w:r>
          </w:p>
        </w:tc>
        <w:tc>
          <w:tcPr>
            <w:tcW w:type="dxa" w:w="6400"/>
          </w:tcPr>
          <w:p>
            <w:r>
              <w:rPr>
                <w:b w:val="false"/>
                <w:bCs w:val="false"/>
                <w:sz w:val="20"/>
                <w:szCs w:val="20"/>
              </w:rPr>
              <w:t xml:space="preserve">136 backend tests passing, including HTTP integration tests and parity tests — more mature than assumed in earlier drafts of this document.</w:t>
            </w:r>
          </w:p>
        </w:tc>
      </w:tr>
      <w:tr>
        <w:tc>
          <w:tcPr>
            <w:tcW w:type="dxa" w:w="2600"/>
          </w:tcPr>
          <w:p>
            <w:r>
              <w:rPr>
                <w:b w:val="false"/>
                <w:bCs w:val="false"/>
                <w:sz w:val="20"/>
                <w:szCs w:val="20"/>
              </w:rPr>
              <w:t xml:space="preserve">Storage, Auth, AI provider, Billing, SSO</w:t>
            </w:r>
          </w:p>
        </w:tc>
        <w:tc>
          <w:tcPr>
            <w:tcW w:type="dxa" w:w="6400"/>
          </w:tcPr>
          <w:p>
            <w:r>
              <w:rPr>
                <w:b w:val="false"/>
                <w:bCs w:val="false"/>
                <w:sz w:val="20"/>
                <w:szCs w:val="20"/>
              </w:rPr>
              <w:t xml:space="preserve">Correctly deferred per existing roadmap — no action needed yet.</w:t>
            </w:r>
          </w:p>
        </w:tc>
      </w:tr>
    </w:tbl>
    <w:p>
      <w:pPr>
        <w:pStyle w:val="Heading1"/>
        <w:pageBreakBefore/>
        <w:spacing w:after="200" w:before="400"/>
      </w:pPr>
      <w:r>
        <w:t xml:space="preserve">1. Vision, Philosophy &amp; Principles</w:t>
      </w:r>
    </w:p>
    <w:p>
      <w:pPr>
        <w:pStyle w:val="Heading2"/>
        <w:spacing w:after="140" w:before="280"/>
      </w:pPr>
      <w:r>
        <w:t xml:space="preserve">1.1 Guiding Vision</w:t>
      </w:r>
    </w:p>
    <w:p>
      <w:pPr>
        <w:spacing w:after="140"/>
      </w:pPr>
      <w:r>
        <w:rPr>
          <w:b w:val="false"/>
          <w:bCs w:val="false"/>
          <w:i w:val="false"/>
          <w:iCs w:val="false"/>
        </w:rPr>
        <w:t xml:space="preserve">AIML_AUDIT exists to redesign the audit experience using deterministic rule engines, explainable artificial intelligence, reusable architecture, and evidence-driven decision making — not simply to automate existing manual work. The platform reduces repetitive work while preserving professional judgement. Artificial Intelligence assists auditors; it never replaces them.</w:t>
      </w:r>
    </w:p>
    <w:p>
      <w:pPr>
        <w:pStyle w:val="Heading2"/>
        <w:spacing w:after="140" w:before="280"/>
      </w:pPr>
      <w:r>
        <w:t xml:space="preserve">1.2 Product Identity</w:t>
      </w:r>
    </w:p>
    <w:p>
      <w:pPr>
        <w:spacing w:after="140"/>
      </w:pPr>
      <w:r>
        <w:rPr>
          <w:b w:val="false"/>
          <w:bCs w:val="false"/>
          <w:i w:val="false"/>
          <w:iCs w:val="false"/>
        </w:rPr>
        <w:t xml:space="preserve">AIML_AUDIT is not an accounting package, a bookkeeping application, a generic ERP, a document management system, or a chatbot. AIML_AUDIT is an AI-assisted Audit Analytics and Audit Execution Platform. Its primary responsibility is to help auditors perform better audits.</w:t>
      </w:r>
    </w:p>
    <w:p>
      <w:pPr>
        <w:pStyle w:val="Heading2"/>
        <w:spacing w:after="140" w:before="280"/>
      </w:pPr>
      <w:r>
        <w:t xml:space="preserve">1.3 Product Positioning &amp; Market Wedge</w:t>
      </w:r>
    </w:p>
    <w:p>
      <w:pPr>
        <w:spacing w:after="140"/>
      </w:pPr>
      <w:r>
        <w:rPr>
          <w:b w:val="false"/>
          <w:bCs w:val="false"/>
          <w:i w:val="false"/>
          <w:iCs w:val="false"/>
        </w:rPr>
        <w:t xml:space="preserve">AIML_AUDIT is an AI-assisted, multi-tenant, subscription-based Audit Analytics and Audit Execution SaaS platform. Established competitors (MindBridge, Fieldguide, AuditBoard, Workiva) are built for enterprise-scale audit functions and enterprise budgets. None of them is optimized for the individual Chartered Accountant or small-to-mid audit firm, and none treats Indian statutory requirements (GST, TDS, Companies Act) as first-class citizens.</w:t>
      </w:r>
    </w:p>
    <w:p>
      <w:pPr>
        <w:spacing w:after="140"/>
      </w:pPr>
      <w:r>
        <w:rPr>
          <w:b w:val="false"/>
          <w:bCs w:val="false"/>
          <w:i w:val="false"/>
          <w:iCs w:val="false"/>
        </w:rPr>
        <w:t xml:space="preserve">AIML_AUDIT's defensible position is not “a better MindBridge.” It is the first platform to make deterministic, evidence-first, explainable audit analytics affordable and fast to adopt for the segment the enterprise players ignore, while remaining architecturally capable of serving larger firms later without a rebuild. Every pricing, module-sequencing, and go-to-market decision should be tested against this positioning.</w:t>
      </w:r>
    </w:p>
    <w:p>
      <w:pPr>
        <w:pStyle w:val="Heading2"/>
        <w:spacing w:after="140" w:before="280"/>
      </w:pPr>
      <w:r>
        <w:t xml:space="preserve">1.4 Product Vision &amp; Mission</w:t>
      </w:r>
    </w:p>
    <w:p>
      <w:pPr>
        <w:spacing w:after="140"/>
      </w:pPr>
      <w:r>
        <w:rPr>
          <w:b w:val="false"/>
          <w:bCs w:val="false"/>
          <w:i w:val="false"/>
          <w:iCs w:val="false"/>
        </w:rPr>
        <w:t xml:space="preserve">Vision: to become the world's most trusted AI-assisted audit platform by combining deterministic audit rules, evidence-based analysis, explainable artificial intelligence, and enterprise-grade software architecture.</w:t>
      </w:r>
    </w:p>
    <w:p>
      <w:pPr>
        <w:spacing w:after="140"/>
      </w:pPr>
      <w:r>
        <w:rPr>
          <w:b w:val="false"/>
          <w:bCs w:val="false"/>
          <w:i w:val="false"/>
          <w:iCs w:val="false"/>
        </w:rPr>
        <w:t xml:space="preserve">Mission: to enable auditors to complete audits faster, more accurately, more consistently, more transparently, with less manual work, lower stress, and better documentation — while preserving audit quality and professional judgement.</w:t>
      </w:r>
    </w:p>
    <w:p>
      <w:pPr>
        <w:pStyle w:val="Heading2"/>
        <w:spacing w:after="140" w:before="280"/>
      </w:pPr>
      <w:r>
        <w:t xml:space="preserve">1.5 Core Philosophy</w:t>
      </w:r>
    </w:p>
    <w:p>
      <w:pPr>
        <w:pStyle w:val="ListParagraph"/>
        <w:numPr>
          <w:ilvl w:val="0"/>
          <w:numId w:val="2"/>
        </w:numPr>
        <w:spacing w:after="60"/>
      </w:pPr>
      <w:r>
        <w:t xml:space="preserve">Technology should improve the lives of auditors.</w:t>
      </w:r>
    </w:p>
    <w:p>
      <w:pPr>
        <w:pStyle w:val="ListParagraph"/>
        <w:numPr>
          <w:ilvl w:val="0"/>
          <w:numId w:val="2"/>
        </w:numPr>
        <w:spacing w:after="60"/>
      </w:pPr>
      <w:r>
        <w:t xml:space="preserve">Software should reduce repetitive work, not judgement.</w:t>
      </w:r>
    </w:p>
    <w:p>
      <w:pPr>
        <w:pStyle w:val="ListParagraph"/>
        <w:numPr>
          <w:ilvl w:val="0"/>
          <w:numId w:val="2"/>
        </w:numPr>
        <w:spacing w:after="60"/>
      </w:pPr>
      <w:r>
        <w:t xml:space="preserve">Artificial Intelligence should explain, not decide.</w:t>
      </w:r>
    </w:p>
    <w:p>
      <w:pPr>
        <w:pStyle w:val="ListParagraph"/>
        <w:numPr>
          <w:ilvl w:val="0"/>
          <w:numId w:val="2"/>
        </w:numPr>
        <w:spacing w:after="60"/>
      </w:pPr>
      <w:r>
        <w:t xml:space="preserve">Evidence should always support conclusions.</w:t>
      </w:r>
    </w:p>
    <w:p>
      <w:pPr>
        <w:pStyle w:val="ListParagraph"/>
        <w:numPr>
          <w:ilvl w:val="0"/>
          <w:numId w:val="2"/>
        </w:numPr>
        <w:spacing w:after="60"/>
      </w:pPr>
      <w:r>
        <w:t xml:space="preserve">Human judgement remains the final authority.</w:t>
      </w:r>
    </w:p>
    <w:p>
      <w:pPr>
        <w:pStyle w:val="Heading2"/>
        <w:spacing w:after="140" w:before="280"/>
      </w:pPr>
      <w:r>
        <w:t xml:space="preserve">1.6 Product Motto</w:t>
      </w:r>
    </w:p>
    <w:p>
      <w:pPr>
        <w:spacing w:after="140"/>
      </w:pPr>
      <w:r>
        <w:rPr>
          <w:b/>
          <w:bCs/>
          <w:i w:val="false"/>
          <w:iCs w:val="false"/>
        </w:rPr>
        <w:t xml:space="preserve">Evidence First. Rules Second. Risk Third. AI Last. Auditor Always.</w:t>
      </w:r>
    </w:p>
    <w:p>
      <w:pPr>
        <w:spacing w:after="140"/>
      </w:pPr>
      <w:r>
        <w:rPr>
          <w:b w:val="false"/>
          <w:bCs w:val="false"/>
          <w:i/>
          <w:iCs/>
        </w:rPr>
        <w:t xml:space="preserve">This motto is a philosophical statement of priority, not a literal execution order. The authoritative operational sequence for the processing pipeline is defined in Section 6.3 — where, mechanically, the Rule Engine generates candidate findings before the Evidence Engine attaches evidence to them, and the Risk Engine may never score a finding lacking attached evidence. Both statements are true simultaneously: evidence-first is the culture; Rules-then-Evidence-then-Risk is the mechanism.</w:t>
      </w:r>
    </w:p>
    <w:p>
      <w:pPr>
        <w:pStyle w:val="Heading2"/>
        <w:spacing w:after="140" w:before="280"/>
      </w:pPr>
      <w:r>
        <w:t xml:space="preserve">1.7 Constitution Principles</w:t>
      </w:r>
    </w:p>
    <w:p>
      <w:pPr>
        <w:spacing w:after="140"/>
      </w:pPr>
      <w:r>
        <w:rPr>
          <w:b w:val="false"/>
          <w:bCs w:val="false"/>
          <w:i w:val="false"/>
          <w:iCs w:val="false"/>
        </w:rPr>
        <w:t xml:space="preserve">Every future enhancement shall satisfy:</w:t>
      </w:r>
    </w:p>
    <w:p>
      <w:pPr>
        <w:pStyle w:val="ListParagraph"/>
        <w:numPr>
          <w:ilvl w:val="0"/>
          <w:numId w:val="2"/>
        </w:numPr>
        <w:spacing w:after="60"/>
      </w:pPr>
      <w:r>
        <w:t xml:space="preserve">Evidence before conclusions.</w:t>
      </w:r>
    </w:p>
    <w:p>
      <w:pPr>
        <w:pStyle w:val="ListParagraph"/>
        <w:numPr>
          <w:ilvl w:val="0"/>
          <w:numId w:val="2"/>
        </w:numPr>
        <w:spacing w:after="60"/>
      </w:pPr>
      <w:r>
        <w:t xml:space="preserve">Rules before Artificial Intelligence.</w:t>
      </w:r>
    </w:p>
    <w:p>
      <w:pPr>
        <w:pStyle w:val="ListParagraph"/>
        <w:numPr>
          <w:ilvl w:val="0"/>
          <w:numId w:val="2"/>
        </w:numPr>
        <w:spacing w:after="60"/>
      </w:pPr>
      <w:r>
        <w:t xml:space="preserve">Human approval before final reporting.</w:t>
      </w:r>
    </w:p>
    <w:p>
      <w:pPr>
        <w:pStyle w:val="ListParagraph"/>
        <w:numPr>
          <w:ilvl w:val="0"/>
          <w:numId w:val="2"/>
        </w:numPr>
        <w:spacing w:after="60"/>
      </w:pPr>
      <w:r>
        <w:t xml:space="preserve">Security before convenience.</w:t>
      </w:r>
    </w:p>
    <w:p>
      <w:pPr>
        <w:pStyle w:val="ListParagraph"/>
        <w:numPr>
          <w:ilvl w:val="0"/>
          <w:numId w:val="2"/>
        </w:numPr>
        <w:spacing w:after="60"/>
      </w:pPr>
      <w:r>
        <w:t xml:space="preserve">Architecture before implementation.</w:t>
      </w:r>
    </w:p>
    <w:p>
      <w:pPr>
        <w:pStyle w:val="ListParagraph"/>
        <w:numPr>
          <w:ilvl w:val="0"/>
          <w:numId w:val="2"/>
        </w:numPr>
        <w:spacing w:after="60"/>
      </w:pPr>
      <w:r>
        <w:t xml:space="preserve">Reusability before duplication.</w:t>
      </w:r>
    </w:p>
    <w:p>
      <w:pPr>
        <w:pStyle w:val="ListParagraph"/>
        <w:numPr>
          <w:ilvl w:val="0"/>
          <w:numId w:val="2"/>
        </w:numPr>
        <w:spacing w:after="60"/>
      </w:pPr>
      <w:r>
        <w:t xml:space="preserve">Explainability before automation.</w:t>
      </w:r>
    </w:p>
    <w:p>
      <w:pPr>
        <w:pStyle w:val="ListParagraph"/>
        <w:numPr>
          <w:ilvl w:val="0"/>
          <w:numId w:val="2"/>
        </w:numPr>
        <w:spacing w:after="60"/>
      </w:pPr>
      <w:r>
        <w:t xml:space="preserve">Quality before speed.</w:t>
      </w:r>
    </w:p>
    <w:p>
      <w:pPr>
        <w:pStyle w:val="ListParagraph"/>
        <w:numPr>
          <w:ilvl w:val="0"/>
          <w:numId w:val="2"/>
        </w:numPr>
        <w:spacing w:after="60"/>
      </w:pPr>
      <w:r>
        <w:t xml:space="preserve">Scalability before optimization.</w:t>
      </w:r>
    </w:p>
    <w:p>
      <w:pPr>
        <w:pStyle w:val="ListParagraph"/>
        <w:numPr>
          <w:ilvl w:val="0"/>
          <w:numId w:val="2"/>
        </w:numPr>
        <w:spacing w:after="60"/>
      </w:pPr>
      <w:r>
        <w:t xml:space="preserve">Documentation before assumptions.</w:t>
      </w:r>
    </w:p>
    <w:p>
      <w:pPr>
        <w:pStyle w:val="ListParagraph"/>
        <w:numPr>
          <w:ilvl w:val="0"/>
          <w:numId w:val="2"/>
        </w:numPr>
        <w:spacing w:after="60"/>
      </w:pPr>
      <w:r>
        <w:t xml:space="preserve">Subscription integrity before feature growth.</w:t>
      </w:r>
    </w:p>
    <w:p>
      <w:pPr>
        <w:pStyle w:val="ListParagraph"/>
        <w:numPr>
          <w:ilvl w:val="0"/>
          <w:numId w:val="2"/>
        </w:numPr>
        <w:spacing w:after="60"/>
      </w:pPr>
      <w:r>
        <w:t xml:space="preserve">Compliance posture is planned before it is promised to a customer.</w:t>
      </w:r>
    </w:p>
    <w:p>
      <w:pPr>
        <w:pStyle w:val="Heading2"/>
        <w:spacing w:after="140" w:before="280"/>
      </w:pPr>
      <w:r>
        <w:t xml:space="preserve">1.8 Long-Term Commitment</w:t>
      </w:r>
    </w:p>
    <w:p>
      <w:pPr>
        <w:spacing w:after="140"/>
      </w:pPr>
      <w:r>
        <w:rPr>
          <w:b w:val="false"/>
          <w:bCs w:val="false"/>
          <w:i w:val="false"/>
          <w:iCs w:val="false"/>
        </w:rPr>
        <w:t xml:space="preserve">Technologies, cloud providers, and AI providers may change. The following principles shall remain permanent regardless of implementation changes: Evidence First, Rules Second, Risk Third, AI Last, Auditor Always, Working Papers Forever, Trust Before Automation, Architecture Before Implementation, Human Judgement Before Artificial Intelligence. They may be revised only through an approved Architecture Review (Section 9.11).</w:t>
      </w:r>
    </w:p>
    <w:p>
      <w:pPr>
        <w:pStyle w:val="Heading2"/>
        <w:spacing w:after="140" w:before="280"/>
      </w:pPr>
      <w:r>
        <w:t xml:space="preserve">1.9 Founder Commitment</w:t>
      </w:r>
    </w:p>
    <w:p>
      <w:pPr>
        <w:spacing w:after="140"/>
      </w:pPr>
      <w:r>
        <w:rPr>
          <w:b w:val="false"/>
          <w:bCs w:val="false"/>
          <w:i w:val="false"/>
          <w:iCs w:val="false"/>
        </w:rPr>
        <w:t xml:space="preserve">AIML_AUDIT is built with a single purpose: to help auditors perform better audits while improving their quality of life. Every feature should answer one question — “Does this genuinely help auditors?” If the answer is no, the feature should be reconsidered, regardless of how technically interesting it is to build.</w:t>
      </w:r>
    </w:p>
    <w:p>
      <w:pPr>
        <w:pStyle w:val="Heading1"/>
        <w:pageBreakBefore/>
        <w:spacing w:after="200" w:before="400"/>
      </w:pPr>
      <w:r>
        <w:t xml:space="preserve">2. Enterprise Multi-Tenant SaaS Architecture</w:t>
      </w:r>
    </w:p>
    <w:p>
      <w:pPr>
        <w:pStyle w:val="Heading2"/>
        <w:spacing w:after="140" w:before="280"/>
      </w:pPr>
      <w:r>
        <w:t xml:space="preserve">2.1 Purpose &amp; Philosophy</w:t>
      </w:r>
    </w:p>
    <w:p>
      <w:pPr>
        <w:spacing w:after="140"/>
      </w:pPr>
      <w:r>
        <w:rPr>
          <w:b w:val="false"/>
          <w:bCs w:val="false"/>
          <w:i w:val="false"/>
          <w:iCs w:val="false"/>
        </w:rPr>
        <w:t xml:space="preserve">AIML_AUDIT is a true multi-tenant SaaS platform. Multiple audit firms share the same application while data, users, engagements, reports, subscriptions, and evidence remain fully isolated. Every audit firm is treated as an independent Organization (Tenant). No architectural redesign shall be required as customer size increases.</w:t>
      </w:r>
    </w:p>
    <w:p>
      <w:pPr>
        <w:pStyle w:val="Heading2"/>
        <w:spacing w:after="140" w:before="280"/>
      </w:pPr>
      <w:r>
        <w:t xml:space="preserve">2.2 Tenant Boundary &amp; Isolation Mechanism</w:t>
      </w:r>
    </w:p>
    <w:p>
      <w:pPr>
        <w:spacing w:after="140"/>
      </w:pPr>
      <w:r>
        <w:rPr>
          <w:b w:val="false"/>
          <w:bCs w:val="false"/>
          <w:i w:val="false"/>
          <w:iCs w:val="false"/>
        </w:rPr>
        <w:t xml:space="preserve">The Organization is the primary security boundary. Every business record — clients, engagements, analysis runs, findings, evidence, working papers, reports, uploaded files, billing records — belongs to exactly one Organization. This boundary is enforced through two layers, not one:</w:t>
      </w:r>
    </w:p>
    <w:p>
      <w:pPr>
        <w:pStyle w:val="ListParagraph"/>
        <w:numPr>
          <w:ilvl w:val="0"/>
          <w:numId w:val="2"/>
        </w:numPr>
        <w:spacing w:after="60"/>
      </w:pPr>
      <w:r>
        <w:t xml:space="preserve">Application layer: every query is scoped by organization_id, injected automatically by a shared data-access layer so individual developers cannot forget it.</w:t>
      </w:r>
    </w:p>
    <w:p>
      <w:pPr>
        <w:pStyle w:val="ListParagraph"/>
        <w:numPr>
          <w:ilvl w:val="0"/>
          <w:numId w:val="2"/>
        </w:numPr>
        <w:spacing w:after="60"/>
      </w:pPr>
      <w:r>
        <w:t xml:space="preserve">Database layer (per ADR-003, deliberately phased): PostgreSQL Row-Level Security is planned as a Phase 3 backstop, not a Phase 1 requirement — ADR-003 considered RLS-only as an alternative and rejected it for now (harder to debug, still needs the organization_id column, deferred by design). Until then, application-layer filtering is the primary control, so `organization_id` coverage on every tenant-scoped table and a full isolation test matrix are the load-bearing safeguards — see Section 10.1.</w:t>
      </w:r>
    </w:p>
    <w:p>
      <w:pPr>
        <w:pStyle w:val="Heading2"/>
        <w:spacing w:after="140" w:before="280"/>
      </w:pPr>
      <w:r>
        <w:t xml:space="preserve">2.3 Organization Model</w:t>
      </w:r>
    </w:p>
    <w:p>
      <w:pPr>
        <w:spacing w:after="140"/>
      </w:pPr>
      <w:r>
        <w:rPr>
          <w:b w:val="false"/>
          <w:bCs w:val="false"/>
          <w:i w:val="false"/>
          <w:iCs w:val="false"/>
        </w:rPr>
        <w:t xml:space="preserve">Each Organization contains: Subscription, Users, Roles, Clients, Audit Engagements, Audit Modules, Reports, AI Usage, Billing Information, Feature Configuration. Organizations never share business data.</w:t>
      </w:r>
    </w:p>
    <w:p>
      <w:pPr>
        <w:pStyle w:val="Heading2"/>
        <w:spacing w:after="140" w:before="280"/>
      </w:pPr>
      <w:r>
        <w:t xml:space="preserve">2.4 Organization vs. User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Pr>
          <w:p>
            <w:r>
              <w:rPr>
                <w:b/>
                <w:bCs/>
                <w:color w:val="FFFFFF"/>
                <w:sz w:val="20"/>
                <w:szCs w:val="20"/>
              </w:rPr>
              <w:t xml:space="preserve">Field</w:t>
            </w:r>
          </w:p>
        </w:tc>
        <w:tc>
          <w:tcPr>
            <w:tcW w:type="dxa" w:w="6000"/>
            <w:shd w:fill="1F3864" w:val="clear"/>
          </w:tcPr>
          <w:p>
            <w:r>
              <w:rPr>
                <w:b/>
                <w:bCs/>
                <w:color w:val="FFFFFF"/>
                <w:sz w:val="20"/>
                <w:szCs w:val="20"/>
              </w:rPr>
              <w:t xml:space="preserve">Purpose</w:t>
            </w:r>
          </w:p>
        </w:tc>
      </w:tr>
      <w:tr>
        <w:tc>
          <w:tcPr>
            <w:tcW w:type="dxa" w:w="3000"/>
          </w:tcPr>
          <w:p>
            <w:r>
              <w:rPr>
                <w:b w:val="false"/>
                <w:bCs w:val="false"/>
                <w:sz w:val="20"/>
                <w:szCs w:val="20"/>
              </w:rPr>
              <w:t xml:space="preserve">organization_id</w:t>
            </w:r>
          </w:p>
        </w:tc>
        <w:tc>
          <w:tcPr>
            <w:tcW w:type="dxa" w:w="6000"/>
          </w:tcPr>
          <w:p>
            <w:r>
              <w:rPr>
                <w:b w:val="false"/>
                <w:bCs w:val="false"/>
                <w:sz w:val="20"/>
                <w:szCs w:val="20"/>
              </w:rPr>
              <w:t xml:space="preserve">Tenant boundary — determines ownership.</w:t>
            </w:r>
          </w:p>
        </w:tc>
      </w:tr>
      <w:tr>
        <w:tc>
          <w:tcPr>
            <w:tcW w:type="dxa" w:w="3000"/>
          </w:tcPr>
          <w:p>
            <w:r>
              <w:rPr>
                <w:b w:val="false"/>
                <w:bCs w:val="false"/>
                <w:sz w:val="20"/>
                <w:szCs w:val="20"/>
              </w:rPr>
              <w:t xml:space="preserve">user_id</w:t>
            </w:r>
          </w:p>
        </w:tc>
        <w:tc>
          <w:tcPr>
            <w:tcW w:type="dxa" w:w="6000"/>
          </w:tcPr>
          <w:p>
            <w:r>
              <w:rPr>
                <w:b w:val="false"/>
                <w:bCs w:val="false"/>
                <w:sz w:val="20"/>
                <w:szCs w:val="20"/>
              </w:rPr>
              <w:t xml:space="preserve">Actor identity — determines who performed an action.</w:t>
            </w:r>
          </w:p>
        </w:tc>
      </w:tr>
    </w:tbl>
    <w:p>
      <w:pPr>
        <w:pStyle w:val="Heading2"/>
        <w:spacing w:after="140" w:before="280"/>
      </w:pPr>
      <w:r>
        <w:t xml:space="preserve">2.5 User Roles (RBAC)</w:t>
      </w:r>
    </w:p>
    <w:p>
      <w:pPr>
        <w:pStyle w:val="ListParagraph"/>
        <w:numPr>
          <w:ilvl w:val="0"/>
          <w:numId w:val="2"/>
        </w:numPr>
        <w:spacing w:after="60"/>
      </w:pPr>
      <w:r>
        <w:t xml:space="preserve">Organization Administrator</w:t>
      </w:r>
    </w:p>
    <w:p>
      <w:pPr>
        <w:pStyle w:val="ListParagraph"/>
        <w:numPr>
          <w:ilvl w:val="0"/>
          <w:numId w:val="2"/>
        </w:numPr>
        <w:spacing w:after="60"/>
      </w:pPr>
      <w:r>
        <w:t xml:space="preserve">Audit Manager</w:t>
      </w:r>
    </w:p>
    <w:p>
      <w:pPr>
        <w:pStyle w:val="ListParagraph"/>
        <w:numPr>
          <w:ilvl w:val="0"/>
          <w:numId w:val="2"/>
        </w:numPr>
        <w:spacing w:after="60"/>
      </w:pPr>
      <w:r>
        <w:t xml:space="preserve">Senior Auditor</w:t>
      </w:r>
    </w:p>
    <w:p>
      <w:pPr>
        <w:pStyle w:val="ListParagraph"/>
        <w:numPr>
          <w:ilvl w:val="0"/>
          <w:numId w:val="2"/>
        </w:numPr>
        <w:spacing w:after="60"/>
      </w:pPr>
      <w:r>
        <w:t xml:space="preserve">Auditor</w:t>
      </w:r>
    </w:p>
    <w:p>
      <w:pPr>
        <w:pStyle w:val="ListParagraph"/>
        <w:numPr>
          <w:ilvl w:val="0"/>
          <w:numId w:val="2"/>
        </w:numPr>
        <w:spacing w:after="60"/>
      </w:pPr>
      <w:r>
        <w:t xml:space="preserve">Reviewer</w:t>
      </w:r>
    </w:p>
    <w:p>
      <w:pPr>
        <w:pStyle w:val="ListParagraph"/>
        <w:numPr>
          <w:ilvl w:val="0"/>
          <w:numId w:val="2"/>
        </w:numPr>
        <w:spacing w:after="60"/>
      </w:pPr>
      <w:r>
        <w:t xml:space="preserve">Client Read-Only User</w:t>
      </w:r>
    </w:p>
    <w:p>
      <w:pPr>
        <w:spacing w:after="140"/>
      </w:pPr>
      <w:r>
        <w:rPr>
          <w:b w:val="false"/>
          <w:bCs w:val="false"/>
          <w:i w:val="false"/>
          <w:iCs w:val="false"/>
        </w:rPr>
        <w:t xml:space="preserve">Permissions are always validated on the server, never trusted from the client.</w:t>
      </w:r>
    </w:p>
    <w:p>
      <w:pPr>
        <w:pStyle w:val="Heading2"/>
        <w:spacing w:after="140" w:before="280"/>
      </w:pPr>
      <w:r>
        <w:t xml:space="preserve">2.6 Client Management</w:t>
      </w:r>
    </w:p>
    <w:p>
      <w:pPr>
        <w:spacing w:after="140"/>
      </w:pPr>
      <w:r>
        <w:rPr>
          <w:b w:val="false"/>
          <w:bCs w:val="false"/>
          <w:i w:val="false"/>
          <w:iCs w:val="false"/>
        </w:rPr>
        <w:t xml:space="preserve">Each Organization manages multiple Clients. Each Client may contain multiple Audit Engagements, multiple Financial Years, multiple Reports, and multiple Analysis Runs. Clients always belong to exactly one Organization.</w:t>
      </w:r>
    </w:p>
    <w:p>
      <w:pPr>
        <w:pStyle w:val="Heading2"/>
        <w:spacing w:after="140" w:before="280"/>
      </w:pPr>
      <w:r>
        <w:t xml:space="preserve">2.7 Audit Engagement</w:t>
      </w:r>
    </w:p>
    <w:p>
      <w:pPr>
        <w:spacing w:after="140"/>
      </w:pPr>
      <w:r>
        <w:rPr>
          <w:b w:val="false"/>
          <w:bCs w:val="false"/>
          <w:i w:val="false"/>
          <w:iCs w:val="false"/>
        </w:rPr>
        <w:t xml:space="preserve">An Audit Engagement represents one audit assignment and is the central business object within AIML_AUDIT. Each Engagement includes: Client, Financial Year, Engagement Team, Enabled Audit Modules, Analysis Runs, Findings, Working Papers, Reports, and Review History.</w:t>
      </w:r>
    </w:p>
    <w:p>
      <w:pPr>
        <w:pStyle w:val="Heading2"/>
        <w:spacing w:after="140" w:before="280"/>
      </w:pPr>
      <w:r>
        <w:t xml:space="preserve">2.8 Analysis Run &amp; Status Lifecycle</w:t>
      </w:r>
    </w:p>
    <w:p>
      <w:pPr>
        <w:spacing w:after="140"/>
      </w:pPr>
      <w:r>
        <w:rPr>
          <w:b w:val="false"/>
          <w:bCs w:val="false"/>
          <w:i w:val="false"/>
          <w:iCs w:val="false"/>
        </w:rPr>
        <w:t xml:space="preserve">An Analysis Run represents one execution of an audit module, and includes: Uploaded Dataset, Validation Results, Rule Results, Evidence, Risk Assessment, AI Narrative, Working Papers, Reports, Execution Status, and Audit Trail. Multiple Analysis Runs may exist within the same Engagement.</w:t>
      </w:r>
    </w:p>
    <w:p>
      <w:pPr>
        <w:pStyle w:val="ListParagraph"/>
        <w:numPr>
          <w:ilvl w:val="0"/>
          <w:numId w:val="2"/>
        </w:numPr>
        <w:spacing w:after="60"/>
      </w:pPr>
      <w:r>
        <w:t xml:space="preserve">Draft</w:t>
      </w:r>
    </w:p>
    <w:p>
      <w:pPr>
        <w:pStyle w:val="ListParagraph"/>
        <w:numPr>
          <w:ilvl w:val="0"/>
          <w:numId w:val="2"/>
        </w:numPr>
        <w:spacing w:after="60"/>
      </w:pPr>
      <w:r>
        <w:t xml:space="preserve">Running</w:t>
      </w:r>
    </w:p>
    <w:p>
      <w:pPr>
        <w:pStyle w:val="ListParagraph"/>
        <w:numPr>
          <w:ilvl w:val="0"/>
          <w:numId w:val="2"/>
        </w:numPr>
        <w:spacing w:after="60"/>
      </w:pPr>
      <w:r>
        <w:t xml:space="preserve">Completed — processing finished; rules and risk have executed</w:t>
      </w:r>
    </w:p>
    <w:p>
      <w:pPr>
        <w:pStyle w:val="ListParagraph"/>
        <w:numPr>
          <w:ilvl w:val="0"/>
          <w:numId w:val="2"/>
        </w:numPr>
        <w:spacing w:after="60"/>
      </w:pPr>
      <w:r>
        <w:t xml:space="preserve">Review — auditor examines findings; see Section 6.8, mandatory before Locked</w:t>
      </w:r>
    </w:p>
    <w:p>
      <w:pPr>
        <w:pStyle w:val="ListParagraph"/>
        <w:numPr>
          <w:ilvl w:val="0"/>
          <w:numId w:val="2"/>
        </w:numPr>
        <w:spacing w:after="60"/>
      </w:pPr>
      <w:r>
        <w:t xml:space="preserve">Locked — final, read-only unless explicitly reopened by an authorized reviewer</w:t>
      </w:r>
    </w:p>
    <w:p>
      <w:pPr>
        <w:spacing w:after="140"/>
      </w:pPr>
      <w:r>
        <w:rPr>
          <w:b w:val="false"/>
          <w:bCs w:val="false"/>
          <w:i w:val="false"/>
          <w:iCs w:val="false"/>
        </w:rPr>
        <w:t xml:space="preserve">Clarification: “Completed” refers only to pipeline execution finishing — rules have run and findings exist. It does not mean the audit conclusion is final, and a Completed run shall never be exported as a Final Report (Section 6.10) until it has passed Review and reached Locked. This naming is a deliberate reconciliation with the states already implemented in the codebase; the rule it protects — human approval before finalization — does not change.</w:t>
      </w:r>
    </w:p>
    <w:p>
      <w:pPr>
        <w:pStyle w:val="Heading2"/>
        <w:spacing w:after="140" w:before="280"/>
      </w:pPr>
      <w:r>
        <w:t xml:space="preserve">2.9 Platform Scalability &amp; Design Principles</w:t>
      </w:r>
    </w:p>
    <w:p>
      <w:pPr>
        <w:spacing w:after="140"/>
      </w:pPr>
      <w:r>
        <w:rPr>
          <w:b w:val="false"/>
          <w:bCs w:val="false"/>
          <w:i w:val="false"/>
          <w:iCs w:val="false"/>
        </w:rPr>
        <w:t xml:space="preserve">The architecture should support 1, 5, 20, 100, and 500+ auditors without changing application architecture — scaling is achieved through infrastructure, not code changes. Governing design principles: Organization First, Security by Design, Tenant Isolation, Shared Platform, Reusable Services, Configurable Features, Cloud Native, Enterprise Ready, Horizontally Scalable.</w:t>
      </w:r>
    </w:p>
    <w:p>
      <w:pPr>
        <w:pStyle w:val="Heading1"/>
        <w:pageBreakBefore/>
        <w:spacing w:after="200" w:before="400"/>
      </w:pPr>
      <w:r>
        <w:t xml:space="preserve">3. Subscription &amp; Billing Engine</w:t>
      </w:r>
    </w:p>
    <w:p>
      <w:pPr>
        <w:spacing w:after="140"/>
      </w:pPr>
      <w:r>
        <w:rPr>
          <w:b w:val="false"/>
          <w:bCs w:val="false"/>
          <w:i w:val="false"/>
          <w:iCs w:val="false"/>
        </w:rPr>
        <w:t xml:space="preserve">Subscription is not a feature of AIML_AUDIT — it is the business model. This chapter has the same authority as the Audit Intelligence Pipeline (Chapter 6): it shall be engineered as its own Generic Engine, with its own tests, and shall never be duplicated inside individual modules.</w:t>
      </w:r>
    </w:p>
    <w:p>
      <w:pPr>
        <w:pStyle w:val="Heading2"/>
        <w:spacing w:after="140" w:before="280"/>
      </w:pPr>
      <w:r>
        <w:t xml:space="preserve">3.1 Plan Model</w:t>
      </w:r>
    </w:p>
    <w:p>
      <w:pPr>
        <w:spacing w:after="140"/>
      </w:pPr>
      <w:r>
        <w:rPr>
          <w:b w:val="false"/>
          <w:bCs w:val="false"/>
          <w:i w:val="false"/>
          <w:iCs w:val="false"/>
        </w:rPr>
        <w:t xml:space="preserve">A Plan defines, and every module and API call must check against the Plan, never against a hardcoded plan name:</w:t>
      </w:r>
    </w:p>
    <w:p>
      <w:pPr>
        <w:pStyle w:val="ListParagraph"/>
        <w:numPr>
          <w:ilvl w:val="0"/>
          <w:numId w:val="2"/>
        </w:numPr>
        <w:spacing w:after="60"/>
      </w:pPr>
      <w:r>
        <w:t xml:space="preserve">Enabled Audit Modules</w:t>
      </w:r>
    </w:p>
    <w:p>
      <w:pPr>
        <w:pStyle w:val="ListParagraph"/>
        <w:numPr>
          <w:ilvl w:val="0"/>
          <w:numId w:val="2"/>
        </w:numPr>
        <w:spacing w:after="60"/>
      </w:pPr>
      <w:r>
        <w:t xml:space="preserve">Maximum Users</w:t>
      </w:r>
    </w:p>
    <w:p>
      <w:pPr>
        <w:pStyle w:val="ListParagraph"/>
        <w:numPr>
          <w:ilvl w:val="0"/>
          <w:numId w:val="2"/>
        </w:numPr>
        <w:spacing w:after="60"/>
      </w:pPr>
      <w:r>
        <w:t xml:space="preserve">Storage Limits</w:t>
      </w:r>
    </w:p>
    <w:p>
      <w:pPr>
        <w:pStyle w:val="ListParagraph"/>
        <w:numPr>
          <w:ilvl w:val="0"/>
          <w:numId w:val="2"/>
        </w:numPr>
        <w:spacing w:after="60"/>
      </w:pPr>
      <w:r>
        <w:t xml:space="preserve">AI Credit Allowance per billing cycle</w:t>
      </w:r>
    </w:p>
    <w:p>
      <w:pPr>
        <w:pStyle w:val="ListParagraph"/>
        <w:numPr>
          <w:ilvl w:val="0"/>
          <w:numId w:val="2"/>
        </w:numPr>
        <w:spacing w:after="60"/>
      </w:pPr>
      <w:r>
        <w:t xml:space="preserve">API Access</w:t>
      </w:r>
    </w:p>
    <w:p>
      <w:pPr>
        <w:pStyle w:val="ListParagraph"/>
        <w:numPr>
          <w:ilvl w:val="0"/>
          <w:numId w:val="2"/>
        </w:numPr>
        <w:spacing w:after="60"/>
      </w:pPr>
      <w:r>
        <w:t xml:space="preserve">Feature Flags</w:t>
      </w:r>
    </w:p>
    <w:p>
      <w:pPr>
        <w:pStyle w:val="Heading2"/>
        <w:spacing w:after="140" w:before="280"/>
      </w:pPr>
      <w:r>
        <w:t xml:space="preserve">3.2 Subscription Lifecycle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300"/>
        <w:gridCol w:w="4100"/>
      </w:tblGrid>
      <w:tr>
        <w:trPr>
          <w:tblHeader/>
        </w:trPr>
        <w:tc>
          <w:tcPr>
            <w:tcW w:type="dxa" w:w="1600"/>
            <w:shd w:fill="1F3864" w:val="clear"/>
          </w:tcPr>
          <w:p>
            <w:r>
              <w:rPr>
                <w:b/>
                <w:bCs/>
                <w:color w:val="FFFFFF"/>
                <w:sz w:val="20"/>
                <w:szCs w:val="20"/>
              </w:rPr>
              <w:t xml:space="preserve">State</w:t>
            </w:r>
          </w:p>
        </w:tc>
        <w:tc>
          <w:tcPr>
            <w:tcW w:type="dxa" w:w="3300"/>
            <w:shd w:fill="1F3864" w:val="clear"/>
          </w:tcPr>
          <w:p>
            <w:r>
              <w:rPr>
                <w:b/>
                <w:bCs/>
                <w:color w:val="FFFFFF"/>
                <w:sz w:val="20"/>
                <w:szCs w:val="20"/>
              </w:rPr>
              <w:t xml:space="preserve">Meaning</w:t>
            </w:r>
          </w:p>
        </w:tc>
        <w:tc>
          <w:tcPr>
            <w:tcW w:type="dxa" w:w="4100"/>
            <w:shd w:fill="1F3864" w:val="clear"/>
          </w:tcPr>
          <w:p>
            <w:r>
              <w:rPr>
                <w:b/>
                <w:bCs/>
                <w:color w:val="FFFFFF"/>
                <w:sz w:val="20"/>
                <w:szCs w:val="20"/>
              </w:rPr>
              <w:t xml:space="preserve">Allowed Actions</w:t>
            </w:r>
          </w:p>
        </w:tc>
      </w:tr>
      <w:tr>
        <w:tc>
          <w:tcPr>
            <w:tcW w:type="dxa" w:w="1600"/>
          </w:tcPr>
          <w:p>
            <w:r>
              <w:rPr>
                <w:b w:val="false"/>
                <w:bCs w:val="false"/>
                <w:sz w:val="20"/>
                <w:szCs w:val="20"/>
              </w:rPr>
              <w:t xml:space="preserve">Trial</w:t>
            </w:r>
          </w:p>
        </w:tc>
        <w:tc>
          <w:tcPr>
            <w:tcW w:type="dxa" w:w="3300"/>
          </w:tcPr>
          <w:p>
            <w:r>
              <w:rPr>
                <w:b w:val="false"/>
                <w:bCs w:val="false"/>
                <w:sz w:val="20"/>
                <w:szCs w:val="20"/>
              </w:rPr>
              <w:t xml:space="preserve">Time-boxed evaluation period</w:t>
            </w:r>
          </w:p>
        </w:tc>
        <w:tc>
          <w:tcPr>
            <w:tcW w:type="dxa" w:w="4100"/>
          </w:tcPr>
          <w:p>
            <w:r>
              <w:rPr>
                <w:b w:val="false"/>
                <w:bCs w:val="false"/>
                <w:sz w:val="20"/>
                <w:szCs w:val="20"/>
              </w:rPr>
              <w:t xml:space="preserve">Full feature access up to trial limits</w:t>
            </w:r>
          </w:p>
        </w:tc>
      </w:tr>
      <w:tr>
        <w:tc>
          <w:tcPr>
            <w:tcW w:type="dxa" w:w="1600"/>
          </w:tcPr>
          <w:p>
            <w:r>
              <w:rPr>
                <w:b w:val="false"/>
                <w:bCs w:val="false"/>
                <w:sz w:val="20"/>
                <w:szCs w:val="20"/>
              </w:rPr>
              <w:t xml:space="preserve">Active</w:t>
            </w:r>
          </w:p>
        </w:tc>
        <w:tc>
          <w:tcPr>
            <w:tcW w:type="dxa" w:w="3300"/>
          </w:tcPr>
          <w:p>
            <w:r>
              <w:rPr>
                <w:b w:val="false"/>
                <w:bCs w:val="false"/>
                <w:sz w:val="20"/>
                <w:szCs w:val="20"/>
              </w:rPr>
              <w:t xml:space="preserve">Paid and current</w:t>
            </w:r>
          </w:p>
        </w:tc>
        <w:tc>
          <w:tcPr>
            <w:tcW w:type="dxa" w:w="4100"/>
          </w:tcPr>
          <w:p>
            <w:r>
              <w:rPr>
                <w:b w:val="false"/>
                <w:bCs w:val="false"/>
                <w:sz w:val="20"/>
                <w:szCs w:val="20"/>
              </w:rPr>
              <w:t xml:space="preserve">Full access per Plan</w:t>
            </w:r>
          </w:p>
        </w:tc>
      </w:tr>
      <w:tr>
        <w:tc>
          <w:tcPr>
            <w:tcW w:type="dxa" w:w="1600"/>
          </w:tcPr>
          <w:p>
            <w:r>
              <w:rPr>
                <w:b w:val="false"/>
                <w:bCs w:val="false"/>
                <w:sz w:val="20"/>
                <w:szCs w:val="20"/>
              </w:rPr>
              <w:t xml:space="preserve">Past Due</w:t>
            </w:r>
          </w:p>
        </w:tc>
        <w:tc>
          <w:tcPr>
            <w:tcW w:type="dxa" w:w="3300"/>
          </w:tcPr>
          <w:p>
            <w:r>
              <w:rPr>
                <w:b w:val="false"/>
                <w:bCs w:val="false"/>
                <w:sz w:val="20"/>
                <w:szCs w:val="20"/>
              </w:rPr>
              <w:t xml:space="preserve">Payment failed, grace period active</w:t>
            </w:r>
          </w:p>
        </w:tc>
        <w:tc>
          <w:tcPr>
            <w:tcW w:type="dxa" w:w="4100"/>
          </w:tcPr>
          <w:p>
            <w:r>
              <w:rPr>
                <w:b w:val="false"/>
                <w:bCs w:val="false"/>
                <w:sz w:val="20"/>
                <w:szCs w:val="20"/>
              </w:rPr>
              <w:t xml:space="preserve">Full access; dunning notices sent</w:t>
            </w:r>
          </w:p>
        </w:tc>
      </w:tr>
      <w:tr>
        <w:tc>
          <w:tcPr>
            <w:tcW w:type="dxa" w:w="1600"/>
          </w:tcPr>
          <w:p>
            <w:r>
              <w:rPr>
                <w:b w:val="false"/>
                <w:bCs w:val="false"/>
                <w:sz w:val="20"/>
                <w:szCs w:val="20"/>
              </w:rPr>
              <w:t xml:space="preserve">Suspended</w:t>
            </w:r>
          </w:p>
        </w:tc>
        <w:tc>
          <w:tcPr>
            <w:tcW w:type="dxa" w:w="3300"/>
          </w:tcPr>
          <w:p>
            <w:r>
              <w:rPr>
                <w:b w:val="false"/>
                <w:bCs w:val="false"/>
                <w:sz w:val="20"/>
                <w:szCs w:val="20"/>
              </w:rPr>
              <w:t xml:space="preserve">Grace period expired</w:t>
            </w:r>
          </w:p>
        </w:tc>
        <w:tc>
          <w:tcPr>
            <w:tcW w:type="dxa" w:w="4100"/>
          </w:tcPr>
          <w:p>
            <w:r>
              <w:rPr>
                <w:b w:val="false"/>
                <w:bCs w:val="false"/>
                <w:sz w:val="20"/>
                <w:szCs w:val="20"/>
              </w:rPr>
              <w:t xml:space="preserve">Read-only access to existing reports; no new Analysis Runs</w:t>
            </w:r>
          </w:p>
        </w:tc>
      </w:tr>
      <w:tr>
        <w:tc>
          <w:tcPr>
            <w:tcW w:type="dxa" w:w="1600"/>
          </w:tcPr>
          <w:p>
            <w:r>
              <w:rPr>
                <w:b w:val="false"/>
                <w:bCs w:val="false"/>
                <w:sz w:val="20"/>
                <w:szCs w:val="20"/>
              </w:rPr>
              <w:t xml:space="preserve">Cancelled</w:t>
            </w:r>
          </w:p>
        </w:tc>
        <w:tc>
          <w:tcPr>
            <w:tcW w:type="dxa" w:w="3300"/>
          </w:tcPr>
          <w:p>
            <w:r>
              <w:rPr>
                <w:b w:val="false"/>
                <w:bCs w:val="false"/>
                <w:sz w:val="20"/>
                <w:szCs w:val="20"/>
              </w:rPr>
              <w:t xml:space="preserve">Customer terminated</w:t>
            </w:r>
          </w:p>
        </w:tc>
        <w:tc>
          <w:tcPr>
            <w:tcW w:type="dxa" w:w="4100"/>
          </w:tcPr>
          <w:p>
            <w:r>
              <w:rPr>
                <w:b w:val="false"/>
                <w:bCs w:val="false"/>
                <w:sz w:val="20"/>
                <w:szCs w:val="20"/>
              </w:rPr>
              <w:t xml:space="preserve">Data retained per Section 3.6; no access</w:t>
            </w:r>
          </w:p>
        </w:tc>
      </w:tr>
      <w:tr>
        <w:tc>
          <w:tcPr>
            <w:tcW w:type="dxa" w:w="1600"/>
          </w:tcPr>
          <w:p>
            <w:r>
              <w:rPr>
                <w:b w:val="false"/>
                <w:bCs w:val="false"/>
                <w:sz w:val="20"/>
                <w:szCs w:val="20"/>
              </w:rPr>
              <w:t xml:space="preserve">Reactivated</w:t>
            </w:r>
          </w:p>
        </w:tc>
        <w:tc>
          <w:tcPr>
            <w:tcW w:type="dxa" w:w="3300"/>
          </w:tcPr>
          <w:p>
            <w:r>
              <w:rPr>
                <w:b w:val="false"/>
                <w:bCs w:val="false"/>
                <w:sz w:val="20"/>
                <w:szCs w:val="20"/>
              </w:rPr>
              <w:t xml:space="preserve">Payment resumed after Suspended/Cancelled</w:t>
            </w:r>
          </w:p>
        </w:tc>
        <w:tc>
          <w:tcPr>
            <w:tcW w:type="dxa" w:w="4100"/>
          </w:tcPr>
          <w:p>
            <w:r>
              <w:rPr>
                <w:b w:val="false"/>
                <w:bCs w:val="false"/>
                <w:sz w:val="20"/>
                <w:szCs w:val="20"/>
              </w:rPr>
              <w:t xml:space="preserve">Returns to Active; history preserved</w:t>
            </w:r>
          </w:p>
        </w:tc>
      </w:tr>
    </w:tbl>
    <w:p>
      <w:pPr>
        <w:pStyle w:val="Heading2"/>
        <w:spacing w:after="140" w:before="280"/>
      </w:pPr>
      <w:r>
        <w:t xml:space="preserve">3.3 Payment Events &amp; Webhooks</w:t>
      </w:r>
    </w:p>
    <w:p>
      <w:pPr>
        <w:spacing w:after="140"/>
      </w:pPr>
      <w:r>
        <w:rPr>
          <w:b w:val="false"/>
          <w:bCs w:val="false"/>
          <w:i w:val="false"/>
          <w:iCs w:val="false"/>
        </w:rPr>
        <w:t xml:space="preserve">Every payment-provider webhook must be verified by signature, recorded as an immutable Billing Event before any state change is applied, and processed idempotently — a webhook delivered twice must never charge or downgrade a customer twice.</w:t>
      </w:r>
    </w:p>
    <w:p>
      <w:pPr>
        <w:pStyle w:val="Heading2"/>
        <w:spacing w:after="140" w:before="280"/>
      </w:pPr>
      <w:r>
        <w:t xml:space="preserve">3.4 Proration</w:t>
      </w:r>
    </w:p>
    <w:p>
      <w:pPr>
        <w:pStyle w:val="ListParagraph"/>
        <w:numPr>
          <w:ilvl w:val="0"/>
          <w:numId w:val="2"/>
        </w:numPr>
        <w:spacing w:after="60"/>
      </w:pPr>
      <w:r>
        <w:t xml:space="preserve">Upgrades apply immediately, with a prorated charge for the remainder of the current cycle.</w:t>
      </w:r>
    </w:p>
    <w:p>
      <w:pPr>
        <w:pStyle w:val="ListParagraph"/>
        <w:numPr>
          <w:ilvl w:val="0"/>
          <w:numId w:val="2"/>
        </w:numPr>
        <w:spacing w:after="60"/>
      </w:pPr>
      <w:r>
        <w:t xml:space="preserve">Downgrades apply at the start of the next billing cycle, never mid-cycle, to avoid mid-audit feature loss.</w:t>
      </w:r>
    </w:p>
    <w:p>
      <w:pPr>
        <w:pStyle w:val="Heading2"/>
        <w:spacing w:after="140" w:before="280"/>
      </w:pPr>
      <w:r>
        <w:t xml:space="preserve">3.5 Usage Metering</w:t>
      </w:r>
    </w:p>
    <w:p>
      <w:pPr>
        <w:spacing w:after="140"/>
      </w:pPr>
      <w:r>
        <w:rPr>
          <w:b w:val="false"/>
          <w:bCs w:val="false"/>
          <w:i w:val="false"/>
          <w:iCs w:val="false"/>
        </w:rPr>
        <w:t xml:space="preserve">AI Credits are consumed per AI Assistant invocation and tracked per Organization per billing cycle. Whether an Organization is hard-stopped or billed for overage at the credit limit is a Plan-level configuration, not a hardcoded rule.</w:t>
      </w:r>
    </w:p>
    <w:p>
      <w:pPr>
        <w:pStyle w:val="Heading2"/>
        <w:spacing w:after="140" w:before="280"/>
      </w:pPr>
      <w:r>
        <w:t xml:space="preserve">3.6 Dunning &amp; Data Retention</w:t>
      </w:r>
    </w:p>
    <w:p>
      <w:pPr>
        <w:spacing w:after="140"/>
      </w:pPr>
      <w:r>
        <w:rPr>
          <w:b w:val="false"/>
          <w:bCs w:val="false"/>
          <w:i w:val="false"/>
          <w:iCs w:val="false"/>
        </w:rPr>
        <w:t xml:space="preserve">A failed payment triggers a grace period before Suspension. Suspended organizations retain read-only access to previously generated reports; Cancelled organizations' data is retained for a defined retention period (fixed during Chapter 8 compliance work) before deletion, to allow reactivation without data loss.</w:t>
      </w:r>
    </w:p>
    <w:p>
      <w:pPr>
        <w:pStyle w:val="Heading2"/>
        <w:spacing w:after="140" w:before="280"/>
      </w:pPr>
      <w:r>
        <w:t xml:space="preserve">3.7 Payment Strategy &amp; Invoicing</w:t>
      </w:r>
    </w:p>
    <w:p>
      <w:pPr>
        <w:spacing w:after="140"/>
      </w:pPr>
      <w:r>
        <w:rPr>
          <w:b w:val="false"/>
          <w:bCs w:val="false"/>
          <w:i w:val="false"/>
          <w:iCs w:val="false"/>
        </w:rPr>
        <w:t xml:space="preserve">Official Payment Gateway (confirmed): Razorpay, responsible for Subscription Billing, Plan Management, Payment Collection, Invoice Generation, and Subscription Renewal. This is a settled decision, not a placeholder. Future gateways (e.g., Stripe for non-Indian markets) may be added without changing business logic, behind a payment abstraction layer. Invoices issued to Indian customers must be GST-compliant — a product requirement, not only a legal one, since the platform itself audits GST compliance.</w:t>
      </w:r>
    </w:p>
    <w:p>
      <w:pPr>
        <w:pStyle w:val="Heading1"/>
        <w:pageBreakBefore/>
        <w:spacing w:after="200" w:before="400"/>
      </w:pPr>
      <w:r>
        <w:t xml:space="preserve">4. Generic Module Framework</w:t>
      </w:r>
    </w:p>
    <w:p>
      <w:pPr>
        <w:pStyle w:val="Heading2"/>
        <w:spacing w:after="140" w:before="280"/>
      </w:pPr>
      <w:r>
        <w:t xml:space="preserve">4.1 Purpose &amp; Objectives</w:t>
      </w:r>
    </w:p>
    <w:p>
      <w:pPr>
        <w:spacing w:after="140"/>
      </w:pPr>
      <w:r>
        <w:rPr>
          <w:b w:val="false"/>
          <w:bCs w:val="false"/>
          <w:i w:val="false"/>
          <w:iCs w:val="false"/>
        </w:rPr>
        <w:t xml:space="preserve">The platform separates shared platform engines from module plugins that contain only business-specific rules and schemas. Objective: support unlimited audit modules, sharing one architecture, one execution pipeline, and one platform, so that only business rules differ between modules.</w:t>
      </w:r>
    </w:p>
    <w:p>
      <w:pPr>
        <w:pStyle w:val="Heading2"/>
        <w:spacing w:after="140" w:before="280"/>
      </w:pPr>
      <w:r>
        <w:t xml:space="preserve">4.2 Module Structure</w:t>
      </w:r>
    </w:p>
    <w:p>
      <w:pPr>
        <w:spacing w:after="140"/>
      </w:pPr>
      <w:r>
        <w:rPr>
          <w:b w:val="false"/>
          <w:bCs w:val="false"/>
          <w:i w:val="false"/>
          <w:iCs w:val="false"/>
        </w:rPr>
        <w:t xml:space="preserve">Every audit module shall contain only business-specific logic. A module may define: Input Schema, Validation Rules, Business Rules, Risk Mapping, Report Templates, AI Prompt Templates, Configuration, and Dashboard Widgets. A module shall never duplicate platform services.</w:t>
      </w:r>
    </w:p>
    <w:p>
      <w:pPr>
        <w:pStyle w:val="Heading2"/>
        <w:spacing w:after="140" w:before="280"/>
      </w:pPr>
      <w:r>
        <w:t xml:space="preserve">4.3 Generic Platform Responsibilities vs. Module Responsibilities</w:t>
      </w:r>
    </w:p>
    <w:p>
      <w:pPr>
        <w:spacing w:after="140"/>
      </w:pPr>
      <w:r>
        <w:rPr>
          <w:b w:val="false"/>
          <w:bCs w:val="false"/>
          <w:i w:val="false"/>
          <w:iCs w:val="false"/>
        </w:rPr>
        <w:t xml:space="preserve">The platform is responsible for: File Upload, Validation Framework, Rule Execution, Evidence Generation, Risk Classification, AI Integration, Working Paper Generation, Report Generation, Notifications, Audit Logs, Security, and Tenant Isolation. These services are shared by every module.</w:t>
      </w:r>
    </w:p>
    <w:p>
      <w:pPr>
        <w:spacing w:after="140"/>
      </w:pPr>
      <w:r>
        <w:rPr>
          <w:b w:val="false"/>
          <w:bCs w:val="false"/>
          <w:i w:val="false"/>
          <w:iCs w:val="false"/>
        </w:rPr>
        <w:t xml:space="preserve">Each module is responsible only for: Business Rules, Validation Configuration, Risk Configuration, Report Templates, Dashboard Metrics, and AI Prompt Context. Everything else belongs to the platform.</w:t>
      </w:r>
    </w:p>
    <w:p>
      <w:pPr>
        <w:pStyle w:val="Heading2"/>
        <w:spacing w:after="140" w:before="280"/>
      </w:pPr>
      <w:r>
        <w:t xml:space="preserve">4.4 Plugin Architecture &amp; Registration</w:t>
      </w:r>
    </w:p>
    <w:p>
      <w:pPr>
        <w:spacing w:after="140"/>
      </w:pPr>
      <w:r>
        <w:rPr>
          <w:b w:val="false"/>
          <w:bCs w:val="false"/>
          <w:i w:val="false"/>
          <w:iCs w:val="false"/>
        </w:rPr>
        <w:t xml:space="preserve">Every audit module is implemented as a plugin (Journal Plugin, Revenue Plugin, Procurement Plugin, GST Plugin, Payroll Plugin, and so on) that registers itself with the Module Registry. The registry maintains: Module Code, Module Name, Version, Description, Category, Status, Input Schema, Enabled Features, Supported Reports, and Required Permissions — becoming the single source of truth for available modules. The platform shall not require architectural changes when new plugins are added.</w:t>
      </w:r>
    </w:p>
    <w:p>
      <w:pPr>
        <w:pStyle w:val="Heading2"/>
        <w:spacing w:after="140" w:before="280"/>
      </w:pPr>
      <w:r>
        <w:t xml:space="preserve">4.5 Dynamic Module Loading</w:t>
      </w:r>
    </w:p>
    <w:p>
      <w:pPr>
        <w:spacing w:after="140"/>
      </w:pPr>
      <w:r>
        <w:rPr>
          <w:b w:val="false"/>
          <w:bCs w:val="false"/>
          <w:i w:val="false"/>
          <w:iCs w:val="false"/>
        </w:rPr>
        <w:t xml:space="preserve">Modules are loaded dynamically: the platform automatically discovers plugins, registers them, loads configuration, initializes services, exposes APIs, and displays navigation. No hardcoded module registration should exist.</w:t>
      </w:r>
    </w:p>
    <w:p>
      <w:pPr>
        <w:pStyle w:val="Heading2"/>
        <w:spacing w:after="140" w:before="280"/>
      </w:pPr>
      <w:r>
        <w:t xml:space="preserve">4.6 Standard Module Lifecycle</w:t>
      </w:r>
    </w:p>
    <w:p>
      <w:pPr>
        <w:pStyle w:val="ListParagraph"/>
        <w:numPr>
          <w:ilvl w:val="0"/>
          <w:numId w:val="2"/>
        </w:numPr>
        <w:spacing w:after="60"/>
      </w:pPr>
      <w:r>
        <w:t xml:space="preserve">Module Registered</w:t>
      </w:r>
    </w:p>
    <w:p>
      <w:pPr>
        <w:pStyle w:val="ListParagraph"/>
        <w:numPr>
          <w:ilvl w:val="0"/>
          <w:numId w:val="2"/>
        </w:numPr>
        <w:spacing w:after="60"/>
      </w:pPr>
      <w:r>
        <w:t xml:space="preserve">Module Enabled</w:t>
      </w:r>
    </w:p>
    <w:p>
      <w:pPr>
        <w:pStyle w:val="ListParagraph"/>
        <w:numPr>
          <w:ilvl w:val="0"/>
          <w:numId w:val="2"/>
        </w:numPr>
        <w:spacing w:after="60"/>
      </w:pPr>
      <w:r>
        <w:t xml:space="preserve">Upload Data</w:t>
      </w:r>
    </w:p>
    <w:p>
      <w:pPr>
        <w:pStyle w:val="ListParagraph"/>
        <w:numPr>
          <w:ilvl w:val="0"/>
          <w:numId w:val="2"/>
        </w:numPr>
        <w:spacing w:after="60"/>
      </w:pPr>
      <w:r>
        <w:t xml:space="preserve">Execute Pipeline</w:t>
      </w:r>
    </w:p>
    <w:p>
      <w:pPr>
        <w:pStyle w:val="ListParagraph"/>
        <w:numPr>
          <w:ilvl w:val="0"/>
          <w:numId w:val="2"/>
        </w:numPr>
        <w:spacing w:after="60"/>
      </w:pPr>
      <w:r>
        <w:t xml:space="preserve">Generate Findings</w:t>
      </w:r>
    </w:p>
    <w:p>
      <w:pPr>
        <w:pStyle w:val="ListParagraph"/>
        <w:numPr>
          <w:ilvl w:val="0"/>
          <w:numId w:val="2"/>
        </w:numPr>
        <w:spacing w:after="60"/>
      </w:pPr>
      <w:r>
        <w:t xml:space="preserve">Review</w:t>
      </w:r>
    </w:p>
    <w:p>
      <w:pPr>
        <w:pStyle w:val="ListParagraph"/>
        <w:numPr>
          <w:ilvl w:val="0"/>
          <w:numId w:val="2"/>
        </w:numPr>
        <w:spacing w:after="60"/>
      </w:pPr>
      <w:r>
        <w:t xml:space="preserve">Working Papers</w:t>
      </w:r>
    </w:p>
    <w:p>
      <w:pPr>
        <w:pStyle w:val="ListParagraph"/>
        <w:numPr>
          <w:ilvl w:val="0"/>
          <w:numId w:val="2"/>
        </w:numPr>
        <w:spacing w:after="60"/>
      </w:pPr>
      <w:r>
        <w:t xml:space="preserve">Report</w:t>
      </w:r>
    </w:p>
    <w:p>
      <w:pPr>
        <w:pStyle w:val="ListParagraph"/>
        <w:numPr>
          <w:ilvl w:val="0"/>
          <w:numId w:val="2"/>
        </w:numPr>
        <w:spacing w:after="60"/>
      </w:pPr>
      <w:r>
        <w:t xml:space="preserve">Complete</w:t>
      </w:r>
    </w:p>
    <w:p>
      <w:pPr>
        <w:pStyle w:val="Heading2"/>
        <w:spacing w:after="140" w:before="280"/>
      </w:pPr>
      <w:r>
        <w:t xml:space="preserve">4.7 Generic Module APIs</w:t>
      </w:r>
    </w:p>
    <w:p>
      <w:pPr>
        <w:spacing w:after="140"/>
      </w:pPr>
      <w:r>
        <w:rPr>
          <w:b w:val="false"/>
          <w:bCs w:val="false"/>
          <w:i w:val="false"/>
          <w:iCs w:val="false"/>
        </w:rPr>
        <w:t xml:space="preserve">Every module exposes a consistent API surface, for example: POST /modules/{moduleCode}/upload, POST /modules/{moduleCode}/validate, POST /modules/{moduleCode}/execute, GET /modules/{moduleCode}/findings, GET /modules/{moduleCode}/reports, GET /modules/{moduleCode}/dashboard. Legacy APIs may exist temporarily but shall eventually delegate to the Generic Module Framework.</w:t>
      </w:r>
    </w:p>
    <w:p>
      <w:pPr>
        <w:pStyle w:val="Heading2"/>
        <w:spacing w:after="140" w:before="280"/>
      </w:pPr>
      <w:r>
        <w:t xml:space="preserve">4.8 Configuration-Driven Design &amp; Reusability Rules</w:t>
      </w:r>
    </w:p>
    <w:p>
      <w:pPr>
        <w:spacing w:after="140"/>
      </w:pPr>
      <w:r>
        <w:rPr>
          <w:b w:val="false"/>
          <w:bCs w:val="false"/>
          <w:i w:val="false"/>
          <w:iCs w:val="false"/>
        </w:rPr>
        <w:t xml:space="preserve">Business behavior is controlled through configuration wherever possible — validation rules, risk thresholds, report templates, AI prompt templates, feature flags, dashboard widgets — so code changes are not required for configuration updates.</w:t>
      </w:r>
    </w:p>
    <w:p>
      <w:pPr>
        <w:spacing w:after="140"/>
      </w:pPr>
      <w:r>
        <w:rPr>
          <w:b w:val="false"/>
          <w:bCs w:val="false"/>
          <w:i w:val="false"/>
          <w:iCs w:val="false"/>
        </w:rPr>
        <w:t xml:space="preserve">The following services shall never be duplicated per module: Upload Engine, Validation Engine, Evidence Engine, Risk Engine, AI Engine, Review Engine, Working Paper Engine, Report Engine, Notification Engine, and the Subscription Engine (Chapter 3). Only business rules belong inside module plugins.</w:t>
      </w:r>
    </w:p>
    <w:p>
      <w:pPr>
        <w:pStyle w:val="Heading2"/>
        <w:spacing w:after="140" w:before="280"/>
      </w:pPr>
      <w:r>
        <w:t xml:space="preserve">4.9 Future Scalability</w:t>
      </w:r>
    </w:p>
    <w:p>
      <w:pPr>
        <w:spacing w:after="140"/>
      </w:pPr>
      <w:r>
        <w:rPr>
          <w:b w:val="false"/>
          <w:bCs w:val="false"/>
          <w:i w:val="false"/>
          <w:iCs w:val="false"/>
        </w:rPr>
        <w:t xml:space="preserve">The Generic Module Framework shall support unlimited audit modules: 22 catalog modules today (Chapter 5, per ADR-002), 50+ as a future vision, and an unlimited plugin-based ceiling as the long-term goal. No architectural redesign shall be required as the number of modules increases.</w:t>
      </w:r>
    </w:p>
    <w:p>
      <w:pPr>
        <w:pStyle w:val="Heading1"/>
        <w:pageBreakBefore/>
        <w:spacing w:after="200" w:before="400"/>
      </w:pPr>
      <w:r>
        <w:t xml:space="preserve">5. Audit Module Portfolio</w:t>
      </w:r>
    </w:p>
    <w:p>
      <w:pPr>
        <w:spacing w:after="140"/>
      </w:pPr>
      <w:r>
        <w:rPr>
          <w:b w:val="false"/>
          <w:bCs w:val="false"/>
          <w:i w:val="false"/>
          <w:iCs w:val="false"/>
        </w:rPr>
        <w:t xml:space="preserve">This chapter defers entirely to the existing catalog defined in `docs/adr/ADR-002-Module-Catalog.md` and `docs/business/03_MODULE_CATALOG.md`. An earlier version of this document reclassified three catalog items as shared platform capabilities; that reclassification is retracted — the founder's explicit decision is to keep the repo's existing 22-module catalog as-is.</w:t>
      </w:r>
    </w:p>
    <w:p>
      <w:pPr>
        <w:pStyle w:val="Heading2"/>
        <w:spacing w:after="140" w:before="280"/>
      </w:pPr>
      <w:r>
        <w:t xml:space="preserve">5.1 Master Catalog (22 Modules, per ADR-002)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2000"/>
        <w:gridCol w:w="2400"/>
        <w:gridCol w:w="1200"/>
      </w:tblGrid>
      <w:tr>
        <w:trPr>
          <w:tblHeader/>
        </w:trPr>
        <w:tc>
          <w:tcPr>
            <w:tcW w:type="dxa" w:w="400"/>
            <w:shd w:fill="1F3864" w:val="clear"/>
          </w:tcPr>
          <w:p>
            <w:r>
              <w:rPr>
                <w:b/>
                <w:bCs/>
                <w:color w:val="FFFFFF"/>
                <w:sz w:val="20"/>
                <w:szCs w:val="20"/>
              </w:rPr>
              <w:t xml:space="preserve">#</w:t>
            </w:r>
          </w:p>
        </w:tc>
        <w:tc>
          <w:tcPr>
            <w:tcW w:type="dxa" w:w="3500"/>
            <w:shd w:fill="1F3864" w:val="clear"/>
          </w:tcPr>
          <w:p>
            <w:r>
              <w:rPr>
                <w:b/>
                <w:bCs/>
                <w:color w:val="FFFFFF"/>
                <w:sz w:val="20"/>
                <w:szCs w:val="20"/>
              </w:rPr>
              <w:t xml:space="preserve">Module</w:t>
            </w:r>
          </w:p>
        </w:tc>
        <w:tc>
          <w:tcPr>
            <w:tcW w:type="dxa" w:w="2000"/>
            <w:shd w:fill="1F3864" w:val="clear"/>
          </w:tcPr>
          <w:p>
            <w:r>
              <w:rPr>
                <w:b/>
                <w:bCs/>
                <w:color w:val="FFFFFF"/>
                <w:sz w:val="20"/>
                <w:szCs w:val="20"/>
              </w:rPr>
              <w:t xml:space="preserve">Code</w:t>
            </w:r>
          </w:p>
        </w:tc>
        <w:tc>
          <w:tcPr>
            <w:tcW w:type="dxa" w:w="2400"/>
            <w:shd w:fill="1F3864" w:val="clear"/>
          </w:tcPr>
          <w:p>
            <w:r>
              <w:rPr>
                <w:b/>
                <w:bCs/>
                <w:color w:val="FFFFFF"/>
                <w:sz w:val="20"/>
                <w:szCs w:val="20"/>
              </w:rPr>
              <w:t xml:space="preserve">Category</w:t>
            </w:r>
          </w:p>
        </w:tc>
        <w:tc>
          <w:tcPr>
            <w:tcW w:type="dxa" w:w="1200"/>
            <w:shd w:fill="1F3864" w:val="clear"/>
          </w:tcPr>
          <w:p>
            <w:r>
              <w:rPr>
                <w:b/>
                <w:bCs/>
                <w:color w:val="FFFFFF"/>
                <w:sz w:val="20"/>
                <w:szCs w:val="20"/>
              </w:rPr>
              <w:t xml:space="preserve">Status</w:t>
            </w:r>
          </w:p>
        </w:tc>
      </w:tr>
      <w:tr>
        <w:tc>
          <w:tcPr>
            <w:tcW w:type="dxa" w:w="400"/>
          </w:tcPr>
          <w:p>
            <w:r>
              <w:rPr>
                <w:b w:val="false"/>
                <w:bCs w:val="false"/>
                <w:sz w:val="20"/>
                <w:szCs w:val="20"/>
              </w:rPr>
              <w:t xml:space="preserve">1</w:t>
            </w:r>
          </w:p>
        </w:tc>
        <w:tc>
          <w:tcPr>
            <w:tcW w:type="dxa" w:w="3500"/>
          </w:tcPr>
          <w:p>
            <w:r>
              <w:rPr>
                <w:b w:val="false"/>
                <w:bCs w:val="false"/>
                <w:sz w:val="20"/>
                <w:szCs w:val="20"/>
              </w:rPr>
              <w:t xml:space="preserve">Journal Entry Testing</w:t>
            </w:r>
          </w:p>
        </w:tc>
        <w:tc>
          <w:tcPr>
            <w:tcW w:type="dxa" w:w="2000"/>
          </w:tcPr>
          <w:p>
            <w:r>
              <w:rPr>
                <w:b w:val="false"/>
                <w:bCs w:val="false"/>
                <w:sz w:val="20"/>
                <w:szCs w:val="20"/>
              </w:rPr>
              <w:t xml:space="preserve">JOURNAL_ENTRY_TESTING</w:t>
            </w:r>
          </w:p>
        </w:tc>
        <w:tc>
          <w:tcPr>
            <w:tcW w:type="dxa" w:w="2400"/>
          </w:tcPr>
          <w:p>
            <w:r>
              <w:rPr>
                <w:b w:val="false"/>
                <w:bCs w:val="false"/>
                <w:sz w:val="20"/>
                <w:szCs w:val="20"/>
              </w:rPr>
              <w:t xml:space="preserve">Financial Statement Testing</w:t>
            </w:r>
          </w:p>
        </w:tc>
        <w:tc>
          <w:tcPr>
            <w:tcW w:type="dxa" w:w="1200"/>
          </w:tcPr>
          <w:p>
            <w:r>
              <w:rPr>
                <w:b w:val="false"/>
                <w:bCs w:val="false"/>
                <w:sz w:val="20"/>
                <w:szCs w:val="20"/>
              </w:rPr>
              <w:t xml:space="preserve">Built</w:t>
            </w:r>
          </w:p>
        </w:tc>
      </w:tr>
      <w:tr>
        <w:tc>
          <w:tcPr>
            <w:tcW w:type="dxa" w:w="400"/>
          </w:tcPr>
          <w:p>
            <w:r>
              <w:rPr>
                <w:b w:val="false"/>
                <w:bCs w:val="false"/>
                <w:sz w:val="20"/>
                <w:szCs w:val="20"/>
              </w:rPr>
              <w:t xml:space="preserve">2</w:t>
            </w:r>
          </w:p>
        </w:tc>
        <w:tc>
          <w:tcPr>
            <w:tcW w:type="dxa" w:w="3500"/>
          </w:tcPr>
          <w:p>
            <w:r>
              <w:rPr>
                <w:b w:val="false"/>
                <w:bCs w:val="false"/>
                <w:sz w:val="20"/>
                <w:szCs w:val="20"/>
              </w:rPr>
              <w:t xml:space="preserve">Revenue Testing</w:t>
            </w:r>
          </w:p>
        </w:tc>
        <w:tc>
          <w:tcPr>
            <w:tcW w:type="dxa" w:w="2000"/>
          </w:tcPr>
          <w:p>
            <w:r>
              <w:rPr>
                <w:b w:val="false"/>
                <w:bCs w:val="false"/>
                <w:sz w:val="20"/>
                <w:szCs w:val="20"/>
              </w:rPr>
              <w:t xml:space="preserve">REVENUE_TESTING</w:t>
            </w:r>
          </w:p>
        </w:tc>
        <w:tc>
          <w:tcPr>
            <w:tcW w:type="dxa" w:w="2400"/>
          </w:tcPr>
          <w:p>
            <w:r>
              <w:rPr>
                <w:b w:val="false"/>
                <w:bCs w:val="false"/>
                <w:sz w:val="20"/>
                <w:szCs w:val="20"/>
              </w:rPr>
              <w:t xml:space="preserve">Financial Statement Testing</w:t>
            </w:r>
          </w:p>
        </w:tc>
        <w:tc>
          <w:tcPr>
            <w:tcW w:type="dxa" w:w="1200"/>
          </w:tcPr>
          <w:p>
            <w:r>
              <w:rPr>
                <w:b w:val="false"/>
                <w:bCs w:val="false"/>
                <w:sz w:val="20"/>
                <w:szCs w:val="20"/>
              </w:rPr>
              <w:t xml:space="preserve">Built</w:t>
            </w:r>
          </w:p>
        </w:tc>
      </w:tr>
      <w:tr>
        <w:tc>
          <w:tcPr>
            <w:tcW w:type="dxa" w:w="400"/>
          </w:tcPr>
          <w:p>
            <w:r>
              <w:rPr>
                <w:b w:val="false"/>
                <w:bCs w:val="false"/>
                <w:sz w:val="20"/>
                <w:szCs w:val="20"/>
              </w:rPr>
              <w:t xml:space="preserve">3</w:t>
            </w:r>
          </w:p>
        </w:tc>
        <w:tc>
          <w:tcPr>
            <w:tcW w:type="dxa" w:w="3500"/>
          </w:tcPr>
          <w:p>
            <w:r>
              <w:rPr>
                <w:b w:val="false"/>
                <w:bCs w:val="false"/>
                <w:sz w:val="20"/>
                <w:szCs w:val="20"/>
              </w:rPr>
              <w:t xml:space="preserve">Procurement Testing</w:t>
            </w:r>
          </w:p>
        </w:tc>
        <w:tc>
          <w:tcPr>
            <w:tcW w:type="dxa" w:w="2000"/>
          </w:tcPr>
          <w:p>
            <w:r>
              <w:rPr>
                <w:b w:val="false"/>
                <w:bCs w:val="false"/>
                <w:sz w:val="20"/>
                <w:szCs w:val="20"/>
              </w:rPr>
              <w:t xml:space="preserve">PROCUREMENT_TESTING</w:t>
            </w:r>
          </w:p>
        </w:tc>
        <w:tc>
          <w:tcPr>
            <w:tcW w:type="dxa" w:w="2400"/>
          </w:tcPr>
          <w:p>
            <w:r>
              <w:rPr>
                <w:b w:val="false"/>
                <w:bCs w:val="false"/>
                <w:sz w:val="20"/>
                <w:szCs w:val="20"/>
              </w:rPr>
              <w:t xml:space="preserve">Procure-to-Pay</w:t>
            </w:r>
          </w:p>
        </w:tc>
        <w:tc>
          <w:tcPr>
            <w:tcW w:type="dxa" w:w="1200"/>
          </w:tcPr>
          <w:p>
            <w:r>
              <w:rPr>
                <w:b w:val="false"/>
                <w:bCs w:val="false"/>
                <w:sz w:val="20"/>
                <w:szCs w:val="20"/>
              </w:rPr>
              <w:t xml:space="preserve">Built</w:t>
            </w:r>
          </w:p>
        </w:tc>
      </w:tr>
      <w:tr>
        <w:tc>
          <w:tcPr>
            <w:tcW w:type="dxa" w:w="400"/>
          </w:tcPr>
          <w:p>
            <w:r>
              <w:rPr>
                <w:b w:val="false"/>
                <w:bCs w:val="false"/>
                <w:sz w:val="20"/>
                <w:szCs w:val="20"/>
              </w:rPr>
              <w:t xml:space="preserve">4</w:t>
            </w:r>
          </w:p>
        </w:tc>
        <w:tc>
          <w:tcPr>
            <w:tcW w:type="dxa" w:w="3500"/>
          </w:tcPr>
          <w:p>
            <w:r>
              <w:rPr>
                <w:b w:val="false"/>
                <w:bCs w:val="false"/>
                <w:sz w:val="20"/>
                <w:szCs w:val="20"/>
              </w:rPr>
              <w:t xml:space="preserve">Ledger Scrutiny</w:t>
            </w:r>
          </w:p>
        </w:tc>
        <w:tc>
          <w:tcPr>
            <w:tcW w:type="dxa" w:w="2000"/>
          </w:tcPr>
          <w:p>
            <w:r>
              <w:rPr>
                <w:b w:val="false"/>
                <w:bCs w:val="false"/>
                <w:sz w:val="20"/>
                <w:szCs w:val="20"/>
              </w:rPr>
              <w:t xml:space="preserve">LEDGER_SCRUTINY</w:t>
            </w:r>
          </w:p>
        </w:tc>
        <w:tc>
          <w:tcPr>
            <w:tcW w:type="dxa" w:w="2400"/>
          </w:tcPr>
          <w:p>
            <w:r>
              <w:rPr>
                <w:b w:val="false"/>
                <w:bCs w:val="false"/>
                <w:sz w:val="20"/>
                <w:szCs w:val="20"/>
              </w:rPr>
              <w:t xml:space="preserve">Financial Statement Testing</w:t>
            </w:r>
          </w:p>
        </w:tc>
        <w:tc>
          <w:tcPr>
            <w:tcW w:type="dxa" w:w="1200"/>
          </w:tcPr>
          <w:p>
            <w:r>
              <w:rPr>
                <w:b w:val="false"/>
                <w:bCs w:val="false"/>
                <w:sz w:val="20"/>
                <w:szCs w:val="20"/>
              </w:rPr>
              <w:t xml:space="preserve">Planned</w:t>
            </w:r>
          </w:p>
        </w:tc>
      </w:tr>
      <w:tr>
        <w:tc>
          <w:tcPr>
            <w:tcW w:type="dxa" w:w="400"/>
          </w:tcPr>
          <w:p>
            <w:r>
              <w:rPr>
                <w:b w:val="false"/>
                <w:bCs w:val="false"/>
                <w:sz w:val="20"/>
                <w:szCs w:val="20"/>
              </w:rPr>
              <w:t xml:space="preserve">5</w:t>
            </w:r>
          </w:p>
        </w:tc>
        <w:tc>
          <w:tcPr>
            <w:tcW w:type="dxa" w:w="3500"/>
          </w:tcPr>
          <w:p>
            <w:r>
              <w:rPr>
                <w:b w:val="false"/>
                <w:bCs w:val="false"/>
                <w:sz w:val="20"/>
                <w:szCs w:val="20"/>
              </w:rPr>
              <w:t xml:space="preserve">Duplicate Payment Checking</w:t>
            </w:r>
          </w:p>
        </w:tc>
        <w:tc>
          <w:tcPr>
            <w:tcW w:type="dxa" w:w="2000"/>
          </w:tcPr>
          <w:p>
            <w:r>
              <w:rPr>
                <w:b w:val="false"/>
                <w:bCs w:val="false"/>
                <w:sz w:val="20"/>
                <w:szCs w:val="20"/>
              </w:rPr>
              <w:t xml:space="preserve">DUPLICATE_PAYMENT</w:t>
            </w:r>
          </w:p>
        </w:tc>
        <w:tc>
          <w:tcPr>
            <w:tcW w:type="dxa" w:w="2400"/>
          </w:tcPr>
          <w:p>
            <w:r>
              <w:rPr>
                <w:b w:val="false"/>
                <w:bCs w:val="false"/>
                <w:sz w:val="20"/>
                <w:szCs w:val="20"/>
              </w:rPr>
              <w:t xml:space="preserve">Procure-to-Pay</w:t>
            </w:r>
          </w:p>
        </w:tc>
        <w:tc>
          <w:tcPr>
            <w:tcW w:type="dxa" w:w="1200"/>
          </w:tcPr>
          <w:p>
            <w:r>
              <w:rPr>
                <w:b w:val="false"/>
                <w:bCs w:val="false"/>
                <w:sz w:val="20"/>
                <w:szCs w:val="20"/>
              </w:rPr>
              <w:t xml:space="preserve">Planned</w:t>
            </w:r>
          </w:p>
        </w:tc>
      </w:tr>
      <w:tr>
        <w:tc>
          <w:tcPr>
            <w:tcW w:type="dxa" w:w="400"/>
          </w:tcPr>
          <w:p>
            <w:r>
              <w:rPr>
                <w:b w:val="false"/>
                <w:bCs w:val="false"/>
                <w:sz w:val="20"/>
                <w:szCs w:val="20"/>
              </w:rPr>
              <w:t xml:space="preserve">6</w:t>
            </w:r>
          </w:p>
        </w:tc>
        <w:tc>
          <w:tcPr>
            <w:tcW w:type="dxa" w:w="3500"/>
          </w:tcPr>
          <w:p>
            <w:r>
              <w:rPr>
                <w:b w:val="false"/>
                <w:bCs w:val="false"/>
                <w:sz w:val="20"/>
                <w:szCs w:val="20"/>
              </w:rPr>
              <w:t xml:space="preserve">Bank Reconciliation</w:t>
            </w:r>
          </w:p>
        </w:tc>
        <w:tc>
          <w:tcPr>
            <w:tcW w:type="dxa" w:w="2000"/>
          </w:tcPr>
          <w:p>
            <w:r>
              <w:rPr>
                <w:b w:val="false"/>
                <w:bCs w:val="false"/>
                <w:sz w:val="20"/>
                <w:szCs w:val="20"/>
              </w:rPr>
              <w:t xml:space="preserve">BANK_RECONCILIATION</w:t>
            </w:r>
          </w:p>
        </w:tc>
        <w:tc>
          <w:tcPr>
            <w:tcW w:type="dxa" w:w="2400"/>
          </w:tcPr>
          <w:p>
            <w:r>
              <w:rPr>
                <w:b w:val="false"/>
                <w:bCs w:val="false"/>
                <w:sz w:val="20"/>
                <w:szCs w:val="20"/>
              </w:rPr>
              <w:t xml:space="preserve">Financial Statement Testing</w:t>
            </w:r>
          </w:p>
        </w:tc>
        <w:tc>
          <w:tcPr>
            <w:tcW w:type="dxa" w:w="1200"/>
          </w:tcPr>
          <w:p>
            <w:r>
              <w:rPr>
                <w:b w:val="false"/>
                <w:bCs w:val="false"/>
                <w:sz w:val="20"/>
                <w:szCs w:val="20"/>
              </w:rPr>
              <w:t xml:space="preserve">Planned</w:t>
            </w:r>
          </w:p>
        </w:tc>
      </w:tr>
      <w:tr>
        <w:tc>
          <w:tcPr>
            <w:tcW w:type="dxa" w:w="400"/>
          </w:tcPr>
          <w:p>
            <w:r>
              <w:rPr>
                <w:b w:val="false"/>
                <w:bCs w:val="false"/>
                <w:sz w:val="20"/>
                <w:szCs w:val="20"/>
              </w:rPr>
              <w:t xml:space="preserve">7</w:t>
            </w:r>
          </w:p>
        </w:tc>
        <w:tc>
          <w:tcPr>
            <w:tcW w:type="dxa" w:w="3500"/>
          </w:tcPr>
          <w:p>
            <w:r>
              <w:rPr>
                <w:b w:val="false"/>
                <w:bCs w:val="false"/>
                <w:sz w:val="20"/>
                <w:szCs w:val="20"/>
              </w:rPr>
              <w:t xml:space="preserve">Purchase Order Matching</w:t>
            </w:r>
          </w:p>
        </w:tc>
        <w:tc>
          <w:tcPr>
            <w:tcW w:type="dxa" w:w="2000"/>
          </w:tcPr>
          <w:p>
            <w:r>
              <w:rPr>
                <w:b w:val="false"/>
                <w:bCs w:val="false"/>
                <w:sz w:val="20"/>
                <w:szCs w:val="20"/>
              </w:rPr>
              <w:t xml:space="preserve">PO_MATCHING</w:t>
            </w:r>
          </w:p>
        </w:tc>
        <w:tc>
          <w:tcPr>
            <w:tcW w:type="dxa" w:w="2400"/>
          </w:tcPr>
          <w:p>
            <w:r>
              <w:rPr>
                <w:b w:val="false"/>
                <w:bCs w:val="false"/>
                <w:sz w:val="20"/>
                <w:szCs w:val="20"/>
              </w:rPr>
              <w:t xml:space="preserve">Procure-to-Pay</w:t>
            </w:r>
          </w:p>
        </w:tc>
        <w:tc>
          <w:tcPr>
            <w:tcW w:type="dxa" w:w="1200"/>
          </w:tcPr>
          <w:p>
            <w:r>
              <w:rPr>
                <w:b w:val="false"/>
                <w:bCs w:val="false"/>
                <w:sz w:val="20"/>
                <w:szCs w:val="20"/>
              </w:rPr>
              <w:t xml:space="preserve">Planned</w:t>
            </w:r>
          </w:p>
        </w:tc>
      </w:tr>
      <w:tr>
        <w:tc>
          <w:tcPr>
            <w:tcW w:type="dxa" w:w="400"/>
          </w:tcPr>
          <w:p>
            <w:r>
              <w:rPr>
                <w:b w:val="false"/>
                <w:bCs w:val="false"/>
                <w:sz w:val="20"/>
                <w:szCs w:val="20"/>
              </w:rPr>
              <w:t xml:space="preserve">8</w:t>
            </w:r>
          </w:p>
        </w:tc>
        <w:tc>
          <w:tcPr>
            <w:tcW w:type="dxa" w:w="3500"/>
          </w:tcPr>
          <w:p>
            <w:r>
              <w:rPr>
                <w:b w:val="false"/>
                <w:bCs w:val="false"/>
                <w:sz w:val="20"/>
                <w:szCs w:val="20"/>
              </w:rPr>
              <w:t xml:space="preserve">Vendor Invoice Validation</w:t>
            </w:r>
          </w:p>
        </w:tc>
        <w:tc>
          <w:tcPr>
            <w:tcW w:type="dxa" w:w="2000"/>
          </w:tcPr>
          <w:p>
            <w:r>
              <w:rPr>
                <w:b w:val="false"/>
                <w:bCs w:val="false"/>
                <w:sz w:val="20"/>
                <w:szCs w:val="20"/>
              </w:rPr>
              <w:t xml:space="preserve">VENDOR_INVOICE</w:t>
            </w:r>
          </w:p>
        </w:tc>
        <w:tc>
          <w:tcPr>
            <w:tcW w:type="dxa" w:w="2400"/>
          </w:tcPr>
          <w:p>
            <w:r>
              <w:rPr>
                <w:b w:val="false"/>
                <w:bCs w:val="false"/>
                <w:sz w:val="20"/>
                <w:szCs w:val="20"/>
              </w:rPr>
              <w:t xml:space="preserve">Procure-to-Pay</w:t>
            </w:r>
          </w:p>
        </w:tc>
        <w:tc>
          <w:tcPr>
            <w:tcW w:type="dxa" w:w="1200"/>
          </w:tcPr>
          <w:p>
            <w:r>
              <w:rPr>
                <w:b w:val="false"/>
                <w:bCs w:val="false"/>
                <w:sz w:val="20"/>
                <w:szCs w:val="20"/>
              </w:rPr>
              <w:t xml:space="preserve">Planned</w:t>
            </w:r>
          </w:p>
        </w:tc>
      </w:tr>
      <w:tr>
        <w:tc>
          <w:tcPr>
            <w:tcW w:type="dxa" w:w="400"/>
          </w:tcPr>
          <w:p>
            <w:r>
              <w:rPr>
                <w:b w:val="false"/>
                <w:bCs w:val="false"/>
                <w:sz w:val="20"/>
                <w:szCs w:val="20"/>
              </w:rPr>
              <w:t xml:space="preserve">9</w:t>
            </w:r>
          </w:p>
        </w:tc>
        <w:tc>
          <w:tcPr>
            <w:tcW w:type="dxa" w:w="3500"/>
          </w:tcPr>
          <w:p>
            <w:r>
              <w:rPr>
                <w:b w:val="false"/>
                <w:bCs w:val="false"/>
                <w:sz w:val="20"/>
                <w:szCs w:val="20"/>
              </w:rPr>
              <w:t xml:space="preserve">Expense Claim Verification</w:t>
            </w:r>
          </w:p>
        </w:tc>
        <w:tc>
          <w:tcPr>
            <w:tcW w:type="dxa" w:w="2000"/>
          </w:tcPr>
          <w:p>
            <w:r>
              <w:rPr>
                <w:b w:val="false"/>
                <w:bCs w:val="false"/>
                <w:sz w:val="20"/>
                <w:szCs w:val="20"/>
              </w:rPr>
              <w:t xml:space="preserve">EXPENSE_CLAIM</w:t>
            </w:r>
          </w:p>
        </w:tc>
        <w:tc>
          <w:tcPr>
            <w:tcW w:type="dxa" w:w="2400"/>
          </w:tcPr>
          <w:p>
            <w:r>
              <w:rPr>
                <w:b w:val="false"/>
                <w:bCs w:val="false"/>
                <w:sz w:val="20"/>
                <w:szCs w:val="20"/>
              </w:rPr>
              <w:t xml:space="preserve">Payroll &amp; HR</w:t>
            </w:r>
          </w:p>
        </w:tc>
        <w:tc>
          <w:tcPr>
            <w:tcW w:type="dxa" w:w="1200"/>
          </w:tcPr>
          <w:p>
            <w:r>
              <w:rPr>
                <w:b w:val="false"/>
                <w:bCs w:val="false"/>
                <w:sz w:val="20"/>
                <w:szCs w:val="20"/>
              </w:rPr>
              <w:t xml:space="preserve">Planned</w:t>
            </w:r>
          </w:p>
        </w:tc>
      </w:tr>
      <w:tr>
        <w:tc>
          <w:tcPr>
            <w:tcW w:type="dxa" w:w="400"/>
          </w:tcPr>
          <w:p>
            <w:r>
              <w:rPr>
                <w:b w:val="false"/>
                <w:bCs w:val="false"/>
                <w:sz w:val="20"/>
                <w:szCs w:val="20"/>
              </w:rPr>
              <w:t xml:space="preserve">10</w:t>
            </w:r>
          </w:p>
        </w:tc>
        <w:tc>
          <w:tcPr>
            <w:tcW w:type="dxa" w:w="3500"/>
          </w:tcPr>
          <w:p>
            <w:r>
              <w:rPr>
                <w:b w:val="false"/>
                <w:bCs w:val="false"/>
                <w:sz w:val="20"/>
                <w:szCs w:val="20"/>
              </w:rPr>
              <w:t xml:space="preserve">Fixed Asset Verification</w:t>
            </w:r>
          </w:p>
        </w:tc>
        <w:tc>
          <w:tcPr>
            <w:tcW w:type="dxa" w:w="2000"/>
          </w:tcPr>
          <w:p>
            <w:r>
              <w:rPr>
                <w:b w:val="false"/>
                <w:bCs w:val="false"/>
                <w:sz w:val="20"/>
                <w:szCs w:val="20"/>
              </w:rPr>
              <w:t xml:space="preserve">FIXED_ASSET</w:t>
            </w:r>
          </w:p>
        </w:tc>
        <w:tc>
          <w:tcPr>
            <w:tcW w:type="dxa" w:w="2400"/>
          </w:tcPr>
          <w:p>
            <w:r>
              <w:rPr>
                <w:b w:val="false"/>
                <w:bCs w:val="false"/>
                <w:sz w:val="20"/>
                <w:szCs w:val="20"/>
              </w:rPr>
              <w:t xml:space="preserve">Financial Statement Testing</w:t>
            </w:r>
          </w:p>
        </w:tc>
        <w:tc>
          <w:tcPr>
            <w:tcW w:type="dxa" w:w="1200"/>
          </w:tcPr>
          <w:p>
            <w:r>
              <w:rPr>
                <w:b w:val="false"/>
                <w:bCs w:val="false"/>
                <w:sz w:val="20"/>
                <w:szCs w:val="20"/>
              </w:rPr>
              <w:t xml:space="preserve">Planned</w:t>
            </w:r>
          </w:p>
        </w:tc>
      </w:tr>
      <w:tr>
        <w:tc>
          <w:tcPr>
            <w:tcW w:type="dxa" w:w="400"/>
          </w:tcPr>
          <w:p>
            <w:r>
              <w:rPr>
                <w:b w:val="false"/>
                <w:bCs w:val="false"/>
                <w:sz w:val="20"/>
                <w:szCs w:val="20"/>
              </w:rPr>
              <w:t xml:space="preserve">11</w:t>
            </w:r>
          </w:p>
        </w:tc>
        <w:tc>
          <w:tcPr>
            <w:tcW w:type="dxa" w:w="3500"/>
          </w:tcPr>
          <w:p>
            <w:r>
              <w:rPr>
                <w:b w:val="false"/>
                <w:bCs w:val="false"/>
                <w:sz w:val="20"/>
                <w:szCs w:val="20"/>
              </w:rPr>
              <w:t xml:space="preserve">Depreciation Recalculation</w:t>
            </w:r>
          </w:p>
        </w:tc>
        <w:tc>
          <w:tcPr>
            <w:tcW w:type="dxa" w:w="2000"/>
          </w:tcPr>
          <w:p>
            <w:r>
              <w:rPr>
                <w:b w:val="false"/>
                <w:bCs w:val="false"/>
                <w:sz w:val="20"/>
                <w:szCs w:val="20"/>
              </w:rPr>
              <w:t xml:space="preserve">DEPRECIATION</w:t>
            </w:r>
          </w:p>
        </w:tc>
        <w:tc>
          <w:tcPr>
            <w:tcW w:type="dxa" w:w="2400"/>
          </w:tcPr>
          <w:p>
            <w:r>
              <w:rPr>
                <w:b w:val="false"/>
                <w:bCs w:val="false"/>
                <w:sz w:val="20"/>
                <w:szCs w:val="20"/>
              </w:rPr>
              <w:t xml:space="preserve">Financial Statement Testing</w:t>
            </w:r>
          </w:p>
        </w:tc>
        <w:tc>
          <w:tcPr>
            <w:tcW w:type="dxa" w:w="1200"/>
          </w:tcPr>
          <w:p>
            <w:r>
              <w:rPr>
                <w:b w:val="false"/>
                <w:bCs w:val="false"/>
                <w:sz w:val="20"/>
                <w:szCs w:val="20"/>
              </w:rPr>
              <w:t xml:space="preserve">Planned</w:t>
            </w:r>
          </w:p>
        </w:tc>
      </w:tr>
      <w:tr>
        <w:tc>
          <w:tcPr>
            <w:tcW w:type="dxa" w:w="400"/>
          </w:tcPr>
          <w:p>
            <w:r>
              <w:rPr>
                <w:b w:val="false"/>
                <w:bCs w:val="false"/>
                <w:sz w:val="20"/>
                <w:szCs w:val="20"/>
              </w:rPr>
              <w:t xml:space="preserve">12</w:t>
            </w:r>
          </w:p>
        </w:tc>
        <w:tc>
          <w:tcPr>
            <w:tcW w:type="dxa" w:w="3500"/>
          </w:tcPr>
          <w:p>
            <w:r>
              <w:rPr>
                <w:b w:val="false"/>
                <w:bCs w:val="false"/>
                <w:sz w:val="20"/>
                <w:szCs w:val="20"/>
              </w:rPr>
              <w:t xml:space="preserve">TDS Deduction Checking</w:t>
            </w:r>
          </w:p>
        </w:tc>
        <w:tc>
          <w:tcPr>
            <w:tcW w:type="dxa" w:w="2000"/>
          </w:tcPr>
          <w:p>
            <w:r>
              <w:rPr>
                <w:b w:val="false"/>
                <w:bCs w:val="false"/>
                <w:sz w:val="20"/>
                <w:szCs w:val="20"/>
              </w:rPr>
              <w:t xml:space="preserve">TDS_CHECKING</w:t>
            </w:r>
          </w:p>
        </w:tc>
        <w:tc>
          <w:tcPr>
            <w:tcW w:type="dxa" w:w="2400"/>
          </w:tcPr>
          <w:p>
            <w:r>
              <w:rPr>
                <w:b w:val="false"/>
                <w:bCs w:val="false"/>
                <w:sz w:val="20"/>
                <w:szCs w:val="20"/>
              </w:rPr>
              <w:t xml:space="preserve">Compliance &amp; Tax (India)</w:t>
            </w:r>
          </w:p>
        </w:tc>
        <w:tc>
          <w:tcPr>
            <w:tcW w:type="dxa" w:w="1200"/>
          </w:tcPr>
          <w:p>
            <w:r>
              <w:rPr>
                <w:b w:val="false"/>
                <w:bCs w:val="false"/>
                <w:sz w:val="20"/>
                <w:szCs w:val="20"/>
              </w:rPr>
              <w:t xml:space="preserve">Planned</w:t>
            </w:r>
          </w:p>
        </w:tc>
      </w:tr>
      <w:tr>
        <w:tc>
          <w:tcPr>
            <w:tcW w:type="dxa" w:w="400"/>
          </w:tcPr>
          <w:p>
            <w:r>
              <w:rPr>
                <w:b w:val="false"/>
                <w:bCs w:val="false"/>
                <w:sz w:val="20"/>
                <w:szCs w:val="20"/>
              </w:rPr>
              <w:t xml:space="preserve">13</w:t>
            </w:r>
          </w:p>
        </w:tc>
        <w:tc>
          <w:tcPr>
            <w:tcW w:type="dxa" w:w="3500"/>
          </w:tcPr>
          <w:p>
            <w:r>
              <w:rPr>
                <w:b w:val="false"/>
                <w:bCs w:val="false"/>
                <w:sz w:val="20"/>
                <w:szCs w:val="20"/>
              </w:rPr>
              <w:t xml:space="preserve">GST Mismatch Checking</w:t>
            </w:r>
          </w:p>
        </w:tc>
        <w:tc>
          <w:tcPr>
            <w:tcW w:type="dxa" w:w="2000"/>
          </w:tcPr>
          <w:p>
            <w:r>
              <w:rPr>
                <w:b w:val="false"/>
                <w:bCs w:val="false"/>
                <w:sz w:val="20"/>
                <w:szCs w:val="20"/>
              </w:rPr>
              <w:t xml:space="preserve">GST_MISMATCH</w:t>
            </w:r>
          </w:p>
        </w:tc>
        <w:tc>
          <w:tcPr>
            <w:tcW w:type="dxa" w:w="2400"/>
          </w:tcPr>
          <w:p>
            <w:r>
              <w:rPr>
                <w:b w:val="false"/>
                <w:bCs w:val="false"/>
                <w:sz w:val="20"/>
                <w:szCs w:val="20"/>
              </w:rPr>
              <w:t xml:space="preserve">Compliance &amp; Tax (India)</w:t>
            </w:r>
          </w:p>
        </w:tc>
        <w:tc>
          <w:tcPr>
            <w:tcW w:type="dxa" w:w="1200"/>
          </w:tcPr>
          <w:p>
            <w:r>
              <w:rPr>
                <w:b w:val="false"/>
                <w:bCs w:val="false"/>
                <w:sz w:val="20"/>
                <w:szCs w:val="20"/>
              </w:rPr>
              <w:t xml:space="preserve">Planned</w:t>
            </w:r>
          </w:p>
        </w:tc>
      </w:tr>
      <w:tr>
        <w:tc>
          <w:tcPr>
            <w:tcW w:type="dxa" w:w="400"/>
          </w:tcPr>
          <w:p>
            <w:r>
              <w:rPr>
                <w:b w:val="false"/>
                <w:bCs w:val="false"/>
                <w:sz w:val="20"/>
                <w:szCs w:val="20"/>
              </w:rPr>
              <w:t xml:space="preserve">14</w:t>
            </w:r>
          </w:p>
        </w:tc>
        <w:tc>
          <w:tcPr>
            <w:tcW w:type="dxa" w:w="3500"/>
          </w:tcPr>
          <w:p>
            <w:r>
              <w:rPr>
                <w:b w:val="false"/>
                <w:bCs w:val="false"/>
                <w:sz w:val="20"/>
                <w:szCs w:val="20"/>
              </w:rPr>
              <w:t xml:space="preserve">GST Input Tax Credit Validation</w:t>
            </w:r>
          </w:p>
        </w:tc>
        <w:tc>
          <w:tcPr>
            <w:tcW w:type="dxa" w:w="2000"/>
          </w:tcPr>
          <w:p>
            <w:r>
              <w:rPr>
                <w:b w:val="false"/>
                <w:bCs w:val="false"/>
                <w:sz w:val="20"/>
                <w:szCs w:val="20"/>
              </w:rPr>
              <w:t xml:space="preserve">GST_ITC</w:t>
            </w:r>
          </w:p>
        </w:tc>
        <w:tc>
          <w:tcPr>
            <w:tcW w:type="dxa" w:w="2400"/>
          </w:tcPr>
          <w:p>
            <w:r>
              <w:rPr>
                <w:b w:val="false"/>
                <w:bCs w:val="false"/>
                <w:sz w:val="20"/>
                <w:szCs w:val="20"/>
              </w:rPr>
              <w:t xml:space="preserve">Compliance &amp; Tax (India)</w:t>
            </w:r>
          </w:p>
        </w:tc>
        <w:tc>
          <w:tcPr>
            <w:tcW w:type="dxa" w:w="1200"/>
          </w:tcPr>
          <w:p>
            <w:r>
              <w:rPr>
                <w:b w:val="false"/>
                <w:bCs w:val="false"/>
                <w:sz w:val="20"/>
                <w:szCs w:val="20"/>
              </w:rPr>
              <w:t xml:space="preserve">Planned</w:t>
            </w:r>
          </w:p>
        </w:tc>
      </w:tr>
      <w:tr>
        <w:tc>
          <w:tcPr>
            <w:tcW w:type="dxa" w:w="400"/>
          </w:tcPr>
          <w:p>
            <w:r>
              <w:rPr>
                <w:b w:val="false"/>
                <w:bCs w:val="false"/>
                <w:sz w:val="20"/>
                <w:szCs w:val="20"/>
              </w:rPr>
              <w:t xml:space="preserve">15</w:t>
            </w:r>
          </w:p>
        </w:tc>
        <w:tc>
          <w:tcPr>
            <w:tcW w:type="dxa" w:w="3500"/>
          </w:tcPr>
          <w:p>
            <w:r>
              <w:rPr>
                <w:b w:val="false"/>
                <w:bCs w:val="false"/>
                <w:sz w:val="20"/>
                <w:szCs w:val="20"/>
              </w:rPr>
              <w:t xml:space="preserve">Customer Balance Confirmation</w:t>
            </w:r>
          </w:p>
        </w:tc>
        <w:tc>
          <w:tcPr>
            <w:tcW w:type="dxa" w:w="2000"/>
          </w:tcPr>
          <w:p>
            <w:r>
              <w:rPr>
                <w:b w:val="false"/>
                <w:bCs w:val="false"/>
                <w:sz w:val="20"/>
                <w:szCs w:val="20"/>
              </w:rPr>
              <w:t xml:space="preserve">CUSTOMER_BALANCE</w:t>
            </w:r>
          </w:p>
        </w:tc>
        <w:tc>
          <w:tcPr>
            <w:tcW w:type="dxa" w:w="2400"/>
          </w:tcPr>
          <w:p>
            <w:r>
              <w:rPr>
                <w:b w:val="false"/>
                <w:bCs w:val="false"/>
                <w:sz w:val="20"/>
                <w:szCs w:val="20"/>
              </w:rPr>
              <w:t xml:space="preserve">Financial Statement Testing</w:t>
            </w:r>
          </w:p>
        </w:tc>
        <w:tc>
          <w:tcPr>
            <w:tcW w:type="dxa" w:w="1200"/>
          </w:tcPr>
          <w:p>
            <w:r>
              <w:rPr>
                <w:b w:val="false"/>
                <w:bCs w:val="false"/>
                <w:sz w:val="20"/>
                <w:szCs w:val="20"/>
              </w:rPr>
              <w:t xml:space="preserve">Planned</w:t>
            </w:r>
          </w:p>
        </w:tc>
      </w:tr>
      <w:tr>
        <w:tc>
          <w:tcPr>
            <w:tcW w:type="dxa" w:w="400"/>
          </w:tcPr>
          <w:p>
            <w:r>
              <w:rPr>
                <w:b w:val="false"/>
                <w:bCs w:val="false"/>
                <w:sz w:val="20"/>
                <w:szCs w:val="20"/>
              </w:rPr>
              <w:t xml:space="preserve">16</w:t>
            </w:r>
          </w:p>
        </w:tc>
        <w:tc>
          <w:tcPr>
            <w:tcW w:type="dxa" w:w="3500"/>
          </w:tcPr>
          <w:p>
            <w:r>
              <w:rPr>
                <w:b w:val="false"/>
                <w:bCs w:val="false"/>
                <w:sz w:val="20"/>
                <w:szCs w:val="20"/>
              </w:rPr>
              <w:t xml:space="preserve">Payroll Audit Checking</w:t>
            </w:r>
          </w:p>
        </w:tc>
        <w:tc>
          <w:tcPr>
            <w:tcW w:type="dxa" w:w="2000"/>
          </w:tcPr>
          <w:p>
            <w:r>
              <w:rPr>
                <w:b w:val="false"/>
                <w:bCs w:val="false"/>
                <w:sz w:val="20"/>
                <w:szCs w:val="20"/>
              </w:rPr>
              <w:t xml:space="preserve">PAYROLL</w:t>
            </w:r>
          </w:p>
        </w:tc>
        <w:tc>
          <w:tcPr>
            <w:tcW w:type="dxa" w:w="2400"/>
          </w:tcPr>
          <w:p>
            <w:r>
              <w:rPr>
                <w:b w:val="false"/>
                <w:bCs w:val="false"/>
                <w:sz w:val="20"/>
                <w:szCs w:val="20"/>
              </w:rPr>
              <w:t xml:space="preserve">Payroll &amp; HR</w:t>
            </w:r>
          </w:p>
        </w:tc>
        <w:tc>
          <w:tcPr>
            <w:tcW w:type="dxa" w:w="1200"/>
          </w:tcPr>
          <w:p>
            <w:r>
              <w:rPr>
                <w:b w:val="false"/>
                <w:bCs w:val="false"/>
                <w:sz w:val="20"/>
                <w:szCs w:val="20"/>
              </w:rPr>
              <w:t xml:space="preserve">Planned</w:t>
            </w:r>
          </w:p>
        </w:tc>
      </w:tr>
      <w:tr>
        <w:tc>
          <w:tcPr>
            <w:tcW w:type="dxa" w:w="400"/>
          </w:tcPr>
          <w:p>
            <w:r>
              <w:rPr>
                <w:b w:val="false"/>
                <w:bCs w:val="false"/>
                <w:sz w:val="20"/>
                <w:szCs w:val="20"/>
              </w:rPr>
              <w:t xml:space="preserve">17</w:t>
            </w:r>
          </w:p>
        </w:tc>
        <w:tc>
          <w:tcPr>
            <w:tcW w:type="dxa" w:w="3500"/>
          </w:tcPr>
          <w:p>
            <w:r>
              <w:rPr>
                <w:b w:val="false"/>
                <w:bCs w:val="false"/>
                <w:sz w:val="20"/>
                <w:szCs w:val="20"/>
              </w:rPr>
              <w:t xml:space="preserve">User Access Review</w:t>
            </w:r>
          </w:p>
        </w:tc>
        <w:tc>
          <w:tcPr>
            <w:tcW w:type="dxa" w:w="2000"/>
          </w:tcPr>
          <w:p>
            <w:r>
              <w:rPr>
                <w:b w:val="false"/>
                <w:bCs w:val="false"/>
                <w:sz w:val="20"/>
                <w:szCs w:val="20"/>
              </w:rPr>
              <w:t xml:space="preserve">USER_ACCESS</w:t>
            </w:r>
          </w:p>
        </w:tc>
        <w:tc>
          <w:tcPr>
            <w:tcW w:type="dxa" w:w="2400"/>
          </w:tcPr>
          <w:p>
            <w:r>
              <w:rPr>
                <w:b w:val="false"/>
                <w:bCs w:val="false"/>
                <w:sz w:val="20"/>
                <w:szCs w:val="20"/>
              </w:rPr>
              <w:t xml:space="preserve">Governance &amp; Access</w:t>
            </w:r>
          </w:p>
        </w:tc>
        <w:tc>
          <w:tcPr>
            <w:tcW w:type="dxa" w:w="1200"/>
          </w:tcPr>
          <w:p>
            <w:r>
              <w:rPr>
                <w:b w:val="false"/>
                <w:bCs w:val="false"/>
                <w:sz w:val="20"/>
                <w:szCs w:val="20"/>
              </w:rPr>
              <w:t xml:space="preserve">Planned</w:t>
            </w:r>
          </w:p>
        </w:tc>
      </w:tr>
      <w:tr>
        <w:tc>
          <w:tcPr>
            <w:tcW w:type="dxa" w:w="400"/>
          </w:tcPr>
          <w:p>
            <w:r>
              <w:rPr>
                <w:b w:val="false"/>
                <w:bCs w:val="false"/>
                <w:sz w:val="20"/>
                <w:szCs w:val="20"/>
              </w:rPr>
              <w:t xml:space="preserve">18</w:t>
            </w:r>
          </w:p>
        </w:tc>
        <w:tc>
          <w:tcPr>
            <w:tcW w:type="dxa" w:w="3500"/>
          </w:tcPr>
          <w:p>
            <w:r>
              <w:rPr>
                <w:b w:val="false"/>
                <w:bCs w:val="false"/>
                <w:sz w:val="20"/>
                <w:szCs w:val="20"/>
              </w:rPr>
              <w:t xml:space="preserve">Segregation of Duties Checking</w:t>
            </w:r>
          </w:p>
        </w:tc>
        <w:tc>
          <w:tcPr>
            <w:tcW w:type="dxa" w:w="2000"/>
          </w:tcPr>
          <w:p>
            <w:r>
              <w:rPr>
                <w:b w:val="false"/>
                <w:bCs w:val="false"/>
                <w:sz w:val="20"/>
                <w:szCs w:val="20"/>
              </w:rPr>
              <w:t xml:space="preserve">SOD</w:t>
            </w:r>
          </w:p>
        </w:tc>
        <w:tc>
          <w:tcPr>
            <w:tcW w:type="dxa" w:w="2400"/>
          </w:tcPr>
          <w:p>
            <w:r>
              <w:rPr>
                <w:b w:val="false"/>
                <w:bCs w:val="false"/>
                <w:sz w:val="20"/>
                <w:szCs w:val="20"/>
              </w:rPr>
              <w:t xml:space="preserve">Governance &amp; Access</w:t>
            </w:r>
          </w:p>
        </w:tc>
        <w:tc>
          <w:tcPr>
            <w:tcW w:type="dxa" w:w="1200"/>
          </w:tcPr>
          <w:p>
            <w:r>
              <w:rPr>
                <w:b w:val="false"/>
                <w:bCs w:val="false"/>
                <w:sz w:val="20"/>
                <w:szCs w:val="20"/>
              </w:rPr>
              <w:t xml:space="preserve">Planned</w:t>
            </w:r>
          </w:p>
        </w:tc>
      </w:tr>
      <w:tr>
        <w:tc>
          <w:tcPr>
            <w:tcW w:type="dxa" w:w="400"/>
          </w:tcPr>
          <w:p>
            <w:r>
              <w:rPr>
                <w:b w:val="false"/>
                <w:bCs w:val="false"/>
                <w:sz w:val="20"/>
                <w:szCs w:val="20"/>
              </w:rPr>
              <w:t xml:space="preserve">19</w:t>
            </w:r>
          </w:p>
        </w:tc>
        <w:tc>
          <w:tcPr>
            <w:tcW w:type="dxa" w:w="3500"/>
          </w:tcPr>
          <w:p>
            <w:r>
              <w:rPr>
                <w:b w:val="false"/>
                <w:bCs w:val="false"/>
                <w:sz w:val="20"/>
                <w:szCs w:val="20"/>
              </w:rPr>
              <w:t xml:space="preserve">Compliance Checklist Verification</w:t>
            </w:r>
          </w:p>
        </w:tc>
        <w:tc>
          <w:tcPr>
            <w:tcW w:type="dxa" w:w="2000"/>
          </w:tcPr>
          <w:p>
            <w:r>
              <w:rPr>
                <w:b w:val="false"/>
                <w:bCs w:val="false"/>
                <w:sz w:val="20"/>
                <w:szCs w:val="20"/>
              </w:rPr>
              <w:t xml:space="preserve">COMPLIANCE</w:t>
            </w:r>
          </w:p>
        </w:tc>
        <w:tc>
          <w:tcPr>
            <w:tcW w:type="dxa" w:w="2400"/>
          </w:tcPr>
          <w:p>
            <w:r>
              <w:rPr>
                <w:b w:val="false"/>
                <w:bCs w:val="false"/>
                <w:sz w:val="20"/>
                <w:szCs w:val="20"/>
              </w:rPr>
              <w:t xml:space="preserve">Governance &amp; Access</w:t>
            </w:r>
          </w:p>
        </w:tc>
        <w:tc>
          <w:tcPr>
            <w:tcW w:type="dxa" w:w="1200"/>
          </w:tcPr>
          <w:p>
            <w:r>
              <w:rPr>
                <w:b w:val="false"/>
                <w:bCs w:val="false"/>
                <w:sz w:val="20"/>
                <w:szCs w:val="20"/>
              </w:rPr>
              <w:t xml:space="preserve">Planned</w:t>
            </w:r>
          </w:p>
        </w:tc>
      </w:tr>
      <w:tr>
        <w:tc>
          <w:tcPr>
            <w:tcW w:type="dxa" w:w="400"/>
          </w:tcPr>
          <w:p>
            <w:r>
              <w:rPr>
                <w:b w:val="false"/>
                <w:bCs w:val="false"/>
                <w:sz w:val="20"/>
                <w:szCs w:val="20"/>
              </w:rPr>
              <w:t xml:space="preserve">20</w:t>
            </w:r>
          </w:p>
        </w:tc>
        <w:tc>
          <w:tcPr>
            <w:tcW w:type="dxa" w:w="3500"/>
          </w:tcPr>
          <w:p>
            <w:r>
              <w:rPr>
                <w:b w:val="false"/>
                <w:bCs w:val="false"/>
                <w:sz w:val="20"/>
                <w:szCs w:val="20"/>
              </w:rPr>
              <w:t xml:space="preserve">Supporting Document Matching</w:t>
            </w:r>
          </w:p>
        </w:tc>
        <w:tc>
          <w:tcPr>
            <w:tcW w:type="dxa" w:w="2000"/>
          </w:tcPr>
          <w:p>
            <w:r>
              <w:rPr>
                <w:b w:val="false"/>
                <w:bCs w:val="false"/>
                <w:sz w:val="20"/>
                <w:szCs w:val="20"/>
              </w:rPr>
              <w:t xml:space="preserve">DOC_MATCHING</w:t>
            </w:r>
          </w:p>
        </w:tc>
        <w:tc>
          <w:tcPr>
            <w:tcW w:type="dxa" w:w="2400"/>
          </w:tcPr>
          <w:p>
            <w:r>
              <w:rPr>
                <w:b w:val="false"/>
                <w:bCs w:val="false"/>
                <w:sz w:val="20"/>
                <w:szCs w:val="20"/>
              </w:rPr>
              <w:t xml:space="preserve">Governance &amp; Access</w:t>
            </w:r>
          </w:p>
        </w:tc>
        <w:tc>
          <w:tcPr>
            <w:tcW w:type="dxa" w:w="1200"/>
          </w:tcPr>
          <w:p>
            <w:r>
              <w:rPr>
                <w:b w:val="false"/>
                <w:bCs w:val="false"/>
                <w:sz w:val="20"/>
                <w:szCs w:val="20"/>
              </w:rPr>
              <w:t xml:space="preserve">Planned</w:t>
            </w:r>
          </w:p>
        </w:tc>
      </w:tr>
      <w:tr>
        <w:tc>
          <w:tcPr>
            <w:tcW w:type="dxa" w:w="400"/>
          </w:tcPr>
          <w:p>
            <w:r>
              <w:rPr>
                <w:b w:val="false"/>
                <w:bCs w:val="false"/>
                <w:sz w:val="20"/>
                <w:szCs w:val="20"/>
              </w:rPr>
              <w:t xml:space="preserve">21</w:t>
            </w:r>
          </w:p>
        </w:tc>
        <w:tc>
          <w:tcPr>
            <w:tcW w:type="dxa" w:w="3500"/>
          </w:tcPr>
          <w:p>
            <w:r>
              <w:rPr>
                <w:b w:val="false"/>
                <w:bCs w:val="false"/>
                <w:sz w:val="20"/>
                <w:szCs w:val="20"/>
              </w:rPr>
              <w:t xml:space="preserve">Exception Report Preparation</w:t>
            </w:r>
          </w:p>
        </w:tc>
        <w:tc>
          <w:tcPr>
            <w:tcW w:type="dxa" w:w="2000"/>
          </w:tcPr>
          <w:p>
            <w:r>
              <w:rPr>
                <w:b w:val="false"/>
                <w:bCs w:val="false"/>
                <w:sz w:val="20"/>
                <w:szCs w:val="20"/>
              </w:rPr>
              <w:t xml:space="preserve">EXCEPTION_REPORT</w:t>
            </w:r>
          </w:p>
        </w:tc>
        <w:tc>
          <w:tcPr>
            <w:tcW w:type="dxa" w:w="2400"/>
          </w:tcPr>
          <w:p>
            <w:r>
              <w:rPr>
                <w:b w:val="false"/>
                <w:bCs w:val="false"/>
                <w:sz w:val="20"/>
                <w:szCs w:val="20"/>
              </w:rPr>
              <w:t xml:space="preserve">Governance &amp; Access</w:t>
            </w:r>
          </w:p>
        </w:tc>
        <w:tc>
          <w:tcPr>
            <w:tcW w:type="dxa" w:w="1200"/>
          </w:tcPr>
          <w:p>
            <w:r>
              <w:rPr>
                <w:b w:val="false"/>
                <w:bCs w:val="false"/>
                <w:sz w:val="20"/>
                <w:szCs w:val="20"/>
              </w:rPr>
              <w:t xml:space="preserve">Planned</w:t>
            </w:r>
          </w:p>
        </w:tc>
      </w:tr>
      <w:tr>
        <w:tc>
          <w:tcPr>
            <w:tcW w:type="dxa" w:w="400"/>
          </w:tcPr>
          <w:p>
            <w:r>
              <w:rPr>
                <w:b w:val="false"/>
                <w:bCs w:val="false"/>
                <w:sz w:val="20"/>
                <w:szCs w:val="20"/>
              </w:rPr>
              <w:t xml:space="preserve">22</w:t>
            </w:r>
          </w:p>
        </w:tc>
        <w:tc>
          <w:tcPr>
            <w:tcW w:type="dxa" w:w="3500"/>
          </w:tcPr>
          <w:p>
            <w:r>
              <w:rPr>
                <w:b w:val="false"/>
                <w:bCs w:val="false"/>
                <w:sz w:val="20"/>
                <w:szCs w:val="20"/>
              </w:rPr>
              <w:t xml:space="preserve">Invoice Checking</w:t>
            </w:r>
          </w:p>
        </w:tc>
        <w:tc>
          <w:tcPr>
            <w:tcW w:type="dxa" w:w="2000"/>
          </w:tcPr>
          <w:p>
            <w:r>
              <w:rPr>
                <w:b w:val="false"/>
                <w:bCs w:val="false"/>
                <w:sz w:val="20"/>
                <w:szCs w:val="20"/>
              </w:rPr>
              <w:t xml:space="preserve">INVOICE_CHECKING</w:t>
            </w:r>
          </w:p>
        </w:tc>
        <w:tc>
          <w:tcPr>
            <w:tcW w:type="dxa" w:w="2400"/>
          </w:tcPr>
          <w:p>
            <w:r>
              <w:rPr>
                <w:b w:val="false"/>
                <w:bCs w:val="false"/>
                <w:sz w:val="20"/>
                <w:szCs w:val="20"/>
              </w:rPr>
              <w:t xml:space="preserve">Procure-to-Pay</w:t>
            </w:r>
          </w:p>
        </w:tc>
        <w:tc>
          <w:tcPr>
            <w:tcW w:type="dxa" w:w="1200"/>
          </w:tcPr>
          <w:p>
            <w:r>
              <w:rPr>
                <w:b w:val="false"/>
                <w:bCs w:val="false"/>
                <w:sz w:val="20"/>
                <w:szCs w:val="20"/>
              </w:rPr>
              <w:t xml:space="preserve">Planned</w:t>
            </w:r>
          </w:p>
        </w:tc>
      </w:tr>
    </w:tbl>
    <w:p>
      <w:pPr>
        <w:pStyle w:val="Heading2"/>
        <w:spacing w:after="140" w:before="280"/>
      </w:pPr>
      <w:r>
        <w:t xml:space="preserve">5.2 One Open Item Not Yet Resolved by Any ADR</w:t>
      </w:r>
    </w:p>
    <w:p>
      <w:pPr>
        <w:spacing w:after="140"/>
      </w:pPr>
      <w:r>
        <w:rPr>
          <w:b w:val="false"/>
          <w:bCs w:val="false"/>
          <w:i w:val="false"/>
          <w:iCs w:val="false"/>
        </w:rPr>
        <w:t xml:space="preserve">Catalog item #22, “Invoice Checking,” has never been disambiguated from Revenue Testing's own invoice handling — not by ADR-002, not by this Constitution. Its exact scope (sales-side invoice testing distinct from Revenue Testing, a duplicate that should be merged, or something else entirely) remains an open product decision for a future ADR. This Constitution does not resolve it unilaterally.</w:t>
      </w:r>
    </w:p>
    <w:p>
      <w:pPr>
        <w:pStyle w:val="Heading2"/>
        <w:spacing w:after="140" w:before="280"/>
      </w:pPr>
      <w:r>
        <w:t xml:space="preserve">5.3 Known Gaps Not Yet in the Catalog</w:t>
      </w:r>
    </w:p>
    <w:p>
      <w:pPr>
        <w:spacing w:after="140"/>
      </w:pPr>
      <w:r>
        <w:rPr>
          <w:b w:val="false"/>
          <w:bCs w:val="false"/>
          <w:i w:val="false"/>
          <w:iCs w:val="false"/>
        </w:rPr>
        <w:t xml:space="preserve">The following are not in the current 22-item catalog at all, and would require a new ADR to add as catalog items 23+, not a coding decision:</w:t>
      </w:r>
    </w:p>
    <w:p>
      <w:pPr>
        <w:pStyle w:val="ListParagraph"/>
        <w:numPr>
          <w:ilvl w:val="0"/>
          <w:numId w:val="2"/>
        </w:numPr>
        <w:spacing w:after="60"/>
      </w:pPr>
      <w:r>
        <w:t xml:space="preserve">Inventory Verification (existence, valuation, obsolescence testing) — a high-frequency audit area.</w:t>
      </w:r>
    </w:p>
    <w:p>
      <w:pPr>
        <w:pStyle w:val="ListParagraph"/>
        <w:numPr>
          <w:ilvl w:val="0"/>
          <w:numId w:val="2"/>
        </w:numPr>
        <w:spacing w:after="60"/>
      </w:pPr>
      <w:r>
        <w:t xml:space="preserve">Related Party Transactions Testing — maps to Companies Act Section 188 and CARO reporting for Indian statutory audits.</w:t>
      </w:r>
    </w:p>
    <w:p>
      <w:pPr>
        <w:pStyle w:val="ListParagraph"/>
        <w:numPr>
          <w:ilvl w:val="0"/>
          <w:numId w:val="2"/>
        </w:numPr>
        <w:spacing w:after="60"/>
      </w:pPr>
      <w:r>
        <w:t xml:space="preserve">Vendor Balance Confirmation — the mirror of Customer Balance Confirmation (#15), which exists; the vendor side does not.</w:t>
      </w:r>
    </w:p>
    <w:p>
      <w:pPr>
        <w:pStyle w:val="ListParagraph"/>
        <w:numPr>
          <w:ilvl w:val="0"/>
          <w:numId w:val="2"/>
        </w:numPr>
        <w:spacing w:after="60"/>
      </w:pPr>
      <w:r>
        <w:t xml:space="preserve">GST Output Tax / Sales Reconciliation — the mirror of GST Input Tax Credit Validation (#14).</w:t>
      </w:r>
    </w:p>
    <w:p>
      <w:pPr>
        <w:pStyle w:val="Heading2"/>
        <w:spacing w:after="140" w:before="280"/>
      </w:pPr>
      <w:r>
        <w:t xml:space="preserve">5.4 Build Priority Waves</w:t>
      </w:r>
    </w:p>
    <w:p>
      <w:pPr>
        <w:spacing w:after="140"/>
      </w:pPr>
      <w:r>
        <w:rPr>
          <w:b w:val="false"/>
          <w:bCs w:val="false"/>
          <w:i w:val="false"/>
          <w:iCs w:val="false"/>
        </w:rPr>
        <w:t xml:space="preserve">Three modules were built before this reconciliation: Journal Entry Testing (#1, as originally planned), Revenue Testing (#2) and Procurement Testing (#3), pulled forward ahead of Ledger Scrutiny and Bank Reconciliation. The waves below are resequenced around what already exists.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600"/>
      </w:tblGrid>
      <w:tr>
        <w:trPr>
          <w:tblHeader/>
        </w:trPr>
        <w:tc>
          <w:tcPr>
            <w:tcW w:type="dxa" w:w="1200"/>
            <w:shd w:fill="1F3864" w:val="clear"/>
          </w:tcPr>
          <w:p>
            <w:r>
              <w:rPr>
                <w:b/>
                <w:bCs/>
                <w:color w:val="FFFFFF"/>
                <w:sz w:val="20"/>
                <w:szCs w:val="20"/>
              </w:rPr>
              <w:t xml:space="preserve">Wave</w:t>
            </w:r>
          </w:p>
        </w:tc>
        <w:tc>
          <w:tcPr>
            <w:tcW w:type="dxa" w:w="4200"/>
            <w:shd w:fill="1F3864" w:val="clear"/>
          </w:tcPr>
          <w:p>
            <w:r>
              <w:rPr>
                <w:b/>
                <w:bCs/>
                <w:color w:val="FFFFFF"/>
                <w:sz w:val="20"/>
                <w:szCs w:val="20"/>
              </w:rPr>
              <w:t xml:space="preserve">Modules</w:t>
            </w:r>
          </w:p>
        </w:tc>
        <w:tc>
          <w:tcPr>
            <w:tcW w:type="dxa" w:w="3600"/>
            <w:shd w:fill="1F3864" w:val="clear"/>
          </w:tcPr>
          <w:p>
            <w:r>
              <w:rPr>
                <w:b/>
                <w:bCs/>
                <w:color w:val="FFFFFF"/>
                <w:sz w:val="20"/>
                <w:szCs w:val="20"/>
              </w:rPr>
              <w:t xml:space="preserve">Status / Rationale</w:t>
            </w:r>
          </w:p>
        </w:tc>
      </w:tr>
      <w:tr>
        <w:tc>
          <w:tcPr>
            <w:tcW w:type="dxa" w:w="1200"/>
          </w:tcPr>
          <w:p>
            <w:r>
              <w:rPr>
                <w:b w:val="false"/>
                <w:bCs w:val="false"/>
                <w:sz w:val="20"/>
                <w:szCs w:val="20"/>
              </w:rPr>
              <w:t xml:space="preserve">1 (in progress)</w:t>
            </w:r>
          </w:p>
        </w:tc>
        <w:tc>
          <w:tcPr>
            <w:tcW w:type="dxa" w:w="4200"/>
          </w:tcPr>
          <w:p>
            <w:r>
              <w:rPr>
                <w:b w:val="false"/>
                <w:bCs w:val="false"/>
                <w:sz w:val="20"/>
                <w:szCs w:val="20"/>
              </w:rPr>
              <w:t xml:space="preserve">Journal Entry Testing (built), Ledger Scrutiny (#4), Bank Reconciliation (#6)</w:t>
            </w:r>
          </w:p>
        </w:tc>
        <w:tc>
          <w:tcPr>
            <w:tcW w:type="dxa" w:w="3600"/>
          </w:tcPr>
          <w:p>
            <w:r>
              <w:rPr>
                <w:b w:val="false"/>
                <w:bCs w:val="false"/>
                <w:sz w:val="20"/>
                <w:szCs w:val="20"/>
              </w:rPr>
              <w:t xml:space="preserve">Completes the originally intended highest rule-overlap wave.</w:t>
            </w:r>
          </w:p>
        </w:tc>
      </w:tr>
      <w:tr>
        <w:tc>
          <w:tcPr>
            <w:tcW w:type="dxa" w:w="1200"/>
          </w:tcPr>
          <w:p>
            <w:r>
              <w:rPr>
                <w:b w:val="false"/>
                <w:bCs w:val="false"/>
                <w:sz w:val="20"/>
                <w:szCs w:val="20"/>
              </w:rPr>
              <w:t xml:space="preserve">2 (in progress)</w:t>
            </w:r>
          </w:p>
        </w:tc>
        <w:tc>
          <w:tcPr>
            <w:tcW w:type="dxa" w:w="4200"/>
          </w:tcPr>
          <w:p>
            <w:r>
              <w:rPr>
                <w:b w:val="false"/>
                <w:bCs w:val="false"/>
                <w:sz w:val="20"/>
                <w:szCs w:val="20"/>
              </w:rPr>
              <w:t xml:space="preserve">Revenue Testing (built), Procurement Testing (built), Purchase Order Matching (#7), Vendor Invoice Validation (#8), Duplicate Payment Checking (#5), Invoice Checking (#22, pending 5.2)</w:t>
            </w:r>
          </w:p>
        </w:tc>
        <w:tc>
          <w:tcPr>
            <w:tcW w:type="dxa" w:w="3600"/>
          </w:tcPr>
          <w:p>
            <w:r>
              <w:rPr>
                <w:b w:val="false"/>
                <w:bCs w:val="false"/>
                <w:sz w:val="20"/>
                <w:szCs w:val="20"/>
              </w:rPr>
              <w:t xml:space="preserve">The procure-to-pay and sales cycle around the two modules already shipped out of order.</w:t>
            </w:r>
          </w:p>
        </w:tc>
      </w:tr>
      <w:tr>
        <w:tc>
          <w:tcPr>
            <w:tcW w:type="dxa" w:w="1200"/>
          </w:tcPr>
          <w:p>
            <w:r>
              <w:rPr>
                <w:b w:val="false"/>
                <w:bCs w:val="false"/>
                <w:sz w:val="20"/>
                <w:szCs w:val="20"/>
              </w:rPr>
              <w:t xml:space="preserve">3</w:t>
            </w:r>
          </w:p>
        </w:tc>
        <w:tc>
          <w:tcPr>
            <w:tcW w:type="dxa" w:w="4200"/>
          </w:tcPr>
          <w:p>
            <w:r>
              <w:rPr>
                <w:b w:val="false"/>
                <w:bCs w:val="false"/>
                <w:sz w:val="20"/>
                <w:szCs w:val="20"/>
              </w:rPr>
              <w:t xml:space="preserve">GST Mismatch Checking (#13), GST Input Tax Credit Validation (#14), TDS Deduction Checking (#12)</w:t>
            </w:r>
          </w:p>
        </w:tc>
        <w:tc>
          <w:tcPr>
            <w:tcW w:type="dxa" w:w="3600"/>
          </w:tcPr>
          <w:p>
            <w:r>
              <w:rPr>
                <w:b w:val="false"/>
                <w:bCs w:val="false"/>
                <w:sz w:val="20"/>
                <w:szCs w:val="20"/>
              </w:rPr>
              <w:t xml:space="preserve">The India-statutory wedge that differentiates AIML_AUDIT from enterprise competitors — do not delay past Wave 3.</w:t>
            </w:r>
          </w:p>
        </w:tc>
      </w:tr>
      <w:tr>
        <w:tc>
          <w:tcPr>
            <w:tcW w:type="dxa" w:w="1200"/>
          </w:tcPr>
          <w:p>
            <w:r>
              <w:rPr>
                <w:b w:val="false"/>
                <w:bCs w:val="false"/>
                <w:sz w:val="20"/>
                <w:szCs w:val="20"/>
              </w:rPr>
              <w:t xml:space="preserve">4</w:t>
            </w:r>
          </w:p>
        </w:tc>
        <w:tc>
          <w:tcPr>
            <w:tcW w:type="dxa" w:w="4200"/>
          </w:tcPr>
          <w:p>
            <w:r>
              <w:rPr>
                <w:b w:val="false"/>
                <w:bCs w:val="false"/>
                <w:sz w:val="20"/>
                <w:szCs w:val="20"/>
              </w:rPr>
              <w:t xml:space="preserve">Fixed Asset Verification (#10), Depreciation Recalculation (#11), Expense Claim Verification (#9), Payroll Audit Checking (#16), User Access Review (#17), Segregation of Duties Checking (#18), Customer Balance Confirmation (#15), Compliance Checklist Verification (#19), Supporting Document Matching (#20), Exception Report Preparation (#21)</w:t>
            </w:r>
          </w:p>
        </w:tc>
        <w:tc>
          <w:tcPr>
            <w:tcW w:type="dxa" w:w="3600"/>
          </w:tcPr>
          <w:p>
            <w:r>
              <w:rPr>
                <w:b w:val="false"/>
                <w:bCs w:val="false"/>
                <w:sz w:val="20"/>
                <w:szCs w:val="20"/>
              </w:rPr>
              <w:t xml:space="preserve">Broaden coverage once the framework and Evidence Gate are proven across Waves 1–3.</w:t>
            </w:r>
          </w:p>
        </w:tc>
      </w:tr>
    </w:tbl>
    <w:p>
      <w:pPr>
        <w:pStyle w:val="Heading1"/>
        <w:pageBreakBefore/>
        <w:spacing w:after="200" w:before="400"/>
      </w:pPr>
      <w:r>
        <w:t xml:space="preserve">6. Audit Intelligence Pipeline</w:t>
      </w:r>
    </w:p>
    <w:p>
      <w:pPr>
        <w:pStyle w:val="Heading2"/>
        <w:spacing w:after="140" w:before="280"/>
      </w:pPr>
      <w:r>
        <w:t xml:space="preserve">6.1 Purpose &amp; Principles</w:t>
      </w:r>
    </w:p>
    <w:p>
      <w:pPr>
        <w:spacing w:after="140"/>
      </w:pPr>
      <w:r>
        <w:rPr>
          <w:b w:val="false"/>
          <w:bCs w:val="false"/>
          <w:i w:val="false"/>
          <w:iCs w:val="false"/>
        </w:rPr>
        <w:t xml:space="preserve">This chapter defines how audit data is transformed into professional audit findings. Every audit module follows the same architecture regardless of business domain, to guarantee accurate findings, complete evidence, deterministic risk, explainable AI, human review, and professional documentation.</w:t>
      </w:r>
    </w:p>
    <w:p>
      <w:pPr>
        <w:pStyle w:val="Heading2"/>
        <w:spacing w:after="140" w:before="280"/>
      </w:pPr>
      <w:r>
        <w:t xml:space="preserve">6.2 Input Layer</w:t>
      </w:r>
    </w:p>
    <w:p>
      <w:pPr>
        <w:spacing w:after="140"/>
      </w:pPr>
      <w:r>
        <w:rPr>
          <w:b w:val="false"/>
          <w:bCs w:val="false"/>
          <w:i w:val="false"/>
          <w:iCs w:val="false"/>
        </w:rPr>
        <w:t xml:space="preserve">Purpose: receive audit data from external systems. Supported sources: Excel, CSV, ERP, Database, API, and future ERP connectors. Responsibilities: upload file, store original file, store upload metadata, import records, create upload history. The Input Layer shall never perform validation, rule execution, risk calculation, or AI processing.</w:t>
      </w:r>
    </w:p>
    <w:p>
      <w:pPr>
        <w:pStyle w:val="Heading2"/>
        <w:spacing w:after="140" w:before="280"/>
      </w:pPr>
      <w:r>
        <w:t xml:space="preserve">6.3 Validation Layer</w:t>
      </w:r>
    </w:p>
    <w:p>
      <w:pPr>
        <w:spacing w:after="140"/>
      </w:pPr>
      <w:r>
        <w:rPr>
          <w:b w:val="false"/>
          <w:bCs w:val="false"/>
          <w:i w:val="false"/>
          <w:iCs w:val="false"/>
        </w:rPr>
        <w:t xml:space="preserve">Purpose: ensure uploaded data is structurally and logically valid before audit processing. Responsibilities: required columns, data types, missing values, duplicate rows, invalid formats, business validation, and a validation report. Validation failures prevent further execution. The Validation Layer shall never generate findings, calculate risk, or execute AI.</w:t>
      </w:r>
    </w:p>
    <w:p>
      <w:pPr>
        <w:pStyle w:val="Heading2"/>
        <w:spacing w:after="140" w:before="280"/>
      </w:pPr>
      <w:r>
        <w:t xml:space="preserve">6.4 Rule Engine &amp; Rule Standards</w:t>
      </w:r>
    </w:p>
    <w:p>
      <w:pPr>
        <w:spacing w:after="140"/>
      </w:pPr>
      <w:r>
        <w:rPr>
          <w:b w:val="false"/>
          <w:bCs w:val="false"/>
          <w:i w:val="false"/>
          <w:iCs w:val="false"/>
        </w:rPr>
        <w:t xml:space="preserve">Purpose: generate deterministic audit findings by executing business rules, generating and categorizing findings, and recording triggered rules. Findings generated by the Rule Engine are provisional until the Evidence Engine attaches supporting evidence (Section 6.5) — this is the corrected execution order, reconciled with the Product Motto in Section 1.6.</w:t>
      </w:r>
    </w:p>
    <w:p>
      <w:pPr>
        <w:spacing w:after="140"/>
      </w:pPr>
      <w:r>
        <w:rPr>
          <w:b w:val="false"/>
          <w:bCs w:val="false"/>
          <w:i w:val="false"/>
          <w:iCs w:val="false"/>
        </w:rPr>
        <w:t xml:space="preserve">Every rule shall include: Rule ID, Rule Name, Description, Severity, Parameters, Trigger Condition, Module, Version, and Status. Every finding must reference the rule that generated it. The Rule Engine shall never execute AI, guess, or assign risk.</w:t>
      </w:r>
    </w:p>
    <w:p>
      <w:pPr>
        <w:pStyle w:val="Heading2"/>
        <w:spacing w:after="140" w:before="280"/>
      </w:pPr>
      <w:r>
        <w:t xml:space="preserve">6.5 Evidence Engine &amp; Evidence Standard</w:t>
      </w:r>
    </w:p>
    <w:p>
      <w:pPr>
        <w:spacing w:after="140"/>
      </w:pPr>
      <w:r>
        <w:rPr>
          <w:b w:val="false"/>
          <w:bCs w:val="false"/>
          <w:i w:val="false"/>
          <w:iCs w:val="false"/>
        </w:rPr>
        <w:t xml:space="preserve">Purpose: attach verifiable evidence to every finding. Evidence includes: Source File, Source Sheet, Source Row, Journal ID, Invoice Number, Vendor Code, Employee ID, Supporting Documents, and Transaction Reference. Future enhancements: Evidence Hash, Digital Signature, Immutable Evidence Storage.</w:t>
      </w:r>
    </w:p>
    <w:p>
      <w:pPr>
        <w:spacing w:after="140"/>
      </w:pPr>
      <w:r>
        <w:rPr>
          <w:b w:val="false"/>
          <w:bCs w:val="false"/>
          <w:i w:val="false"/>
          <w:iCs w:val="false"/>
        </w:rPr>
        <w:t xml:space="preserve">Mandatory Gate: no finding may proceed to the Risk Engine without at least one attached Evidence Record. This gate shall be enforced in code, not by convention alone.</w:t>
      </w:r>
    </w:p>
    <w:p>
      <w:pPr>
        <w:spacing w:after="140"/>
      </w:pPr>
      <w:r>
        <w:rPr>
          <w:b w:val="false"/>
          <w:bCs w:val="false"/>
          <w:i w:val="false"/>
          <w:iCs w:val="false"/>
        </w:rPr>
        <w:t xml:space="preserve">Every Evidence Record shall contain: Evidence ID, Finding ID, Rule ID, Organization ID, Engagement ID, Analysis Run ID, Source Record, Evidence Type, Confidence, Created By, and Created Date. Evidence shall remain traceable throughout the audit lifecycle.</w:t>
      </w:r>
    </w:p>
    <w:p>
      <w:pPr>
        <w:pStyle w:val="Heading2"/>
        <w:spacing w:after="140" w:before="280"/>
      </w:pPr>
      <w:r>
        <w:t xml:space="preserve">6.6 Risk Engine &amp; Risk Factors</w:t>
      </w:r>
    </w:p>
    <w:p>
      <w:pPr>
        <w:spacing w:after="140"/>
      </w:pPr>
      <w:r>
        <w:rPr>
          <w:b w:val="false"/>
          <w:bCs w:val="false"/>
          <w:i w:val="false"/>
          <w:iCs w:val="false"/>
        </w:rPr>
        <w:t xml:space="preserve">Purpose: assign deterministic risk classifications — Critical, High, Medium, Low, Informational — using predefined business logic. Risk may consider: Amount, Frequency, Materiality, Rule Severity, Historical Trends, Control Failures, and Business Configuration. Risk calculations must remain deterministic.</w:t>
      </w:r>
    </w:p>
    <w:p>
      <w:pPr>
        <w:spacing w:after="140"/>
      </w:pPr>
      <w:r>
        <w:rPr>
          <w:b w:val="false"/>
          <w:bCs w:val="false"/>
          <w:i w:val="false"/>
          <w:iCs w:val="false"/>
        </w:rPr>
        <w:t xml:space="preserve">Artificial Intelligence shall never assign risk. The Risk Engine shall reject, not score, any finding lacking at least one attached Evidence Record.</w:t>
      </w:r>
    </w:p>
    <w:p>
      <w:pPr>
        <w:pStyle w:val="Heading2"/>
        <w:spacing w:after="140" w:before="280"/>
      </w:pPr>
      <w:r>
        <w:t xml:space="preserve">6.7 AI Assistant, Restrictions &amp; Hallucination Prevention</w:t>
      </w:r>
    </w:p>
    <w:p>
      <w:pPr>
        <w:spacing w:after="140"/>
      </w:pPr>
      <w:r>
        <w:rPr>
          <w:b w:val="false"/>
          <w:bCs w:val="false"/>
          <w:i w:val="false"/>
          <w:iCs w:val="false"/>
        </w:rPr>
        <w:t xml:space="preserve">Purpose: explain findings, improve documentation, assist auditors. AI receives validated data, rule results, evidence, risk, and supporting documents. AI generates: Executive Summary, Observation, Root Cause, Recommendation, Narrative, and Management Summary.</w:t>
      </w:r>
    </w:p>
    <w:p>
      <w:pPr>
        <w:spacing w:after="140"/>
      </w:pPr>
      <w:r>
        <w:rPr>
          <w:b w:val="false"/>
          <w:bCs w:val="false"/>
          <w:i w:val="false"/>
          <w:iCs w:val="false"/>
        </w:rPr>
        <w:t xml:space="preserve">Artificial Intelligence shall never: create findings, override rules, modify risk, invent evidence, guess missing data, or change auditor decisions. AI is an assistant; the auditor remains the decision maker.</w:t>
      </w:r>
    </w:p>
    <w:p>
      <w:pPr>
        <w:spacing w:after="140"/>
      </w:pPr>
      <w:r>
        <w:rPr>
          <w:b w:val="false"/>
          <w:bCs w:val="false"/>
          <w:i w:val="false"/>
          <w:iCs w:val="false"/>
        </w:rPr>
        <w:t xml:space="preserve">Every AI response shall be evidence-backed. If sufficient evidence does not exist, the AI shall explicitly state that insufficient evidence is available to generate a conclusion. Generating unsupported conclusions is prohibited.</w:t>
      </w:r>
    </w:p>
    <w:p>
      <w:pPr>
        <w:pStyle w:val="Heading2"/>
        <w:spacing w:after="140" w:before="280"/>
      </w:pPr>
      <w:r>
        <w:t xml:space="preserve">6.8 Auditor Review</w:t>
      </w:r>
    </w:p>
    <w:p>
      <w:pPr>
        <w:spacing w:after="140"/>
      </w:pPr>
      <w:r>
        <w:rPr>
          <w:b w:val="false"/>
          <w:bCs w:val="false"/>
          <w:i w:val="false"/>
          <w:iCs w:val="false"/>
        </w:rPr>
        <w:t xml:space="preserve">Only authorized auditors may: accept findings, reject findings, mark false positives, add comments, request additional evidence, reassign review, or approve findings. Professional judgement always overrides AI, and Auditor Review is mandatory before any report is finalized.</w:t>
      </w:r>
    </w:p>
    <w:p>
      <w:pPr>
        <w:pStyle w:val="Heading2"/>
        <w:spacing w:after="140" w:before="280"/>
      </w:pPr>
      <w:r>
        <w:t xml:space="preserve">6.9 Working Papers</w:t>
      </w:r>
    </w:p>
    <w:p>
      <w:pPr>
        <w:spacing w:after="140"/>
      </w:pPr>
      <w:r>
        <w:rPr>
          <w:b w:val="false"/>
          <w:bCs w:val="false"/>
          <w:i w:val="false"/>
          <w:iCs w:val="false"/>
        </w:rPr>
        <w:t xml:space="preserve">Working Papers are automatically generated and become permanent audit documentation, containing: Findings, Evidence, Triggered Rules, Risk, AI Narrative, Auditor Comments, Attachments, Review History, Version History, and Audit Trail.</w:t>
      </w:r>
    </w:p>
    <w:p>
      <w:pPr>
        <w:pStyle w:val="Heading2"/>
        <w:spacing w:after="140" w:before="280"/>
      </w:pPr>
      <w:r>
        <w:t xml:space="preserve">6.10 Final Report</w:t>
      </w:r>
    </w:p>
    <w:p>
      <w:pPr>
        <w:spacing w:after="140"/>
      </w:pPr>
      <w:r>
        <w:rPr>
          <w:b w:val="false"/>
          <w:bCs w:val="false"/>
          <w:i w:val="false"/>
          <w:iCs w:val="false"/>
        </w:rPr>
        <w:t xml:space="preserve">Reports may include an Executive Report, Detailed Findings, Exception Report, Working Papers, Dashboard, PDF, and Excel formats. Every report shall include: Finding, Rule, Evidence, Risk, AI Summary, and Auditor Decision — for every item, with no exceptions.</w:t>
      </w:r>
    </w:p>
    <w:p>
      <w:pPr>
        <w:pStyle w:val="Heading1"/>
        <w:pageBreakBefore/>
        <w:spacing w:after="200" w:before="400"/>
      </w:pPr>
      <w:r>
        <w:t xml:space="preserve">7. Technology &amp; Security Architecture</w:t>
      </w:r>
    </w:p>
    <w:p>
      <w:pPr>
        <w:pStyle w:val="Heading2"/>
        <w:spacing w:after="140" w:before="280"/>
      </w:pPr>
      <w:r>
        <w:t xml:space="preserve">7.1 Frontend &amp; Backend Standards</w:t>
      </w:r>
    </w:p>
    <w:p>
      <w:pPr>
        <w:spacing w:after="140"/>
      </w:pPr>
      <w:r>
        <w:rPr>
          <w:b w:val="false"/>
          <w:bCs w:val="false"/>
          <w:i w:val="false"/>
          <w:iCs w:val="false"/>
        </w:rPr>
        <w:t xml:space="preserve">Frontend (Next.js) is responsible for authentication UI, dashboard, upload screens, findings review, working papers, reports, administration, and user experience. Business logic remains in the backend.</w:t>
      </w:r>
    </w:p>
    <w:p>
      <w:pPr>
        <w:spacing w:after="140"/>
      </w:pPr>
      <w:r>
        <w:rPr>
          <w:b w:val="false"/>
          <w:bCs w:val="false"/>
          <w:i w:val="false"/>
          <w:iCs w:val="false"/>
        </w:rPr>
        <w:t xml:space="preserve">Backend (FastAPI / Python) is responsible for authentication, authorization, business rules, generic engines, AI integration, report generation, multi-tenant isolation, API services, and audit logs. The backend is the single source of truth.</w:t>
      </w:r>
    </w:p>
    <w:p>
      <w:pPr>
        <w:pStyle w:val="Heading2"/>
        <w:spacing w:after="140" w:before="280"/>
      </w:pPr>
      <w:r>
        <w:t xml:space="preserve">7.2 Database Standards</w:t>
      </w:r>
    </w:p>
    <w:p>
      <w:pPr>
        <w:spacing w:after="140"/>
      </w:pPr>
      <w:r>
        <w:rPr>
          <w:b w:val="false"/>
          <w:bCs w:val="false"/>
          <w:i w:val="false"/>
          <w:iCs w:val="false"/>
        </w:rPr>
        <w:t xml:space="preserve">PostgreSQL is the official database, storing Organizations, Users, Clients, Engagements, Analysis Runs, Audit Findings, Evidence, Working Papers, Reports, Audit Logs, Feature Flags, and Billing Information. Schema changes are managed only through Alembic migrations.</w:t>
      </w:r>
    </w:p>
    <w:p>
      <w:pPr>
        <w:pStyle w:val="Heading2"/>
        <w:spacing w:after="140" w:before="280"/>
      </w:pPr>
      <w:r>
        <w:t xml:space="preserve">7.3 Authentication &amp; Authorization Strategy</w:t>
      </w:r>
    </w:p>
    <w:p>
      <w:pPr>
        <w:spacing w:after="140"/>
      </w:pPr>
      <w:r>
        <w:rPr>
          <w:b w:val="false"/>
          <w:bCs w:val="false"/>
          <w:i w:val="false"/>
          <w:iCs w:val="false"/>
        </w:rPr>
        <w:t xml:space="preserve">Official target: a managed authentication provider (Auth0, Clerk, or Azure AD B2C) placed behind an authentication abstraction layer, rather than hand-built JWT and OAuth — the right call for a single-developer team, since it removes an entire class of security bugs a solo developer cannot safely own.</w:t>
      </w:r>
    </w:p>
    <w:p>
      <w:pPr>
        <w:spacing w:after="140"/>
      </w:pPr>
      <w:r>
        <w:rPr>
          <w:b w:val="false"/>
          <w:bCs w:val="false"/>
          <w:i/>
          <w:iCs/>
        </w:rPr>
        <w:t xml:space="preserve">Current implementation: hand-built JWT (python-jose, HS256) with passlib/bcrypt password hashing. This is acceptable to keep running while the product is pre-revenue and pre-enterprise-pilot, but it is debt, not a permanent decision — migrate to a managed provider before Chapter 8 compliance work begins, since SOC 2 auditors will ask about authentication key management and rotation that hand-built JWT does not yet address. Future versions may add Microsoft Entra ID, SAML, or Okta without changing business logic, once behind the abstraction layer.</w:t>
      </w:r>
    </w:p>
    <w:p>
      <w:pPr>
        <w:spacing w:after="140"/>
      </w:pPr>
      <w:r>
        <w:rPr>
          <w:b w:val="false"/>
          <w:bCs w:val="false"/>
          <w:i w:val="false"/>
          <w:iCs w:val="false"/>
        </w:rPr>
        <w:t xml:space="preserve">Role-Based Access Control (RBAC) is implemented per Section 2.5. Permissions are always enforced on the backend, never trusted from the client.</w:t>
      </w:r>
    </w:p>
    <w:p>
      <w:pPr>
        <w:pStyle w:val="Heading2"/>
        <w:spacing w:after="140" w:before="280"/>
      </w:pPr>
      <w:r>
        <w:t xml:space="preserve">7.4 Multi-Tenant Security</w:t>
      </w:r>
    </w:p>
    <w:p>
      <w:pPr>
        <w:spacing w:after="140"/>
      </w:pPr>
      <w:r>
        <w:rPr>
          <w:b w:val="false"/>
          <w:bCs w:val="false"/>
          <w:i w:val="false"/>
          <w:iCs w:val="false"/>
        </w:rPr>
        <w:t xml:space="preserve">Every request is validated using organization_id, user_id, and role permissions. Cross-tenant access is prohibited; every business object belongs to one organization; organization_id defines ownership; user_id identifies the actor. Per ADR-003, PostgreSQL Row-Level Security is a deliberate Phase 3 enhancement, not a Phase 1 requirement — the Phase 1 control is complete organization_id coverage on every tenant-scoped table plus a tested isolation matrix (Section 10.1), which is the actual outstanding item today.</w:t>
      </w:r>
    </w:p>
    <w:p>
      <w:pPr>
        <w:pStyle w:val="Heading2"/>
        <w:spacing w:after="140" w:before="280"/>
      </w:pPr>
      <w:r>
        <w:t xml:space="preserve">7.5 API Standards</w:t>
      </w:r>
    </w:p>
    <w:p>
      <w:pPr>
        <w:spacing w:after="140"/>
      </w:pPr>
      <w:r>
        <w:rPr>
          <w:b w:val="false"/>
          <w:bCs w:val="false"/>
          <w:i w:val="false"/>
          <w:iCs w:val="false"/>
        </w:rPr>
        <w:t xml:space="preserve">REST APIs follow a consistent structure, matching the Generic Module API surface in Section 4.7. Legacy APIs shall gradually migrate to the Generic Module Framework rather than being cut over all at once.</w:t>
      </w:r>
    </w:p>
    <w:p>
      <w:pPr>
        <w:pStyle w:val="Heading2"/>
        <w:spacing w:after="140" w:before="280"/>
      </w:pPr>
      <w:r>
        <w:t xml:space="preserve">7.6 AI Provider Strategy</w:t>
      </w:r>
    </w:p>
    <w:p>
      <w:pPr>
        <w:spacing w:after="140"/>
      </w:pPr>
      <w:r>
        <w:rPr>
          <w:b w:val="false"/>
          <w:bCs w:val="false"/>
          <w:i w:val="false"/>
          <w:iCs w:val="false"/>
        </w:rPr>
        <w:t xml:space="preserve">Target provider: either Anthropic Claude or OpenAI — this choice is not yet finalized. Because it is open, the AI abstraction layer is not optional polish; it is the only thing that lets that decision be made later, under real cost and quality data, without touching module code. No module or prompt template shall call a provider SDK directly. The decision shall be documented as a short Architecture Review (Section 9.11) once made, and future providers (Azure OpenAI, Google Gemini, Ollama) remain possible afterward through the same abstraction.</w:t>
      </w:r>
    </w:p>
    <w:p>
      <w:pPr>
        <w:pStyle w:val="Heading2"/>
        <w:spacing w:after="140" w:before="280"/>
      </w:pPr>
      <w:r>
        <w:t xml:space="preserve">7.7 Cloud &amp; Storage Strategy</w:t>
      </w:r>
    </w:p>
    <w:p>
      <w:pPr>
        <w:spacing w:after="140"/>
      </w:pPr>
      <w:r>
        <w:rPr>
          <w:b w:val="false"/>
          <w:bCs w:val="false"/>
          <w:i w:val="false"/>
          <w:iCs w:val="false"/>
        </w:rPr>
        <w:t xml:space="preserve">Official Cloud Platform (target): Microsoft Azure, using Azure App Service, Azure PostgreSQL, Azure Blob Storage, Azure Key Vault, and Azure Monitor, behind a cloud-abstraction layer so the migration is a configuration change, not a rewrite.</w:t>
      </w:r>
    </w:p>
    <w:p>
      <w:pPr>
        <w:spacing w:after="140"/>
      </w:pPr>
      <w:r>
        <w:rPr>
          <w:b w:val="false"/>
          <w:bCs w:val="false"/>
          <w:i/>
          <w:iCs/>
        </w:rPr>
        <w:t xml:space="preserve">Current environment: Vercel (frontend) and Railway (backend API and managed PostgreSQL). This is the founder's testing and development environment while the product is pre-revenue, not the permanent production target — do not build Azure-specific code against it, and do not treat its presence in earlier drafts of this document as a final decision. Build every cloud interaction (storage, secrets, monitoring) against the abstraction layer from Section 4.8's configuration-driven design principle, so the eventual Azure migration only touches configuration, not module code.</w:t>
      </w:r>
    </w:p>
    <w:p>
      <w:pPr>
        <w:spacing w:after="140"/>
      </w:pPr>
      <w:r>
        <w:rPr>
          <w:b/>
          <w:bCs/>
          <w:i w:val="false"/>
          <w:iCs w:val="false"/>
        </w:rPr>
        <w:t xml:space="preserve">Current storage implementation: uploaded files, evidence, working papers, and reports are stored on the current environment's local container disk. This is flagged as an urgent risk regardless of which cloud hosts it: local container disks are not guaranteed persistent across redeploys on either Railway or Azure App Service, so a routine deployment can silently destroy evidence and reports for every organization on the platform. This must be migrated to abstracted object storage (Azure Blob Storage once migrated, or AWS S3 / Cloudflare R2 in the interim) before onboarding any customer whose data loss would be consequential. The database shall continue to store only metadata and references, never the files themselves, once this migration lands.</w:t>
      </w:r>
    </w:p>
    <w:p>
      <w:pPr>
        <w:pStyle w:val="Heading2"/>
        <w:spacing w:after="140" w:before="280"/>
      </w:pPr>
      <w:r>
        <w:t xml:space="preserve">7.8 Job Queue &amp; Caching</w:t>
      </w:r>
    </w:p>
    <w:p>
      <w:pPr>
        <w:spacing w:after="140"/>
      </w:pPr>
      <w:r>
        <w:rPr>
          <w:b w:val="false"/>
          <w:bCs w:val="false"/>
          <w:i w:val="false"/>
          <w:iCs w:val="false"/>
        </w:rPr>
        <w:t xml:space="preserve">Official target: an asynchronous job queue (Celery or RQ) backed by Redis, sitting between the Validation Layer and the Rule Engine, so Analysis Runs execute outside the request-response cycle rather than timing out on large audit datasets. Redis also serves as the caching layer for read-heavy Generic Engine queries.</w:t>
      </w:r>
    </w:p>
    <w:p>
      <w:pPr>
        <w:spacing w:after="140"/>
      </w:pPr>
      <w:r>
        <w:rPr>
          <w:b w:val="false"/>
          <w:bCs w:val="false"/>
          <w:i/>
          <w:iCs/>
        </w:rPr>
        <w:t xml:space="preserve">Current implementation: FastAPI BackgroundTasks, with no Redis. This is acceptable for a single-instance deployment with the current data volumes, but does not survive a process restart mid-run and does not scale to multiple backend instances. Upgrade to Celery/RQ + Redis before Wave 3 module volume or any horizontal scaling, whichever comes first.</w:t>
      </w:r>
    </w:p>
    <w:p>
      <w:pPr>
        <w:pStyle w:val="Heading2"/>
        <w:spacing w:after="140" w:before="280"/>
      </w:pPr>
      <w:r>
        <w:t xml:space="preserve">7.9 Logging &amp; Monitoring</w:t>
      </w:r>
    </w:p>
    <w:p>
      <w:pPr>
        <w:spacing w:after="140"/>
      </w:pPr>
      <w:r>
        <w:rPr>
          <w:b w:val="false"/>
          <w:bCs w:val="false"/>
          <w:i w:val="false"/>
          <w:iCs w:val="false"/>
        </w:rPr>
        <w:t xml:space="preserve">The platform logs: user login, upload activity, rule execution, AI requests, report generation, audit approvals, security events, and system errors, feeding proactive issue detection. Application error tracking (Sentry) is part of this standard.</w:t>
      </w:r>
    </w:p>
    <w:p>
      <w:pPr>
        <w:pStyle w:val="Heading2"/>
        <w:spacing w:after="140" w:before="280"/>
      </w:pPr>
      <w:r>
        <w:t xml:space="preserve">7.10 Security Standards</w:t>
      </w:r>
    </w:p>
    <w:p>
      <w:pPr>
        <w:spacing w:after="140"/>
      </w:pPr>
      <w:r>
        <w:rPr>
          <w:b w:val="false"/>
          <w:bCs w:val="false"/>
          <w:i w:val="false"/>
          <w:iCs w:val="false"/>
        </w:rPr>
        <w:t xml:space="preserve">Security principles include: encryption in transit, encryption at rest, secure password storage, JWT validation, API authorization, input validation, SQL injection protection, XSS protection, CSRF protection, and audit logging. Security is considered during design, never added later.</w:t>
      </w:r>
    </w:p>
    <w:p>
      <w:pPr>
        <w:pStyle w:val="Heading2"/>
        <w:spacing w:after="140" w:before="280"/>
      </w:pPr>
      <w:r>
        <w:t xml:space="preserve">7.11 Performance, Scalability &amp; Backup</w:t>
      </w:r>
    </w:p>
    <w:p>
      <w:pPr>
        <w:spacing w:after="140"/>
      </w:pPr>
      <w:r>
        <w:rPr>
          <w:b w:val="false"/>
          <w:bCs w:val="false"/>
          <w:i w:val="false"/>
          <w:iCs w:val="false"/>
        </w:rPr>
        <w:t xml:space="preserve">The platform supports concurrent users, processes large audit datasets, scales horizontally, supports asynchronous execution, and maintains responsive interfaces; performance targets are validated through testing. Scaling is achieved through stateless APIs, background workers, database optimization, caching, horizontal scaling, and modular architecture — never through application redesign.</w:t>
      </w:r>
    </w:p>
    <w:p>
      <w:pPr>
        <w:spacing w:after="140"/>
      </w:pPr>
      <w:r>
        <w:rPr>
          <w:b w:val="false"/>
          <w:bCs w:val="false"/>
          <w:i w:val="false"/>
          <w:iCs w:val="false"/>
        </w:rPr>
        <w:t xml:space="preserve">Business continuity requires automated, tested database backups, blob storage backups, a documented disaster-recovery procedure, point-in-time recovery, and periodic restore validation — an untested backup is not a backup.</w:t>
      </w:r>
    </w:p>
    <w:p>
      <w:pPr>
        <w:pStyle w:val="Heading2"/>
        <w:spacing w:after="140" w:before="280"/>
      </w:pPr>
      <w:r>
        <w:t xml:space="preserve">7.12 Technology Stack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00"/>
      </w:tblGrid>
      <w:tr>
        <w:trPr>
          <w:tblHeader/>
        </w:trPr>
        <w:tc>
          <w:tcPr>
            <w:tcW w:type="dxa" w:w="2600"/>
            <w:shd w:fill="1F3864" w:val="clear"/>
          </w:tcPr>
          <w:p>
            <w:r>
              <w:rPr>
                <w:b/>
                <w:bCs/>
                <w:color w:val="FFFFFF"/>
                <w:sz w:val="20"/>
                <w:szCs w:val="20"/>
              </w:rPr>
              <w:t xml:space="preserve">Component</w:t>
            </w:r>
          </w:p>
        </w:tc>
        <w:tc>
          <w:tcPr>
            <w:tcW w:type="dxa" w:w="3800"/>
            <w:shd w:fill="1F3864" w:val="clear"/>
          </w:tcPr>
          <w:p>
            <w:r>
              <w:rPr>
                <w:b/>
                <w:bCs/>
                <w:color w:val="FFFFFF"/>
                <w:sz w:val="20"/>
                <w:szCs w:val="20"/>
              </w:rPr>
              <w:t xml:space="preserve">Target</w:t>
            </w:r>
          </w:p>
        </w:tc>
        <w:tc>
          <w:tcPr>
            <w:tcW w:type="dxa" w:w="2600"/>
            <w:shd w:fill="1F3864" w:val="clear"/>
          </w:tcPr>
          <w:p>
            <w:r>
              <w:rPr>
                <w:b/>
                <w:bCs/>
                <w:color w:val="FFFFFF"/>
                <w:sz w:val="20"/>
                <w:szCs w:val="20"/>
              </w:rPr>
              <w:t xml:space="preserve">Current Status</w:t>
            </w:r>
          </w:p>
        </w:tc>
      </w:tr>
      <w:tr>
        <w:tc>
          <w:tcPr>
            <w:tcW w:type="dxa" w:w="2600"/>
          </w:tcPr>
          <w:p>
            <w:r>
              <w:rPr>
                <w:b w:val="false"/>
                <w:bCs w:val="false"/>
                <w:sz w:val="20"/>
                <w:szCs w:val="20"/>
              </w:rPr>
              <w:t xml:space="preserve">Frontend</w:t>
            </w:r>
          </w:p>
        </w:tc>
        <w:tc>
          <w:tcPr>
            <w:tcW w:type="dxa" w:w="3800"/>
          </w:tcPr>
          <w:p>
            <w:r>
              <w:rPr>
                <w:b w:val="false"/>
                <w:bCs w:val="false"/>
                <w:sz w:val="20"/>
                <w:szCs w:val="20"/>
              </w:rPr>
              <w:t xml:space="preserve">Next.js 14 + React + TypeScript + Tailwind</w:t>
            </w:r>
          </w:p>
        </w:tc>
        <w:tc>
          <w:tcPr>
            <w:tcW w:type="dxa" w:w="2600"/>
          </w:tcPr>
          <w:p>
            <w:r>
              <w:rPr>
                <w:b w:val="false"/>
                <w:bCs w:val="false"/>
                <w:sz w:val="20"/>
                <w:szCs w:val="20"/>
              </w:rPr>
              <w:t xml:space="preserve">Implemented</w:t>
            </w:r>
          </w:p>
        </w:tc>
      </w:tr>
      <w:tr>
        <w:tc>
          <w:tcPr>
            <w:tcW w:type="dxa" w:w="2600"/>
          </w:tcPr>
          <w:p>
            <w:r>
              <w:rPr>
                <w:b w:val="false"/>
                <w:bCs w:val="false"/>
                <w:sz w:val="20"/>
                <w:szCs w:val="20"/>
              </w:rPr>
              <w:t xml:space="preserve">Backend</w:t>
            </w:r>
          </w:p>
        </w:tc>
        <w:tc>
          <w:tcPr>
            <w:tcW w:type="dxa" w:w="3800"/>
          </w:tcPr>
          <w:p>
            <w:r>
              <w:rPr>
                <w:b w:val="false"/>
                <w:bCs w:val="false"/>
                <w:sz w:val="20"/>
                <w:szCs w:val="20"/>
              </w:rPr>
              <w:t xml:space="preserve">FastAPI (Python)</w:t>
            </w:r>
          </w:p>
        </w:tc>
        <w:tc>
          <w:tcPr>
            <w:tcW w:type="dxa" w:w="2600"/>
          </w:tcPr>
          <w:p>
            <w:r>
              <w:rPr>
                <w:b w:val="false"/>
                <w:bCs w:val="false"/>
                <w:sz w:val="20"/>
                <w:szCs w:val="20"/>
              </w:rPr>
              <w:t xml:space="preserve">Implemented</w:t>
            </w:r>
          </w:p>
        </w:tc>
      </w:tr>
      <w:tr>
        <w:tc>
          <w:tcPr>
            <w:tcW w:type="dxa" w:w="2600"/>
          </w:tcPr>
          <w:p>
            <w:r>
              <w:rPr>
                <w:b w:val="false"/>
                <w:bCs w:val="false"/>
                <w:sz w:val="20"/>
                <w:szCs w:val="20"/>
              </w:rPr>
              <w:t xml:space="preserve">Database</w:t>
            </w:r>
          </w:p>
        </w:tc>
        <w:tc>
          <w:tcPr>
            <w:tcW w:type="dxa" w:w="3800"/>
          </w:tcPr>
          <w:p>
            <w:r>
              <w:rPr>
                <w:b w:val="false"/>
                <w:bCs w:val="false"/>
                <w:sz w:val="20"/>
                <w:szCs w:val="20"/>
              </w:rPr>
              <w:t xml:space="preserve">PostgreSQL</w:t>
            </w:r>
          </w:p>
        </w:tc>
        <w:tc>
          <w:tcPr>
            <w:tcW w:type="dxa" w:w="2600"/>
          </w:tcPr>
          <w:p>
            <w:r>
              <w:rPr>
                <w:b w:val="false"/>
                <w:bCs w:val="false"/>
                <w:sz w:val="20"/>
                <w:szCs w:val="20"/>
              </w:rPr>
              <w:t xml:space="preserve">Implemented (on current test environment)</w:t>
            </w:r>
          </w:p>
        </w:tc>
      </w:tr>
      <w:tr>
        <w:tc>
          <w:tcPr>
            <w:tcW w:type="dxa" w:w="2600"/>
          </w:tcPr>
          <w:p>
            <w:r>
              <w:rPr>
                <w:b w:val="false"/>
                <w:bCs w:val="false"/>
                <w:sz w:val="20"/>
                <w:szCs w:val="20"/>
              </w:rPr>
              <w:t xml:space="preserve">Cache</w:t>
            </w:r>
          </w:p>
        </w:tc>
        <w:tc>
          <w:tcPr>
            <w:tcW w:type="dxa" w:w="3800"/>
          </w:tcPr>
          <w:p>
            <w:r>
              <w:rPr>
                <w:b w:val="false"/>
                <w:bCs w:val="false"/>
                <w:sz w:val="20"/>
                <w:szCs w:val="20"/>
              </w:rPr>
              <w:t xml:space="preserve">Redis</w:t>
            </w:r>
          </w:p>
        </w:tc>
        <w:tc>
          <w:tcPr>
            <w:tcW w:type="dxa" w:w="2600"/>
          </w:tcPr>
          <w:p>
            <w:r>
              <w:rPr>
                <w:b w:val="false"/>
                <w:bCs w:val="false"/>
                <w:sz w:val="20"/>
                <w:szCs w:val="20"/>
              </w:rPr>
              <w:t xml:space="preserve">Not implemented</w:t>
            </w:r>
          </w:p>
        </w:tc>
      </w:tr>
      <w:tr>
        <w:tc>
          <w:tcPr>
            <w:tcW w:type="dxa" w:w="2600"/>
          </w:tcPr>
          <w:p>
            <w:r>
              <w:rPr>
                <w:b w:val="false"/>
                <w:bCs w:val="false"/>
                <w:sz w:val="20"/>
                <w:szCs w:val="20"/>
              </w:rPr>
              <w:t xml:space="preserve">Job Queue</w:t>
            </w:r>
          </w:p>
        </w:tc>
        <w:tc>
          <w:tcPr>
            <w:tcW w:type="dxa" w:w="3800"/>
          </w:tcPr>
          <w:p>
            <w:r>
              <w:rPr>
                <w:b w:val="false"/>
                <w:bCs w:val="false"/>
                <w:sz w:val="20"/>
                <w:szCs w:val="20"/>
              </w:rPr>
              <w:t xml:space="preserve">Celery or RQ, backed by Redis</w:t>
            </w:r>
          </w:p>
        </w:tc>
        <w:tc>
          <w:tcPr>
            <w:tcW w:type="dxa" w:w="2600"/>
          </w:tcPr>
          <w:p>
            <w:r>
              <w:rPr>
                <w:b w:val="false"/>
                <w:bCs w:val="false"/>
                <w:sz w:val="20"/>
                <w:szCs w:val="20"/>
              </w:rPr>
              <w:t xml:space="preserve">FastAPI BackgroundTasks (upgrade before scale)</w:t>
            </w:r>
          </w:p>
        </w:tc>
      </w:tr>
      <w:tr>
        <w:tc>
          <w:tcPr>
            <w:tcW w:type="dxa" w:w="2600"/>
          </w:tcPr>
          <w:p>
            <w:r>
              <w:rPr>
                <w:b w:val="false"/>
                <w:bCs w:val="false"/>
                <w:sz w:val="20"/>
                <w:szCs w:val="20"/>
              </w:rPr>
              <w:t xml:space="preserve">Tenant Isolation Backstop</w:t>
            </w:r>
          </w:p>
        </w:tc>
        <w:tc>
          <w:tcPr>
            <w:tcW w:type="dxa" w:w="3800"/>
          </w:tcPr>
          <w:p>
            <w:r>
              <w:rPr>
                <w:b w:val="false"/>
                <w:bCs w:val="false"/>
                <w:sz w:val="20"/>
                <w:szCs w:val="20"/>
              </w:rPr>
              <w:t xml:space="preserve">PostgreSQL Row-Level Security (Phase 3, per ADR-003)</w:t>
            </w:r>
          </w:p>
        </w:tc>
        <w:tc>
          <w:tcPr>
            <w:tcW w:type="dxa" w:w="2600"/>
          </w:tcPr>
          <w:p>
            <w:r>
              <w:rPr>
                <w:b w:val="false"/>
                <w:bCs w:val="false"/>
                <w:sz w:val="20"/>
                <w:szCs w:val="20"/>
              </w:rPr>
              <w:t xml:space="preserve">Not yet started — by design, not by delay. Phase 1 gap is organization_id coverage completeness, see 10.1</w:t>
            </w:r>
          </w:p>
        </w:tc>
      </w:tr>
      <w:tr>
        <w:tc>
          <w:tcPr>
            <w:tcW w:type="dxa" w:w="2600"/>
          </w:tcPr>
          <w:p>
            <w:r>
              <w:rPr>
                <w:b w:val="false"/>
                <w:bCs w:val="false"/>
                <w:sz w:val="20"/>
                <w:szCs w:val="20"/>
              </w:rPr>
              <w:t xml:space="preserve">Auth Provider</w:t>
            </w:r>
          </w:p>
        </w:tc>
        <w:tc>
          <w:tcPr>
            <w:tcW w:type="dxa" w:w="3800"/>
          </w:tcPr>
          <w:p>
            <w:r>
              <w:rPr>
                <w:b w:val="false"/>
                <w:bCs w:val="false"/>
                <w:sz w:val="20"/>
                <w:szCs w:val="20"/>
              </w:rPr>
              <w:t xml:space="preserve">Managed provider (Auth0/Clerk/Azure AD B2C)</w:t>
            </w:r>
          </w:p>
        </w:tc>
        <w:tc>
          <w:tcPr>
            <w:tcW w:type="dxa" w:w="2600"/>
          </w:tcPr>
          <w:p>
            <w:r>
              <w:rPr>
                <w:b w:val="false"/>
                <w:bCs w:val="false"/>
                <w:sz w:val="20"/>
                <w:szCs w:val="20"/>
              </w:rPr>
              <w:t xml:space="preserve">Hand-built JWT + bcrypt (debt, see 7.3)</w:t>
            </w:r>
          </w:p>
        </w:tc>
      </w:tr>
      <w:tr>
        <w:tc>
          <w:tcPr>
            <w:tcW w:type="dxa" w:w="2600"/>
          </w:tcPr>
          <w:p>
            <w:r>
              <w:rPr>
                <w:b w:val="false"/>
                <w:bCs w:val="false"/>
                <w:sz w:val="20"/>
                <w:szCs w:val="20"/>
              </w:rPr>
              <w:t xml:space="preserve">Cloud Platform</w:t>
            </w:r>
          </w:p>
        </w:tc>
        <w:tc>
          <w:tcPr>
            <w:tcW w:type="dxa" w:w="3800"/>
          </w:tcPr>
          <w:p>
            <w:r>
              <w:rPr>
                <w:b w:val="false"/>
                <w:bCs w:val="false"/>
                <w:sz w:val="20"/>
                <w:szCs w:val="20"/>
              </w:rPr>
              <w:t xml:space="preserve">Microsoft Azure</w:t>
            </w:r>
          </w:p>
        </w:tc>
        <w:tc>
          <w:tcPr>
            <w:tcW w:type="dxa" w:w="2600"/>
          </w:tcPr>
          <w:p>
            <w:r>
              <w:rPr>
                <w:b w:val="false"/>
                <w:bCs w:val="false"/>
                <w:sz w:val="20"/>
                <w:szCs w:val="20"/>
              </w:rPr>
              <w:t xml:space="preserve">Vercel + Railway — current testing environment only, see 7.7</w:t>
            </w:r>
          </w:p>
        </w:tc>
      </w:tr>
      <w:tr>
        <w:tc>
          <w:tcPr>
            <w:tcW w:type="dxa" w:w="2600"/>
          </w:tcPr>
          <w:p>
            <w:r>
              <w:rPr>
                <w:b w:val="false"/>
                <w:bCs w:val="false"/>
                <w:sz w:val="20"/>
                <w:szCs w:val="20"/>
              </w:rPr>
              <w:t xml:space="preserve">File Storage</w:t>
            </w:r>
          </w:p>
        </w:tc>
        <w:tc>
          <w:tcPr>
            <w:tcW w:type="dxa" w:w="3800"/>
          </w:tcPr>
          <w:p>
            <w:r>
              <w:rPr>
                <w:b w:val="false"/>
                <w:bCs w:val="false"/>
                <w:sz w:val="20"/>
                <w:szCs w:val="20"/>
              </w:rPr>
              <w:t xml:space="preserve">Azure Blob Storage (or S3/R2 interim)</w:t>
            </w:r>
          </w:p>
        </w:tc>
        <w:tc>
          <w:tcPr>
            <w:tcW w:type="dxa" w:w="2600"/>
          </w:tcPr>
          <w:p>
            <w:r>
              <w:rPr>
                <w:b w:val="false"/>
                <w:bCs w:val="false"/>
                <w:sz w:val="20"/>
                <w:szCs w:val="20"/>
              </w:rPr>
              <w:t xml:space="preserve">Local disk on current environment — urgent, see 7.7</w:t>
            </w:r>
          </w:p>
        </w:tc>
      </w:tr>
      <w:tr>
        <w:tc>
          <w:tcPr>
            <w:tcW w:type="dxa" w:w="2600"/>
          </w:tcPr>
          <w:p>
            <w:r>
              <w:rPr>
                <w:b w:val="false"/>
                <w:bCs w:val="false"/>
                <w:sz w:val="20"/>
                <w:szCs w:val="20"/>
              </w:rPr>
              <w:t xml:space="preserve">AI Provider</w:t>
            </w:r>
          </w:p>
        </w:tc>
        <w:tc>
          <w:tcPr>
            <w:tcW w:type="dxa" w:w="3800"/>
          </w:tcPr>
          <w:p>
            <w:r>
              <w:rPr>
                <w:b w:val="false"/>
                <w:bCs w:val="false"/>
                <w:sz w:val="20"/>
                <w:szCs w:val="20"/>
              </w:rPr>
              <w:t xml:space="preserve">Anthropic Claude or OpenAI — decision pending</w:t>
            </w:r>
          </w:p>
        </w:tc>
        <w:tc>
          <w:tcPr>
            <w:tcW w:type="dxa" w:w="2600"/>
          </w:tcPr>
          <w:p>
            <w:r>
              <w:rPr>
                <w:b w:val="false"/>
                <w:bCs w:val="false"/>
                <w:sz w:val="20"/>
                <w:szCs w:val="20"/>
              </w:rPr>
              <w:t xml:space="preserve">NoOp stub</w:t>
            </w:r>
          </w:p>
        </w:tc>
      </w:tr>
      <w:tr>
        <w:tc>
          <w:tcPr>
            <w:tcW w:type="dxa" w:w="2600"/>
          </w:tcPr>
          <w:p>
            <w:r>
              <w:rPr>
                <w:b w:val="false"/>
                <w:bCs w:val="false"/>
                <w:sz w:val="20"/>
                <w:szCs w:val="20"/>
              </w:rPr>
              <w:t xml:space="preserve">Payment Gateway</w:t>
            </w:r>
          </w:p>
        </w:tc>
        <w:tc>
          <w:tcPr>
            <w:tcW w:type="dxa" w:w="3800"/>
          </w:tcPr>
          <w:p>
            <w:r>
              <w:rPr>
                <w:b w:val="false"/>
                <w:bCs w:val="false"/>
                <w:sz w:val="20"/>
                <w:szCs w:val="20"/>
              </w:rPr>
              <w:t xml:space="preserve">Razorpay (confirmed)</w:t>
            </w:r>
          </w:p>
        </w:tc>
        <w:tc>
          <w:tcPr>
            <w:tcW w:type="dxa" w:w="2600"/>
          </w:tcPr>
          <w:p>
            <w:r>
              <w:rPr>
                <w:b w:val="false"/>
                <w:bCs w:val="false"/>
                <w:sz w:val="20"/>
                <w:szCs w:val="20"/>
              </w:rPr>
              <w:t xml:space="preserve">Not implemented</w:t>
            </w:r>
          </w:p>
        </w:tc>
      </w:tr>
      <w:tr>
        <w:tc>
          <w:tcPr>
            <w:tcW w:type="dxa" w:w="2600"/>
          </w:tcPr>
          <w:p>
            <w:r>
              <w:rPr>
                <w:b w:val="false"/>
                <w:bCs w:val="false"/>
                <w:sz w:val="20"/>
                <w:szCs w:val="20"/>
              </w:rPr>
              <w:t xml:space="preserve">Error Monitoring</w:t>
            </w:r>
          </w:p>
        </w:tc>
        <w:tc>
          <w:tcPr>
            <w:tcW w:type="dxa" w:w="3800"/>
          </w:tcPr>
          <w:p>
            <w:r>
              <w:rPr>
                <w:b w:val="false"/>
                <w:bCs w:val="false"/>
                <w:sz w:val="20"/>
                <w:szCs w:val="20"/>
              </w:rPr>
              <w:t xml:space="preserve">Sentry</w:t>
            </w:r>
          </w:p>
        </w:tc>
        <w:tc>
          <w:tcPr>
            <w:tcW w:type="dxa" w:w="2600"/>
          </w:tcPr>
          <w:p>
            <w:r>
              <w:rPr>
                <w:b w:val="false"/>
                <w:bCs w:val="false"/>
                <w:sz w:val="20"/>
                <w:szCs w:val="20"/>
              </w:rPr>
              <w:t xml:space="preserve">Not implemented</w:t>
            </w:r>
          </w:p>
        </w:tc>
      </w:tr>
      <w:tr>
        <w:tc>
          <w:tcPr>
            <w:tcW w:type="dxa" w:w="2600"/>
          </w:tcPr>
          <w:p>
            <w:r>
              <w:rPr>
                <w:b w:val="false"/>
                <w:bCs w:val="false"/>
                <w:sz w:val="20"/>
                <w:szCs w:val="20"/>
              </w:rPr>
              <w:t xml:space="preserve">Version Control</w:t>
            </w:r>
          </w:p>
        </w:tc>
        <w:tc>
          <w:tcPr>
            <w:tcW w:type="dxa" w:w="3800"/>
          </w:tcPr>
          <w:p>
            <w:r>
              <w:rPr>
                <w:b w:val="false"/>
                <w:bCs w:val="false"/>
                <w:sz w:val="20"/>
                <w:szCs w:val="20"/>
              </w:rPr>
              <w:t xml:space="preserve">Git + GitHub</w:t>
            </w:r>
          </w:p>
        </w:tc>
        <w:tc>
          <w:tcPr>
            <w:tcW w:type="dxa" w:w="2600"/>
          </w:tcPr>
          <w:p>
            <w:r>
              <w:rPr>
                <w:b w:val="false"/>
                <w:bCs w:val="false"/>
                <w:sz w:val="20"/>
                <w:szCs w:val="20"/>
              </w:rPr>
              <w:t xml:space="preserve">Implemented</w:t>
            </w:r>
          </w:p>
        </w:tc>
      </w:tr>
    </w:tbl>
    <w:p>
      <w:pPr>
        <w:pStyle w:val="Heading1"/>
        <w:pageBreakBefore/>
        <w:spacing w:after="200" w:before="400"/>
      </w:pPr>
      <w:r>
        <w:t xml:space="preserve">8. Enterprise Trust &amp; Compliance Posture</w:t>
      </w:r>
    </w:p>
    <w:p>
      <w:pPr>
        <w:spacing w:after="140"/>
      </w:pPr>
      <w:r>
        <w:rPr>
          <w:b w:val="false"/>
          <w:bCs w:val="false"/>
          <w:i w:val="false"/>
          <w:iCs w:val="false"/>
        </w:rPr>
        <w:t xml:space="preserve">This chapter exists because the platform's own stated intended users (Section 0.5) include Medium, Large, and Enterprise Audit Teams. Those buyers will ask about the items in this chapter before a pilot, not after. This chapter is a roadmap with honest target dates — not a claim that any of it exists today, and not a v1 launch blocker.</w:t>
      </w:r>
    </w:p>
    <w:p>
      <w:pPr>
        <w:pStyle w:val="Heading2"/>
        <w:spacing w:after="140" w:before="280"/>
      </w:pPr>
      <w:r>
        <w:t xml:space="preserve">8.1 Certifications — Target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00"/>
      </w:tblGrid>
      <w:tr>
        <w:trPr>
          <w:tblHeader/>
        </w:trPr>
        <w:tc>
          <w:tcPr>
            <w:tcW w:type="dxa" w:w="2600"/>
            <w:shd w:fill="1F3864" w:val="clear"/>
          </w:tcPr>
          <w:p>
            <w:r>
              <w:rPr>
                <w:b/>
                <w:bCs/>
                <w:color w:val="FFFFFF"/>
                <w:sz w:val="20"/>
                <w:szCs w:val="20"/>
              </w:rPr>
              <w:t xml:space="preserve">Certification</w:t>
            </w:r>
          </w:p>
        </w:tc>
        <w:tc>
          <w:tcPr>
            <w:tcW w:type="dxa" w:w="1600"/>
            <w:shd w:fill="1F3864" w:val="clear"/>
          </w:tcPr>
          <w:p>
            <w:r>
              <w:rPr>
                <w:b/>
                <w:bCs/>
                <w:color w:val="FFFFFF"/>
                <w:sz w:val="20"/>
                <w:szCs w:val="20"/>
              </w:rPr>
              <w:t xml:space="preserve">Target</w:t>
            </w:r>
          </w:p>
        </w:tc>
        <w:tc>
          <w:tcPr>
            <w:tcW w:type="dxa" w:w="4800"/>
            <w:shd w:fill="1F3864" w:val="clear"/>
          </w:tcPr>
          <w:p>
            <w:r>
              <w:rPr>
                <w:b/>
                <w:bCs/>
                <w:color w:val="FFFFFF"/>
                <w:sz w:val="20"/>
                <w:szCs w:val="20"/>
              </w:rPr>
              <w:t xml:space="preserve">Status</w:t>
            </w:r>
          </w:p>
        </w:tc>
      </w:tr>
      <w:tr>
        <w:tc>
          <w:tcPr>
            <w:tcW w:type="dxa" w:w="2600"/>
          </w:tcPr>
          <w:p>
            <w:r>
              <w:rPr>
                <w:b w:val="false"/>
                <w:bCs w:val="false"/>
                <w:sz w:val="20"/>
                <w:szCs w:val="20"/>
              </w:rPr>
              <w:t xml:space="preserve">SOC 2 Type I</w:t>
            </w:r>
          </w:p>
        </w:tc>
        <w:tc>
          <w:tcPr>
            <w:tcW w:type="dxa" w:w="1600"/>
          </w:tcPr>
          <w:p>
            <w:r>
              <w:rPr>
                <w:b w:val="false"/>
                <w:bCs w:val="false"/>
                <w:sz w:val="20"/>
                <w:szCs w:val="20"/>
              </w:rPr>
              <w:t xml:space="preserve">Year 2</w:t>
            </w:r>
          </w:p>
        </w:tc>
        <w:tc>
          <w:tcPr>
            <w:tcW w:type="dxa" w:w="4800"/>
          </w:tcPr>
          <w:p>
            <w:r>
              <w:rPr>
                <w:b w:val="false"/>
                <w:bCs w:val="false"/>
                <w:sz w:val="20"/>
                <w:szCs w:val="20"/>
              </w:rPr>
              <w:t xml:space="preserve">Not started — architecture in this document is designed to make it achievable.</w:t>
            </w:r>
          </w:p>
        </w:tc>
      </w:tr>
      <w:tr>
        <w:tc>
          <w:tcPr>
            <w:tcW w:type="dxa" w:w="2600"/>
          </w:tcPr>
          <w:p>
            <w:r>
              <w:rPr>
                <w:b w:val="false"/>
                <w:bCs w:val="false"/>
                <w:sz w:val="20"/>
                <w:szCs w:val="20"/>
              </w:rPr>
              <w:t xml:space="preserve">ISO 27001</w:t>
            </w:r>
          </w:p>
        </w:tc>
        <w:tc>
          <w:tcPr>
            <w:tcW w:type="dxa" w:w="1600"/>
          </w:tcPr>
          <w:p>
            <w:r>
              <w:rPr>
                <w:b w:val="false"/>
                <w:bCs w:val="false"/>
                <w:sz w:val="20"/>
                <w:szCs w:val="20"/>
              </w:rPr>
              <w:t xml:space="preserve">Year 3+</w:t>
            </w:r>
          </w:p>
        </w:tc>
        <w:tc>
          <w:tcPr>
            <w:tcW w:type="dxa" w:w="4800"/>
          </w:tcPr>
          <w:p>
            <w:r>
              <w:rPr>
                <w:b w:val="false"/>
                <w:bCs w:val="false"/>
                <w:sz w:val="20"/>
                <w:szCs w:val="20"/>
              </w:rPr>
              <w:t xml:space="preserve">Aspirational, revisit once SOC 2 is underway.</w:t>
            </w:r>
          </w:p>
        </w:tc>
      </w:tr>
      <w:tr>
        <w:tc>
          <w:tcPr>
            <w:tcW w:type="dxa" w:w="2600"/>
          </w:tcPr>
          <w:p>
            <w:r>
              <w:rPr>
                <w:b w:val="false"/>
                <w:bCs w:val="false"/>
                <w:sz w:val="20"/>
                <w:szCs w:val="20"/>
              </w:rPr>
              <w:t xml:space="preserve">GDPR / India DPDP Act alignment</w:t>
            </w:r>
          </w:p>
        </w:tc>
        <w:tc>
          <w:tcPr>
            <w:tcW w:type="dxa" w:w="1600"/>
          </w:tcPr>
          <w:p>
            <w:r>
              <w:rPr>
                <w:b w:val="false"/>
                <w:bCs w:val="false"/>
                <w:sz w:val="20"/>
                <w:szCs w:val="20"/>
              </w:rPr>
              <w:t xml:space="preserve">Day 1, architecturally</w:t>
            </w:r>
          </w:p>
        </w:tc>
        <w:tc>
          <w:tcPr>
            <w:tcW w:type="dxa" w:w="4800"/>
          </w:tcPr>
          <w:p>
            <w:r>
              <w:rPr>
                <w:b w:val="false"/>
                <w:bCs w:val="false"/>
                <w:sz w:val="20"/>
                <w:szCs w:val="20"/>
              </w:rPr>
              <w:t xml:space="preserve">Data minimization, right-to-erasure, and consent tracking designed in from the start, even though formal certification is not sought immediately.</w:t>
            </w:r>
          </w:p>
        </w:tc>
      </w:tr>
    </w:tbl>
    <w:p>
      <w:pPr>
        <w:pStyle w:val="Heading2"/>
        <w:spacing w:after="140" w:before="280"/>
      </w:pPr>
      <w:r>
        <w:t xml:space="preserve">8.2 Data Residency</w:t>
      </w:r>
    </w:p>
    <w:p>
      <w:pPr>
        <w:spacing w:after="140"/>
      </w:pPr>
      <w:r>
        <w:rPr>
          <w:b w:val="false"/>
          <w:bCs w:val="false"/>
          <w:i w:val="false"/>
          <w:iCs w:val="false"/>
        </w:rPr>
        <w:t xml:space="preserve">Default hosting region is India. Multi-region hosting is an enterprise-tier feature, deferred until a customer contract requires it — it shall not be built speculatively.</w:t>
      </w:r>
    </w:p>
    <w:p>
      <w:pPr>
        <w:pStyle w:val="Heading2"/>
        <w:spacing w:after="140" w:before="280"/>
      </w:pPr>
      <w:r>
        <w:t xml:space="preserve">8.3 Service Levels (Internal Targets, Not Yet Customer-Facing)</w:t>
      </w:r>
    </w:p>
    <w:p>
      <w:pPr>
        <w:spacing w:after="140"/>
      </w:pPr>
      <w:r>
        <w:rPr>
          <w:b w:val="false"/>
          <w:bCs w:val="false"/>
          <w:i w:val="false"/>
          <w:iCs w:val="false"/>
        </w:rPr>
        <w:t xml:space="preserve">99.5% uptime is set as an internal engineering target for paid tiers during the first year. This is not to be published as a customer-facing SLA guarantee until it has been measured and met for at least two consecutive quarters.</w:t>
      </w:r>
    </w:p>
    <w:p>
      <w:pPr>
        <w:pStyle w:val="Heading2"/>
        <w:spacing w:after="140" w:before="280"/>
      </w:pPr>
      <w:r>
        <w:t xml:space="preserve">8.4 Disaster Recovery Targets</w:t>
      </w:r>
    </w:p>
    <w:p>
      <w:pPr>
        <w:spacing w:after="140"/>
      </w:pPr>
      <w:r>
        <w:rPr>
          <w:b w:val="false"/>
          <w:bCs w:val="false"/>
          <w:i w:val="false"/>
          <w:iCs w:val="false"/>
        </w:rPr>
        <w:t xml:space="preserve">Specific Recovery Point Objective and Recovery Time Objective numbers are to be fixed once the production infrastructure in Chapter 7 is deployed and tested — publishing a number before it has been tested would be a false promise, which Principle 1.7 (“documentation before assumptions”) does not permit.</w:t>
      </w:r>
    </w:p>
    <w:p>
      <w:pPr>
        <w:pStyle w:val="Heading1"/>
        <w:pageBreakBefore/>
        <w:spacing w:after="200" w:before="400"/>
      </w:pPr>
      <w:r>
        <w:t xml:space="preserve">9. Engineering Standards &amp; Governance</w:t>
      </w:r>
    </w:p>
    <w:p>
      <w:pPr>
        <w:pStyle w:val="Heading2"/>
        <w:spacing w:after="140" w:before="280"/>
      </w:pPr>
      <w:r>
        <w:t xml:space="preserve">9.1 Engineering Principles</w:t>
      </w:r>
    </w:p>
    <w:p>
      <w:pPr>
        <w:pStyle w:val="ListParagraph"/>
        <w:numPr>
          <w:ilvl w:val="0"/>
          <w:numId w:val="2"/>
        </w:numPr>
        <w:spacing w:after="60"/>
      </w:pPr>
      <w:r>
        <w:t xml:space="preserve">Architecture Before Implementation</w:t>
      </w:r>
    </w:p>
    <w:p>
      <w:pPr>
        <w:pStyle w:val="ListParagraph"/>
        <w:numPr>
          <w:ilvl w:val="0"/>
          <w:numId w:val="2"/>
        </w:numPr>
        <w:spacing w:after="60"/>
      </w:pPr>
      <w:r>
        <w:t xml:space="preserve">Reuse Before Duplication</w:t>
      </w:r>
    </w:p>
    <w:p>
      <w:pPr>
        <w:pStyle w:val="ListParagraph"/>
        <w:numPr>
          <w:ilvl w:val="0"/>
          <w:numId w:val="2"/>
        </w:numPr>
        <w:spacing w:after="60"/>
      </w:pPr>
      <w:r>
        <w:t xml:space="preserve">Configuration Before Hardcoding</w:t>
      </w:r>
    </w:p>
    <w:p>
      <w:pPr>
        <w:pStyle w:val="ListParagraph"/>
        <w:numPr>
          <w:ilvl w:val="0"/>
          <w:numId w:val="2"/>
        </w:numPr>
        <w:spacing w:after="60"/>
      </w:pPr>
      <w:r>
        <w:t xml:space="preserve">Security By Design</w:t>
      </w:r>
    </w:p>
    <w:p>
      <w:pPr>
        <w:pStyle w:val="ListParagraph"/>
        <w:numPr>
          <w:ilvl w:val="0"/>
          <w:numId w:val="2"/>
        </w:numPr>
        <w:spacing w:after="60"/>
      </w:pPr>
      <w:r>
        <w:t xml:space="preserve">Evidence Before AI</w:t>
      </w:r>
    </w:p>
    <w:p>
      <w:pPr>
        <w:pStyle w:val="ListParagraph"/>
        <w:numPr>
          <w:ilvl w:val="0"/>
          <w:numId w:val="2"/>
        </w:numPr>
        <w:spacing w:after="60"/>
      </w:pPr>
      <w:r>
        <w:t xml:space="preserve">Human Review Before Approval</w:t>
      </w:r>
    </w:p>
    <w:p>
      <w:pPr>
        <w:pStyle w:val="ListParagraph"/>
        <w:numPr>
          <w:ilvl w:val="0"/>
          <w:numId w:val="2"/>
        </w:numPr>
        <w:spacing w:after="60"/>
      </w:pPr>
      <w:r>
        <w:t xml:space="preserve">Documentation Before Delivery</w:t>
      </w:r>
    </w:p>
    <w:p>
      <w:pPr>
        <w:pStyle w:val="ListParagraph"/>
        <w:numPr>
          <w:ilvl w:val="0"/>
          <w:numId w:val="2"/>
        </w:numPr>
        <w:spacing w:after="60"/>
      </w:pPr>
      <w:r>
        <w:t xml:space="preserve">Quality Before Speed</w:t>
      </w:r>
    </w:p>
    <w:p>
      <w:pPr>
        <w:pStyle w:val="Heading2"/>
        <w:spacing w:after="140" w:before="280"/>
      </w:pPr>
      <w:r>
        <w:t xml:space="preserve">9.2 Coding &amp; Development Standards</w:t>
      </w:r>
    </w:p>
    <w:p>
      <w:pPr>
        <w:spacing w:after="140"/>
      </w:pPr>
      <w:r>
        <w:rPr>
          <w:b w:val="false"/>
          <w:bCs w:val="false"/>
          <w:i w:val="false"/>
          <w:iCs w:val="false"/>
        </w:rPr>
        <w:t xml:space="preserve">All source code shall be readable, modular, reusable, testable, documented, secure, and maintainable. Business logic shall never be duplicated across modules. Every new feature shall include a functional design, technical design, database changes, API changes, unit tests, integration tests, documentation, and a changelog update. No feature is complete without documentation.</w:t>
      </w:r>
    </w:p>
    <w:p>
      <w:pPr>
        <w:pStyle w:val="Heading2"/>
        <w:spacing w:after="140" w:before="280"/>
      </w:pPr>
      <w:r>
        <w:t xml:space="preserve">9.3 Git Workflow</w:t>
      </w:r>
    </w:p>
    <w:p>
      <w:pPr>
        <w:spacing w:after="140"/>
      </w:pPr>
      <w:r>
        <w:rPr>
          <w:b w:val="false"/>
          <w:bCs w:val="false"/>
          <w:i w:val="false"/>
          <w:iCs w:val="false"/>
        </w:rPr>
        <w:t xml:space="preserve">Development follows feature-based branching (for example, feature/phase3-m1-generic-framework → feature/phase3-m2-module-migration → merge to main). Every milestone has its own feature branch. The main branch always remains production-ready.</w:t>
      </w:r>
    </w:p>
    <w:p>
      <w:pPr>
        <w:pStyle w:val="Heading2"/>
        <w:spacing w:after="140" w:before="280"/>
      </w:pPr>
      <w:r>
        <w:t xml:space="preserve">9.4 Code Review Standards</w:t>
      </w:r>
    </w:p>
    <w:p>
      <w:pPr>
        <w:spacing w:after="140"/>
      </w:pPr>
      <w:r>
        <w:rPr>
          <w:b w:val="false"/>
          <w:bCs w:val="false"/>
          <w:i w:val="false"/>
          <w:iCs w:val="false"/>
        </w:rPr>
        <w:t xml:space="preserve">Every Pull Request shall verify coding standards, architecture compliance, security review, performance impact, test coverage, and documentation. No code is merged without review — for a solo developer, this means a deliberate self-review checklist pass, not skipping the step because no one else is looking.</w:t>
      </w:r>
    </w:p>
    <w:p>
      <w:pPr>
        <w:pStyle w:val="Heading2"/>
        <w:spacing w:after="140" w:before="280"/>
      </w:pPr>
      <w:r>
        <w:t xml:space="preserve">9.5 Testing Strategy</w:t>
      </w:r>
    </w:p>
    <w:p>
      <w:pPr>
        <w:spacing w:after="140"/>
      </w:pPr>
      <w:r>
        <w:rPr>
          <w:b w:val="false"/>
          <w:bCs w:val="false"/>
          <w:i w:val="false"/>
          <w:iCs w:val="false"/>
        </w:rPr>
        <w:t xml:space="preserve">Every feature is validated using unit testing, integration testing, API testing, UI testing, regression testing, performance testing, and security testing. Architecture changes require regression testing across all modules. Every module additionally ships with a parity test proving it produces Finding → Evidence → Risk → AI Summary → Auditor Decision end to end, and tenant isolation is tested explicitly with an automated cross-organization access attempt that must fail.</w:t>
      </w:r>
    </w:p>
    <w:p>
      <w:pPr>
        <w:pStyle w:val="Heading2"/>
        <w:spacing w:after="140" w:before="280"/>
      </w:pPr>
      <w:r>
        <w:t xml:space="preserve">9.6 Continuous Integration &amp; Deployment</w:t>
      </w:r>
    </w:p>
    <w:p>
      <w:pPr>
        <w:spacing w:after="140"/>
      </w:pPr>
      <w:r>
        <w:rPr>
          <w:b w:val="false"/>
          <w:bCs w:val="false"/>
          <w:i w:val="false"/>
          <w:iCs w:val="false"/>
        </w:rPr>
        <w:t xml:space="preserve">Every commit should automatically perform build validation, static code analysis, unit tests, integration tests, API validation, and documentation checks; failed validation prevents merging. Deployment includes database migration, health checks, smoke tests, a rollback strategy, and monitoring validation. This is a Phase 1 requirement per Chapter 10, not a v1 launch blocker, but not indefinitely deferred either.</w:t>
      </w:r>
    </w:p>
    <w:p>
      <w:pPr>
        <w:pStyle w:val="Heading2"/>
        <w:spacing w:after="140" w:before="280"/>
      </w:pPr>
      <w:r>
        <w:t xml:space="preserve">9.7 Documentation Standards</w:t>
      </w:r>
    </w:p>
    <w:p>
      <w:pPr>
        <w:spacing w:after="140"/>
      </w:pPr>
      <w:r>
        <w:rPr>
          <w:b w:val="false"/>
          <w:bCs w:val="false"/>
          <w:i w:val="false"/>
          <w:iCs w:val="false"/>
        </w:rPr>
        <w:t xml:space="preserve">Every major feature shall update: this Product Constitution, the Implementation Guide, API Documentation, Database Documentation, the Architecture Diagram, the CHANGELOG, and PROJECT_STATUS. Documentation shall always match implementation.</w:t>
      </w:r>
    </w:p>
    <w:p>
      <w:pPr>
        <w:pStyle w:val="Heading2"/>
        <w:spacing w:after="140" w:before="280"/>
      </w:pPr>
      <w:r>
        <w:t xml:space="preserve">9.8 Quality Standards</w:t>
      </w:r>
    </w:p>
    <w:p>
      <w:pPr>
        <w:spacing w:after="140"/>
      </w:pPr>
      <w:r>
        <w:rPr>
          <w:b w:val="false"/>
          <w:bCs w:val="false"/>
          <w:i w:val="false"/>
          <w:iCs w:val="false"/>
        </w:rPr>
        <w:t xml:space="preserve">Every release shall satisfy functional correctness, architecture compliance, security compliance, performance targets, documentation completeness, and test coverage. Quality is measured by reliability, not by feature count.</w:t>
      </w:r>
    </w:p>
    <w:p>
      <w:pPr>
        <w:pStyle w:val="Heading2"/>
        <w:spacing w:after="140" w:before="280"/>
      </w:pPr>
      <w:r>
        <w:t xml:space="preserve">9.9 Business Phase Roadmap</w:t>
      </w:r>
    </w:p>
    <w:p>
      <w:pPr>
        <w:spacing w:after="140"/>
      </w:pPr>
      <w:r>
        <w:rPr>
          <w:b w:val="false"/>
          <w:bCs w:val="false"/>
          <w:i w:val="false"/>
          <w:iCs w:val="false"/>
        </w:rPr>
        <w:t xml:space="preserve">This is the business-level roadmap, distinct from the solo-developer build sequencing in Chapter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val="clear"/>
          </w:tcPr>
          <w:p>
            <w:r>
              <w:rPr>
                <w:b/>
                <w:bCs/>
                <w:color w:val="FFFFFF"/>
                <w:sz w:val="20"/>
                <w:szCs w:val="20"/>
              </w:rPr>
              <w:t xml:space="preserve">Status</w:t>
            </w:r>
          </w:p>
        </w:tc>
        <w:tc>
          <w:tcPr>
            <w:tcW w:type="dxa" w:w="6800"/>
            <w:shd w:fill="1F3864" w:val="clear"/>
          </w:tcPr>
          <w:p>
            <w:r>
              <w:rPr>
                <w:b/>
                <w:bCs/>
                <w:color w:val="FFFFFF"/>
                <w:sz w:val="20"/>
                <w:szCs w:val="20"/>
              </w:rPr>
              <w:t xml:space="preserve">Phase</w:t>
            </w:r>
          </w:p>
        </w:tc>
      </w:tr>
      <w:tr>
        <w:tc>
          <w:tcPr>
            <w:tcW w:type="dxa" w:w="2200"/>
          </w:tcPr>
          <w:p>
            <w:r>
              <w:rPr>
                <w:b w:val="false"/>
                <w:bCs w:val="false"/>
                <w:sz w:val="20"/>
                <w:szCs w:val="20"/>
              </w:rPr>
              <w:t xml:space="preserve">Completed</w:t>
            </w:r>
          </w:p>
        </w:tc>
        <w:tc>
          <w:tcPr>
            <w:tcW w:type="dxa" w:w="6800"/>
          </w:tcPr>
          <w:p>
            <w:r>
              <w:rPr>
                <w:b w:val="false"/>
                <w:bCs w:val="false"/>
                <w:sz w:val="20"/>
                <w:szCs w:val="20"/>
              </w:rPr>
              <w:t xml:space="preserve">Wave 0 — Foundation</w:t>
            </w:r>
          </w:p>
        </w:tc>
      </w:tr>
      <w:tr>
        <w:tc>
          <w:tcPr>
            <w:tcW w:type="dxa" w:w="2200"/>
          </w:tcPr>
          <w:p>
            <w:r>
              <w:rPr>
                <w:b w:val="false"/>
                <w:bCs w:val="false"/>
                <w:sz w:val="20"/>
                <w:szCs w:val="20"/>
              </w:rPr>
              <w:t xml:space="preserve">Completed</w:t>
            </w:r>
          </w:p>
        </w:tc>
        <w:tc>
          <w:tcPr>
            <w:tcW w:type="dxa" w:w="6800"/>
          </w:tcPr>
          <w:p>
            <w:r>
              <w:rPr>
                <w:b w:val="false"/>
                <w:bCs w:val="false"/>
                <w:sz w:val="20"/>
                <w:szCs w:val="20"/>
              </w:rPr>
              <w:t xml:space="preserve">Phase 1 — Multi-Tenant SaaS</w:t>
            </w:r>
          </w:p>
        </w:tc>
      </w:tr>
      <w:tr>
        <w:tc>
          <w:tcPr>
            <w:tcW w:type="dxa" w:w="2200"/>
          </w:tcPr>
          <w:p>
            <w:r>
              <w:rPr>
                <w:b w:val="false"/>
                <w:bCs w:val="false"/>
                <w:sz w:val="20"/>
                <w:szCs w:val="20"/>
              </w:rPr>
              <w:t xml:space="preserve">Completed</w:t>
            </w:r>
          </w:p>
        </w:tc>
        <w:tc>
          <w:tcPr>
            <w:tcW w:type="dxa" w:w="6800"/>
          </w:tcPr>
          <w:p>
            <w:r>
              <w:rPr>
                <w:b w:val="false"/>
                <w:bCs w:val="false"/>
                <w:sz w:val="20"/>
                <w:szCs w:val="20"/>
              </w:rPr>
              <w:t xml:space="preserve">Phase 2 — Enterprise Audit Workflow</w:t>
            </w:r>
          </w:p>
        </w:tc>
      </w:tr>
      <w:tr>
        <w:tc>
          <w:tcPr>
            <w:tcW w:type="dxa" w:w="2200"/>
          </w:tcPr>
          <w:p>
            <w:r>
              <w:rPr>
                <w:b w:val="false"/>
                <w:bCs w:val="false"/>
                <w:sz w:val="20"/>
                <w:szCs w:val="20"/>
              </w:rPr>
              <w:t xml:space="preserve">In Progress</w:t>
            </w:r>
          </w:p>
        </w:tc>
        <w:tc>
          <w:tcPr>
            <w:tcW w:type="dxa" w:w="6800"/>
          </w:tcPr>
          <w:p>
            <w:r>
              <w:rPr>
                <w:b w:val="false"/>
                <w:bCs w:val="false"/>
                <w:sz w:val="20"/>
                <w:szCs w:val="20"/>
              </w:rPr>
              <w:t xml:space="preserve">Phase 3 — Scale, AI &amp; Enterprise Expansion</w:t>
            </w:r>
          </w:p>
        </w:tc>
      </w:tr>
      <w:tr>
        <w:tc>
          <w:tcPr>
            <w:tcW w:type="dxa" w:w="2200"/>
          </w:tcPr>
          <w:p>
            <w:r>
              <w:rPr>
                <w:b w:val="false"/>
                <w:bCs w:val="false"/>
                <w:sz w:val="20"/>
                <w:szCs w:val="20"/>
              </w:rPr>
              <w:t xml:space="preserve">Future</w:t>
            </w:r>
          </w:p>
        </w:tc>
        <w:tc>
          <w:tcPr>
            <w:tcW w:type="dxa" w:w="6800"/>
          </w:tcPr>
          <w:p>
            <w:r>
              <w:rPr>
                <w:b w:val="false"/>
                <w:bCs w:val="false"/>
                <w:sz w:val="20"/>
                <w:szCs w:val="20"/>
              </w:rPr>
              <w:t xml:space="preserve">Phase 4 — Advanced Analytics &amp; Predictive Auditing</w:t>
            </w:r>
          </w:p>
        </w:tc>
      </w:tr>
      <w:tr>
        <w:tc>
          <w:tcPr>
            <w:tcW w:type="dxa" w:w="2200"/>
          </w:tcPr>
          <w:p>
            <w:r>
              <w:rPr>
                <w:b w:val="false"/>
                <w:bCs w:val="false"/>
                <w:sz w:val="20"/>
                <w:szCs w:val="20"/>
              </w:rPr>
              <w:t xml:space="preserve">Future</w:t>
            </w:r>
          </w:p>
        </w:tc>
        <w:tc>
          <w:tcPr>
            <w:tcW w:type="dxa" w:w="6800"/>
          </w:tcPr>
          <w:p>
            <w:r>
              <w:rPr>
                <w:b w:val="false"/>
                <w:bCs w:val="false"/>
                <w:sz w:val="20"/>
                <w:szCs w:val="20"/>
              </w:rPr>
              <w:t xml:space="preserve">Phase 5 — Global Compliance &amp; Industry Expansion</w:t>
            </w:r>
          </w:p>
        </w:tc>
      </w:tr>
    </w:tbl>
    <w:p>
      <w:pPr>
        <w:pStyle w:val="Heading2"/>
        <w:spacing w:after="140" w:before="280"/>
      </w:pPr>
      <w:r>
        <w:t xml:space="preserve">9.10 Product Governance &amp; Change Management</w:t>
      </w:r>
    </w:p>
    <w:p>
      <w:pPr>
        <w:spacing w:after="140"/>
      </w:pPr>
      <w:r>
        <w:rPr>
          <w:b w:val="false"/>
          <w:bCs w:val="false"/>
          <w:i w:val="false"/>
          <w:iCs w:val="false"/>
        </w:rPr>
        <w:t xml:space="preserve">The Product Owner is responsible for product vision, architecture direction, business priorities, roadmap, and AI governance. Every architectural change shall be evaluated for business impact, technical impact, security impact, performance impact, backward compatibility, and documentation updates. Changes shall never compromise the core principles of Chapter 1.</w:t>
      </w:r>
    </w:p>
    <w:p>
      <w:pPr>
        <w:pStyle w:val="Heading2"/>
        <w:spacing w:after="140" w:before="280"/>
      </w:pPr>
      <w:r>
        <w:t xml:space="preserve">9.11 Architecture Review Process</w:t>
      </w:r>
    </w:p>
    <w:p>
      <w:pPr>
        <w:spacing w:after="140"/>
      </w:pPr>
      <w:r>
        <w:rPr>
          <w:b w:val="false"/>
          <w:bCs w:val="false"/>
          <w:i w:val="false"/>
          <w:iCs w:val="false"/>
        </w:rPr>
        <w:t xml:space="preserve">An Architecture Review is mandatory when introducing: new platform services, new generic engines, new authentication methods, new cloud providers, new AI providers, major database changes, or breaking API changes. Architecture decisions shall be documented through ADRs (Architecture Decision Records).</w:t>
      </w:r>
    </w:p>
    <w:p>
      <w:pPr>
        <w:pStyle w:val="Heading2"/>
        <w:spacing w:after="140" w:before="280"/>
      </w:pPr>
      <w:r>
        <w:t xml:space="preserve">9.12 Long-Term Vision &amp; Constitution Compliance</w:t>
      </w:r>
    </w:p>
    <w:p>
      <w:pPr>
        <w:spacing w:after="140"/>
      </w:pPr>
      <w:r>
        <w:rPr>
          <w:b w:val="false"/>
          <w:bCs w:val="false"/>
          <w:i w:val="false"/>
          <w:iCs w:val="false"/>
        </w:rPr>
        <w:t xml:space="preserve">AIML_AUDIT shall evolve into a globally trusted audit platform supporting Chartered Accountants, Internal Auditors, External Auditors, Compliance Teams, and Enterprise Risk Teams, continuing to expand without changing its architectural foundation. Every module, feature, service, API, database change, and AI capability shall comply with this Constitution. Future contributors, developers, and AI coding assistants shall treat this document as the authoritative reference for all implementation decisions.</w:t>
      </w:r>
    </w:p>
    <w:p>
      <w:pPr>
        <w:pStyle w:val="Heading1"/>
        <w:pageBreakBefore/>
        <w:spacing w:after="200" w:before="400"/>
      </w:pPr>
      <w:r>
        <w:t xml:space="preserve">10. Solo-Developer Execution Roadmap</w:t>
      </w:r>
    </w:p>
    <w:p>
      <w:pPr>
        <w:pStyle w:val="Heading2"/>
        <w:spacing w:after="140" w:before="280"/>
      </w:pPr>
      <w:r>
        <w:t xml:space="preserve">10.1 Immediate Priority — Retrofit, Before Any New Module</w:t>
      </w:r>
    </w:p>
    <w:p>
      <w:pPr>
        <w:spacing w:after="140"/>
      </w:pPr>
      <w:r>
        <w:rPr>
          <w:b/>
          <w:bCs/>
          <w:i w:val="false"/>
          <w:iCs w:val="false"/>
        </w:rPr>
        <w:t xml:space="preserve">Per the Current Implementation Snapshot (Section 0.8) and reconciliation with the existing ADRs, the real immediate priority is narrower than earlier drafts of this document claimed:</w:t>
      </w:r>
    </w:p>
    <w:p>
      <w:pPr>
        <w:pStyle w:val="ListParagraph"/>
        <w:numPr>
          <w:ilvl w:val="0"/>
          <w:numId w:val="2"/>
        </w:numPr>
        <w:spacing w:after="60"/>
      </w:pPr>
      <w:r>
        <w:t xml:space="preserve">Complete organization_id coverage on every tenant-scoped table that's still missing it (per ADR-003's own acknowledged risk) — this is the last ~8% of Phase 1 already tracked in the existing roadmap, not a new item.</w:t>
      </w:r>
    </w:p>
    <w:p>
      <w:pPr>
        <w:pStyle w:val="ListParagraph"/>
        <w:numPr>
          <w:ilvl w:val="0"/>
          <w:numId w:val="2"/>
        </w:numPr>
        <w:spacing w:after="60"/>
      </w:pPr>
      <w:r>
        <w:t xml:space="preserve">Write the full multi-tenant HTTP isolation test matrix — also already tracked as the remaining Phase 1 item; add it to the existing 136-test suite rather than starting a new one.</w:t>
      </w:r>
    </w:p>
    <w:p>
      <w:pPr>
        <w:pStyle w:val="ListParagraph"/>
        <w:numPr>
          <w:ilvl w:val="0"/>
          <w:numId w:val="2"/>
        </w:numPr>
        <w:spacing w:after="60"/>
      </w:pPr>
      <w:r>
        <w:t xml:space="preserve">Implement the Evidence Gate as a blocking check in risk scoring, using the existing `evidence` / `evidence_links` tables (which already exist and are more capable than earlier drafts of this document assumed) — the gap is the missing check in `risk_scoring.py`, not a missing table.</w:t>
      </w:r>
    </w:p>
    <w:p>
      <w:pPr>
        <w:pStyle w:val="ListParagraph"/>
        <w:numPr>
          <w:ilvl w:val="0"/>
          <w:numId w:val="2"/>
        </w:numPr>
        <w:spacing w:after="60"/>
      </w:pPr>
      <w:r>
        <w:t xml:space="preserve">Row-Level Security is explicitly NOT part of this immediate priority. ADR-003 deliberately deferred it to Phase 3, with documented reasoning this Constitution now agrees with. Revisit it when Phase 3 scale work begins, not before.</w:t>
      </w:r>
    </w:p>
    <w:p>
      <w:pPr>
        <w:spacing w:after="140"/>
      </w:pPr>
      <w:r>
        <w:rPr>
          <w:b w:val="false"/>
          <w:bCs w:val="false"/>
          <w:i w:val="false"/>
          <w:iCs w:val="false"/>
        </w:rPr>
        <w:t xml:space="preserve">These are additive retrofits, not a rebuild: existing organizations, users, and the three shipped modules continue working throughout, per ADR-006's additive migration strategy.</w:t>
      </w:r>
    </w:p>
    <w:p>
      <w:pPr>
        <w:pStyle w:val="Heading2"/>
        <w:spacing w:after="140" w:before="280"/>
      </w:pPr>
      <w:r>
        <w:t xml:space="preserve">10.2 Build Phases (Aligned with PROJECT_STATUS.md)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500"/>
      </w:tblGrid>
      <w:tr>
        <w:trPr>
          <w:tblHeader/>
        </w:trPr>
        <w:tc>
          <w:tcPr>
            <w:tcW w:type="dxa" w:w="2200"/>
            <w:shd w:fill="1F3864" w:val="clear"/>
          </w:tcPr>
          <w:p>
            <w:r>
              <w:rPr>
                <w:b/>
                <w:bCs/>
                <w:color w:val="FFFFFF"/>
                <w:sz w:val="20"/>
                <w:szCs w:val="20"/>
              </w:rPr>
              <w:t xml:space="preserve">Phase</w:t>
            </w:r>
          </w:p>
        </w:tc>
        <w:tc>
          <w:tcPr>
            <w:tcW w:type="dxa" w:w="1300"/>
            <w:shd w:fill="1F3864" w:val="clear"/>
          </w:tcPr>
          <w:p>
            <w:r>
              <w:rPr>
                <w:b/>
                <w:bCs/>
                <w:color w:val="FFFFFF"/>
                <w:sz w:val="20"/>
                <w:szCs w:val="20"/>
              </w:rPr>
              <w:t xml:space="preserve">Status</w:t>
            </w:r>
          </w:p>
        </w:tc>
        <w:tc>
          <w:tcPr>
            <w:tcW w:type="dxa" w:w="5500"/>
            <w:shd w:fill="1F3864" w:val="clear"/>
          </w:tcPr>
          <w:p>
            <w:r>
              <w:rPr>
                <w:b/>
                <w:bCs/>
                <w:color w:val="FFFFFF"/>
                <w:sz w:val="20"/>
                <w:szCs w:val="20"/>
              </w:rPr>
              <w:t xml:space="preserve">Focus</w:t>
            </w:r>
          </w:p>
        </w:tc>
      </w:tr>
      <w:tr>
        <w:tc>
          <w:tcPr>
            <w:tcW w:type="dxa" w:w="2200"/>
          </w:tcPr>
          <w:p>
            <w:r>
              <w:rPr>
                <w:b w:val="false"/>
                <w:bCs w:val="false"/>
                <w:sz w:val="20"/>
                <w:szCs w:val="20"/>
              </w:rPr>
              <w:t xml:space="preserve">Phase 1 — SaaS Foundation</w:t>
            </w:r>
          </w:p>
        </w:tc>
        <w:tc>
          <w:tcPr>
            <w:tcW w:type="dxa" w:w="1300"/>
          </w:tcPr>
          <w:p>
            <w:r>
              <w:rPr>
                <w:b w:val="false"/>
                <w:bCs w:val="false"/>
                <w:sz w:val="20"/>
                <w:szCs w:val="20"/>
              </w:rPr>
              <w:t xml:space="preserve">~92% done</w:t>
            </w:r>
          </w:p>
        </w:tc>
        <w:tc>
          <w:tcPr>
            <w:tcW w:type="dxa" w:w="5500"/>
          </w:tcPr>
          <w:p>
            <w:r>
              <w:rPr>
                <w:b w:val="false"/>
                <w:bCs w:val="false"/>
                <w:sz w:val="20"/>
                <w:szCs w:val="20"/>
              </w:rPr>
              <w:t xml:space="preserve">Organizations, subscriptions, RBAC, JWT with org claims largely complete. Remaining: organization_id coverage completion and the isolation test matrix (Section 10.1).</w:t>
            </w:r>
          </w:p>
        </w:tc>
      </w:tr>
      <w:tr>
        <w:tc>
          <w:tcPr>
            <w:tcW w:type="dxa" w:w="2200"/>
          </w:tcPr>
          <w:p>
            <w:r>
              <w:rPr>
                <w:b w:val="false"/>
                <w:bCs w:val="false"/>
                <w:sz w:val="20"/>
                <w:szCs w:val="20"/>
              </w:rPr>
              <w:t xml:space="preserve">Phase 2 — Enterprise Workflow</w:t>
            </w:r>
          </w:p>
        </w:tc>
        <w:tc>
          <w:tcPr>
            <w:tcW w:type="dxa" w:w="1300"/>
          </w:tcPr>
          <w:p>
            <w:r>
              <w:rPr>
                <w:b w:val="false"/>
                <w:bCs w:val="false"/>
                <w:sz w:val="20"/>
                <w:szCs w:val="20"/>
              </w:rPr>
              <w:t xml:space="preserve">~80% done</w:t>
            </w:r>
          </w:p>
        </w:tc>
        <w:tc>
          <w:tcPr>
            <w:tcW w:type="dxa" w:w="5500"/>
          </w:tcPr>
          <w:p>
            <w:r>
              <w:rPr>
                <w:b w:val="false"/>
                <w:bCs w:val="false"/>
                <w:sz w:val="20"/>
                <w:szCs w:val="20"/>
              </w:rPr>
              <w:t xml:space="preserve">Engagement hub, evidence/workpaper storage, finding lifecycle, and review workflow APIs exist. Remaining: Evidence Gate enforcement (Section 10.1), production async job pipeline, S3/blob storage migration.</w:t>
            </w:r>
          </w:p>
        </w:tc>
      </w:tr>
      <w:tr>
        <w:tc>
          <w:tcPr>
            <w:tcW w:type="dxa" w:w="2200"/>
          </w:tcPr>
          <w:p>
            <w:r>
              <w:rPr>
                <w:b w:val="false"/>
                <w:bCs w:val="false"/>
                <w:sz w:val="20"/>
                <w:szCs w:val="20"/>
              </w:rPr>
              <w:t xml:space="preserve">Phase 3 M1–M2 — Generic Module Framework</w:t>
            </w:r>
          </w:p>
        </w:tc>
        <w:tc>
          <w:tcPr>
            <w:tcW w:type="dxa" w:w="1300"/>
          </w:tcPr>
          <w:p>
            <w:r>
              <w:rPr>
                <w:b w:val="false"/>
                <w:bCs w:val="false"/>
                <w:sz w:val="20"/>
                <w:szCs w:val="20"/>
              </w:rPr>
              <w:t xml:space="preserve">100% done</w:t>
            </w:r>
          </w:p>
        </w:tc>
        <w:tc>
          <w:tcPr>
            <w:tcW w:type="dxa" w:w="5500"/>
          </w:tcPr>
          <w:p>
            <w:r>
              <w:rPr>
                <w:b w:val="false"/>
                <w:bCs w:val="false"/>
                <w:sz w:val="20"/>
                <w:szCs w:val="20"/>
              </w:rPr>
              <w:t xml:space="preserve">Shared engines and plugin structure complete for the 3 shipped modules.</w:t>
            </w:r>
          </w:p>
        </w:tc>
      </w:tr>
      <w:tr>
        <w:tc>
          <w:tcPr>
            <w:tcW w:type="dxa" w:w="2200"/>
          </w:tcPr>
          <w:p>
            <w:r>
              <w:rPr>
                <w:b w:val="false"/>
                <w:bCs w:val="false"/>
                <w:sz w:val="20"/>
                <w:szCs w:val="20"/>
              </w:rPr>
              <w:t xml:space="preserve">Phase 3 M3+ — Module Expansion &amp; Scale</w:t>
            </w:r>
          </w:p>
        </w:tc>
        <w:tc>
          <w:tcPr>
            <w:tcW w:type="dxa" w:w="1300"/>
          </w:tcPr>
          <w:p>
            <w:r>
              <w:rPr>
                <w:b w:val="false"/>
                <w:bCs w:val="false"/>
                <w:sz w:val="20"/>
                <w:szCs w:val="20"/>
              </w:rPr>
              <w:t xml:space="preserve">Not started</w:t>
            </w:r>
          </w:p>
        </w:tc>
        <w:tc>
          <w:tcPr>
            <w:tcW w:type="dxa" w:w="5500"/>
          </w:tcPr>
          <w:p>
            <w:r>
              <w:rPr>
                <w:b w:val="false"/>
                <w:bCs w:val="false"/>
                <w:sz w:val="20"/>
                <w:szCs w:val="20"/>
              </w:rPr>
              <w:t xml:space="preserve">Complete Wave 1 (Ledger Scrutiny, Bank Reconciliation) and Wave 2 (Section 5.4) modules as plugins, only after Section 10.1 is closed. Row-Level Security, per ADR-003, belongs here.</w:t>
            </w:r>
          </w:p>
        </w:tc>
      </w:tr>
    </w:tbl>
    <w:p>
      <w:pPr>
        <w:pStyle w:val="Heading2"/>
        <w:spacing w:after="140" w:before="280"/>
      </w:pPr>
      <w:r>
        <w:t xml:space="preserve">10.3 Explicitly Deferred (Permission to Not Build Yet)</w:t>
      </w:r>
    </w:p>
    <w:p>
      <w:pPr>
        <w:spacing w:after="140"/>
      </w:pPr>
      <w:r>
        <w:rPr>
          <w:b w:val="false"/>
          <w:bCs w:val="false"/>
          <w:i w:val="false"/>
          <w:iCs w:val="false"/>
        </w:rPr>
        <w:t xml:space="preserve">Google SSO, Anthropic Claude production integration, Razorpay/Stripe integration, multi-region deployment, Application Performance Monitoring, full CI/CD E2E automation, SOC 2 / ISO 27001 certification, Row-Level Security (per ADR-003), and the remaining catalog modules beyond Wave 1–2. These are real gaps, already tracked in the existing roadmap documents, and deliberately not blocking Section 10.1. Managed-auth migration and object storage migration remain the two exceptions worth prioritizing ahead of schedule, per Sections 7.3 and 7.7.</w:t>
      </w:r>
    </w:p>
    <w:p>
      <w:pPr>
        <w:pStyle w:val="Heading2"/>
        <w:spacing w:after="140" w:before="280"/>
      </w:pPr>
      <w:r>
        <w:t xml:space="preserve">10.4 Migration Principles</w:t>
      </w:r>
    </w:p>
    <w:p>
      <w:pPr>
        <w:spacing w:after="140"/>
      </w:pPr>
      <w:r>
        <w:rPr>
          <w:b w:val="false"/>
          <w:bCs w:val="false"/>
          <w:i w:val="false"/>
          <w:iCs w:val="false"/>
        </w:rPr>
        <w:t xml:space="preserve">All changes to a working pipeline shall be additive wherever possible, per ADR-006: new tables and nullable columns first, backfill, then constrain; no drops, no renames, feature flags for rollback. This Constitution's own migration guidance is intentionally identical to ADR-006 — it should be read as an endorsement of that ADR, not a parallel standard.</w:t>
      </w:r>
    </w:p>
    <w:p>
      <w:pPr>
        <w:pStyle w:val="Heading1"/>
        <w:pageBreakBefore/>
        <w:spacing w:after="200" w:before="400"/>
      </w:pPr>
      <w:r>
        <w:t xml:space="preserve">Closing Statement</w:t>
      </w:r>
    </w:p>
    <w:p>
      <w:pPr>
        <w:spacing w:after="140"/>
      </w:pPr>
      <w:r>
        <w:rPr>
          <w:b w:val="false"/>
          <w:bCs w:val="false"/>
          <w:i w:val="false"/>
          <w:iCs w:val="false"/>
        </w:rPr>
        <w:t xml:space="preserve">This is Version 2.4 of the AIML_AUDIT Product Constitution. It corrects a real mistake from v2.2/v2.3 — treating Row-Level Security as an urgent oversight when it was in fact a deliberate, documented decision in ADR-003 — and it retracts a module-portfolio reclassification the founder did not ask for and the existing ADR-002 already settled differently. This document now explicitly serves as a governance layer above the repository's own ADRs, not a competing source of truth. It is the permanent foundation for AIML_AUDIT until formally revised through the Architecture Review process defined in Section 9.11. It is not owed blind faith — it is owed the same scrutiny that produced it, and that scrutiny is exactly what caught these two mistakes.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1F3864"/>
      <w:sz w:val="32"/>
      <w:szCs w:val="32"/>
    </w:rPr>
  </w:style>
  <w:style w:type="paragraph" w:styleId="Heading2">
    <w:name w:val="Heading 2"/>
    <w:basedOn w:val="Normal"/>
    <w:next w:val="Normal"/>
    <w:qFormat/>
    <w:pPr>
      <w:spacing w:after="140" w:before="280"/>
      <w:outlineLvl w:val="1"/>
    </w:pPr>
    <w:rPr>
      <w:b/>
      <w:bCs/>
      <w:color w:val="0F6B5C"/>
      <w:sz w:val="26"/>
      <w:szCs w:val="26"/>
    </w:rPr>
  </w:style>
  <w:style w:type="paragraph" w:styleId="Heading3">
    <w:name w:val="Heading 3"/>
    <w:basedOn w:val="Normal"/>
    <w:next w:val="Normal"/>
    <w:qFormat/>
    <w:pPr>
      <w:spacing w:after="100" w:before="200"/>
      <w:outlineLvl w:val="2"/>
    </w:pPr>
    <w:rPr>
      <w:b/>
      <w:bCs/>
      <w:color w:val="5A5A5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2026-07-12T16:17:47.392Z</dcterms:created>
  <dcterms:modified xsi:type="dcterms:W3CDTF">2026-07-12T16:17:47.405Z</dcterms:modified>
</cp:coreProperties>
</file>

<file path=docProps/custom.xml><?xml version="1.0" encoding="utf-8"?>
<Properties xmlns="http://schemas.openxmlformats.org/officeDocument/2006/custom-properties" xmlns:vt="http://schemas.openxmlformats.org/officeDocument/2006/docPropsVTypes"/>
</file>