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SOP-02 Registration desk</w:t>
      </w:r>
    </w:p>
    <w:p>
      <w:pPr>
        <w:pStyle w:val="Heading2"/>
      </w:pPr>
      <w:r>
        <w:t>Purpose</w:t>
      </w:r>
    </w:p>
    <w:p>
      <w:pPr/>
      <w:r>
        <w:t>This procedure covers badge pickup, walk-ins and queue management.</w:t>
      </w:r>
    </w:p>
    <w:p>
      <w:pPr>
        <w:pStyle w:val="Heading2"/>
      </w:pPr>
      <w:r>
        <w:t>Opening</w:t>
      </w:r>
    </w:p>
    <w:p>
      <w:pPr>
        <w:pStyle w:val="ListNumber"/>
      </w:pPr>
      <w:r>
        <w:t>The registration desk opens 90 minutes before the first session.</w:t>
      </w:r>
    </w:p>
    <w:p>
      <w:pPr>
        <w:pStyle w:val="ListNumber"/>
      </w:pPr>
      <w:r>
        <w:t>At least one badge printer per 300 expected attendees must be running.</w:t>
      </w:r>
    </w:p>
    <w:p>
      <w:pPr>
        <w:pStyle w:val="Heading2"/>
      </w:pPr>
      <w:r>
        <w:t>Queue management</w:t>
      </w:r>
    </w:p>
    <w:p>
      <w:pPr>
        <w:pStyle w:val="ListNumber"/>
      </w:pPr>
      <w:r>
        <w:t>The target wait time is under 10 minutes.</w:t>
      </w:r>
    </w:p>
    <w:p>
      <w:pPr>
        <w:pStyle w:val="ListNumber"/>
      </w:pPr>
      <w:r>
        <w:t>If the queue exceeds 15 minutes, open the overflow lane and call the floor manager.</w:t>
      </w:r>
    </w:p>
    <w:p>
      <w:pPr>
        <w:pStyle w:val="Heading2"/>
      </w:pPr>
      <w:r>
        <w:t>Special cases</w:t>
      </w:r>
    </w:p>
    <w:p>
      <w:pPr>
        <w:pStyle w:val="ListNumber"/>
      </w:pPr>
      <w:r>
        <w:t>Walk-in registrations pay at the desk by card only.</w:t>
      </w:r>
    </w:p>
    <w:p>
      <w:pPr>
        <w:pStyle w:val="ListNumber"/>
      </w:pPr>
      <w:r>
        <w:t>A lost badge is reprinted only after the attendee shows photo ID.</w:t>
      </w:r>
    </w:p>
    <w:p>
      <w:pPr>
        <w:pStyle w:val="ListNumber"/>
      </w:pPr>
      <w:r>
        <w:t>Speakers and VIPs use the dedicated lane at the left of the desk.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ConferAtlas Events | Operations manual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SOP-02 Registration desk</dc:title>
  <dc:subject/>
  <dc:creator>ConferAtlas Events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