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0D4A0" w14:textId="48521DDE" w:rsidR="00CF11BF" w:rsidRDefault="00875274" w:rsidP="00875274">
      <w:pPr>
        <w:pStyle w:val="Heading1"/>
      </w:pPr>
      <w:r>
        <w:t>Project Assignment</w:t>
      </w:r>
    </w:p>
    <w:tbl>
      <w:tblPr>
        <w:tblStyle w:val="TableGrid"/>
        <w:tblpPr w:leftFromText="180" w:rightFromText="180" w:vertAnchor="page" w:horzAnchor="margin" w:tblpY="2292"/>
        <w:tblW w:w="5000" w:type="pct"/>
        <w:tblLook w:val="04A0" w:firstRow="1" w:lastRow="0" w:firstColumn="1" w:lastColumn="0" w:noHBand="0" w:noVBand="1"/>
      </w:tblPr>
      <w:tblGrid>
        <w:gridCol w:w="1240"/>
        <w:gridCol w:w="1844"/>
        <w:gridCol w:w="2210"/>
        <w:gridCol w:w="1992"/>
        <w:gridCol w:w="2064"/>
      </w:tblGrid>
      <w:tr w:rsidR="00875274" w:rsidRPr="00CF11BF" w14:paraId="0D8249F2" w14:textId="77777777" w:rsidTr="00875274">
        <w:trPr>
          <w:trHeight w:val="316"/>
        </w:trPr>
        <w:tc>
          <w:tcPr>
            <w:tcW w:w="663" w:type="pct"/>
            <w:noWrap/>
            <w:hideMark/>
          </w:tcPr>
          <w:p w14:paraId="5AA2A7B5" w14:textId="77777777" w:rsidR="00875274" w:rsidRPr="00CF11BF" w:rsidRDefault="00875274" w:rsidP="00875274">
            <w:pPr>
              <w:rPr>
                <w:rFonts w:eastAsia="Times New Roman" w:cs="Times New Roman"/>
                <w:color w:val="000000"/>
                <w:kern w:val="0"/>
                <w:szCs w:val="24"/>
                <w14:ligatures w14:val="none"/>
              </w:rPr>
            </w:pPr>
            <w:r w:rsidRPr="00CF11BF">
              <w:rPr>
                <w:rFonts w:eastAsia="Times New Roman" w:cs="Times New Roman"/>
                <w:color w:val="000000"/>
                <w:kern w:val="0"/>
                <w:szCs w:val="24"/>
                <w14:ligatures w14:val="none"/>
              </w:rPr>
              <w:t>Treatment</w:t>
            </w:r>
          </w:p>
        </w:tc>
        <w:tc>
          <w:tcPr>
            <w:tcW w:w="986" w:type="pct"/>
            <w:noWrap/>
            <w:hideMark/>
          </w:tcPr>
          <w:p w14:paraId="2D08BED2" w14:textId="77777777" w:rsidR="00875274" w:rsidRPr="00CF11BF" w:rsidRDefault="00875274" w:rsidP="00875274">
            <w:pPr>
              <w:rPr>
                <w:rFonts w:eastAsia="Times New Roman" w:cs="Times New Roman"/>
                <w:color w:val="000000"/>
                <w:kern w:val="0"/>
                <w:szCs w:val="24"/>
                <w14:ligatures w14:val="none"/>
              </w:rPr>
            </w:pPr>
            <w:r w:rsidRPr="00CF11BF">
              <w:rPr>
                <w:rFonts w:eastAsia="Times New Roman" w:cs="Times New Roman"/>
                <w:color w:val="000000"/>
                <w:kern w:val="0"/>
                <w:szCs w:val="24"/>
                <w14:ligatures w14:val="none"/>
              </w:rPr>
              <w:t>Fruit Weight (g)</w:t>
            </w:r>
          </w:p>
        </w:tc>
        <w:tc>
          <w:tcPr>
            <w:tcW w:w="1182" w:type="pct"/>
            <w:noWrap/>
            <w:hideMark/>
          </w:tcPr>
          <w:p w14:paraId="438D3FA0" w14:textId="77777777" w:rsidR="00875274" w:rsidRPr="00CF11BF" w:rsidRDefault="00875274" w:rsidP="00875274">
            <w:pPr>
              <w:rPr>
                <w:rFonts w:eastAsia="Times New Roman" w:cs="Times New Roman"/>
                <w:color w:val="000000"/>
                <w:kern w:val="0"/>
                <w:szCs w:val="24"/>
                <w14:ligatures w14:val="none"/>
              </w:rPr>
            </w:pPr>
            <w:r w:rsidRPr="00CF11BF">
              <w:rPr>
                <w:rFonts w:eastAsia="Times New Roman" w:cs="Times New Roman"/>
                <w:color w:val="000000"/>
                <w:kern w:val="0"/>
                <w:szCs w:val="24"/>
                <w14:ligatures w14:val="none"/>
              </w:rPr>
              <w:t>Fruit Diameter (cm)</w:t>
            </w:r>
          </w:p>
        </w:tc>
        <w:tc>
          <w:tcPr>
            <w:tcW w:w="1065" w:type="pct"/>
            <w:noWrap/>
            <w:hideMark/>
          </w:tcPr>
          <w:p w14:paraId="1CCEC5F4" w14:textId="77777777" w:rsidR="00875274" w:rsidRPr="00CF11BF" w:rsidRDefault="00875274" w:rsidP="00875274">
            <w:pPr>
              <w:rPr>
                <w:rFonts w:eastAsia="Times New Roman" w:cs="Times New Roman"/>
                <w:color w:val="000000"/>
                <w:kern w:val="0"/>
                <w:szCs w:val="24"/>
                <w14:ligatures w14:val="none"/>
              </w:rPr>
            </w:pPr>
            <w:r w:rsidRPr="00CF11BF">
              <w:rPr>
                <w:rFonts w:eastAsia="Times New Roman" w:cs="Times New Roman"/>
                <w:color w:val="000000"/>
                <w:kern w:val="0"/>
                <w:szCs w:val="24"/>
                <w14:ligatures w14:val="none"/>
              </w:rPr>
              <w:t>Fruit Length (cm)</w:t>
            </w:r>
          </w:p>
        </w:tc>
        <w:tc>
          <w:tcPr>
            <w:tcW w:w="1105" w:type="pct"/>
            <w:noWrap/>
            <w:hideMark/>
          </w:tcPr>
          <w:p w14:paraId="438CD98A" w14:textId="77777777" w:rsidR="00875274" w:rsidRPr="00CF11BF" w:rsidRDefault="00875274" w:rsidP="00875274">
            <w:pPr>
              <w:rPr>
                <w:rFonts w:eastAsia="Times New Roman" w:cs="Times New Roman"/>
                <w:color w:val="000000"/>
                <w:kern w:val="0"/>
                <w:szCs w:val="24"/>
                <w14:ligatures w14:val="none"/>
              </w:rPr>
            </w:pPr>
            <w:r w:rsidRPr="00CF11BF">
              <w:rPr>
                <w:rFonts w:eastAsia="Times New Roman" w:cs="Times New Roman"/>
                <w:color w:val="000000"/>
                <w:kern w:val="0"/>
                <w:szCs w:val="24"/>
                <w14:ligatures w14:val="none"/>
              </w:rPr>
              <w:t>Yield per Plant (g)</w:t>
            </w:r>
          </w:p>
        </w:tc>
      </w:tr>
      <w:tr w:rsidR="00875274" w14:paraId="059C515D" w14:textId="77777777" w:rsidTr="00875274">
        <w:trPr>
          <w:trHeight w:val="300"/>
        </w:trPr>
        <w:tc>
          <w:tcPr>
            <w:tcW w:w="663" w:type="pct"/>
          </w:tcPr>
          <w:p w14:paraId="5A5B6EFA" w14:textId="77777777" w:rsidR="00875274" w:rsidRDefault="00875274" w:rsidP="00875274">
            <w:r w:rsidRPr="00CF11BF">
              <w:t>T1</w:t>
            </w:r>
          </w:p>
        </w:tc>
        <w:tc>
          <w:tcPr>
            <w:tcW w:w="986" w:type="pct"/>
          </w:tcPr>
          <w:p w14:paraId="00BD5127" w14:textId="77777777" w:rsidR="00875274" w:rsidRDefault="00875274" w:rsidP="00875274">
            <w:r w:rsidRPr="00CF11BF">
              <w:t>38.7±0.0577e</w:t>
            </w:r>
          </w:p>
        </w:tc>
        <w:tc>
          <w:tcPr>
            <w:tcW w:w="1182" w:type="pct"/>
          </w:tcPr>
          <w:p w14:paraId="79DF00F5" w14:textId="77777777" w:rsidR="00875274" w:rsidRDefault="00875274" w:rsidP="00875274">
            <w:r w:rsidRPr="00CF11BF">
              <w:t>3.3±0.0577f</w:t>
            </w:r>
          </w:p>
        </w:tc>
        <w:tc>
          <w:tcPr>
            <w:tcW w:w="1065" w:type="pct"/>
          </w:tcPr>
          <w:p w14:paraId="7B34B542" w14:textId="77777777" w:rsidR="00875274" w:rsidRDefault="00875274" w:rsidP="00875274">
            <w:r w:rsidRPr="00CF11BF">
              <w:t>14.5±0.0577e</w:t>
            </w:r>
          </w:p>
        </w:tc>
        <w:tc>
          <w:tcPr>
            <w:tcW w:w="1105" w:type="pct"/>
          </w:tcPr>
          <w:p w14:paraId="301A8CE7" w14:textId="77777777" w:rsidR="00875274" w:rsidRDefault="00875274" w:rsidP="00875274">
            <w:r w:rsidRPr="00CF11BF">
              <w:t>220.7±0.0577c</w:t>
            </w:r>
          </w:p>
        </w:tc>
      </w:tr>
      <w:tr w:rsidR="00875274" w:rsidRPr="00CF11BF" w14:paraId="7556D13F" w14:textId="77777777" w:rsidTr="00875274">
        <w:trPr>
          <w:trHeight w:val="503"/>
        </w:trPr>
        <w:tc>
          <w:tcPr>
            <w:tcW w:w="663" w:type="pct"/>
            <w:vAlign w:val="center"/>
          </w:tcPr>
          <w:p w14:paraId="58EA0F49" w14:textId="77777777" w:rsidR="00875274" w:rsidRPr="00CF11BF" w:rsidRDefault="00875274" w:rsidP="00875274">
            <w:pPr>
              <w:spacing w:after="160" w:line="259" w:lineRule="auto"/>
            </w:pPr>
            <w:r w:rsidRPr="00CF11BF">
              <w:t>T2</w:t>
            </w:r>
          </w:p>
        </w:tc>
        <w:tc>
          <w:tcPr>
            <w:tcW w:w="986" w:type="pct"/>
            <w:vAlign w:val="center"/>
          </w:tcPr>
          <w:p w14:paraId="26594DB2" w14:textId="77777777" w:rsidR="00875274" w:rsidRPr="00CF11BF" w:rsidRDefault="00875274" w:rsidP="00875274">
            <w:pPr>
              <w:spacing w:after="160" w:line="259" w:lineRule="auto"/>
            </w:pPr>
            <w:r w:rsidRPr="00CF11BF">
              <w:t>42.1±0.0577c</w:t>
            </w:r>
          </w:p>
        </w:tc>
        <w:tc>
          <w:tcPr>
            <w:tcW w:w="1182" w:type="pct"/>
            <w:vAlign w:val="center"/>
          </w:tcPr>
          <w:p w14:paraId="4B0667E6" w14:textId="77777777" w:rsidR="00875274" w:rsidRPr="00CF11BF" w:rsidRDefault="00875274" w:rsidP="00875274">
            <w:pPr>
              <w:spacing w:after="160" w:line="259" w:lineRule="auto"/>
            </w:pPr>
            <w:r w:rsidRPr="00CF11BF">
              <w:t>3.9±0.0577b</w:t>
            </w:r>
          </w:p>
        </w:tc>
        <w:tc>
          <w:tcPr>
            <w:tcW w:w="1065" w:type="pct"/>
            <w:vAlign w:val="center"/>
          </w:tcPr>
          <w:p w14:paraId="4FCCD246" w14:textId="77777777" w:rsidR="00875274" w:rsidRPr="00CF11BF" w:rsidRDefault="00875274" w:rsidP="00875274">
            <w:pPr>
              <w:spacing w:after="160" w:line="259" w:lineRule="auto"/>
            </w:pPr>
            <w:r w:rsidRPr="00CF11BF">
              <w:t>14.9±0.0577d</w:t>
            </w:r>
          </w:p>
        </w:tc>
        <w:tc>
          <w:tcPr>
            <w:tcW w:w="1105" w:type="pct"/>
            <w:vAlign w:val="center"/>
          </w:tcPr>
          <w:p w14:paraId="7FAB9A99" w14:textId="77777777" w:rsidR="00875274" w:rsidRPr="00CF11BF" w:rsidRDefault="00875274" w:rsidP="00875274">
            <w:pPr>
              <w:spacing w:after="160" w:line="259" w:lineRule="auto"/>
            </w:pPr>
            <w:r w:rsidRPr="00CF11BF">
              <w:t>198.7±0.0577e</w:t>
            </w:r>
          </w:p>
        </w:tc>
      </w:tr>
      <w:tr w:rsidR="00875274" w14:paraId="2FDCAF30" w14:textId="77777777" w:rsidTr="00875274">
        <w:trPr>
          <w:trHeight w:val="300"/>
        </w:trPr>
        <w:tc>
          <w:tcPr>
            <w:tcW w:w="663" w:type="pct"/>
            <w:vAlign w:val="center"/>
          </w:tcPr>
          <w:p w14:paraId="1EA64CDC" w14:textId="77777777" w:rsidR="00875274" w:rsidRDefault="00875274" w:rsidP="00875274">
            <w:r w:rsidRPr="00CF11BF">
              <w:t>T3</w:t>
            </w:r>
          </w:p>
        </w:tc>
        <w:tc>
          <w:tcPr>
            <w:tcW w:w="986" w:type="pct"/>
            <w:vAlign w:val="center"/>
          </w:tcPr>
          <w:p w14:paraId="6CDF47D8" w14:textId="77777777" w:rsidR="00875274" w:rsidRDefault="00875274" w:rsidP="00875274">
            <w:r w:rsidRPr="00CF11BF">
              <w:t>36.2±0.0577h</w:t>
            </w:r>
          </w:p>
        </w:tc>
        <w:tc>
          <w:tcPr>
            <w:tcW w:w="1182" w:type="pct"/>
            <w:vAlign w:val="center"/>
          </w:tcPr>
          <w:p w14:paraId="4CD424F3" w14:textId="77777777" w:rsidR="00875274" w:rsidRDefault="00875274" w:rsidP="00875274">
            <w:r w:rsidRPr="00CF11BF">
              <w:t>3.5±0.0577e</w:t>
            </w:r>
          </w:p>
        </w:tc>
        <w:tc>
          <w:tcPr>
            <w:tcW w:w="1065" w:type="pct"/>
            <w:vAlign w:val="center"/>
          </w:tcPr>
          <w:p w14:paraId="019A654F" w14:textId="77777777" w:rsidR="00875274" w:rsidRDefault="00875274" w:rsidP="00875274">
            <w:r w:rsidRPr="00CF11BF">
              <w:t>13.4±0.0577f</w:t>
            </w:r>
          </w:p>
        </w:tc>
        <w:tc>
          <w:tcPr>
            <w:tcW w:w="1105" w:type="pct"/>
            <w:vAlign w:val="center"/>
          </w:tcPr>
          <w:p w14:paraId="1B2D31D0" w14:textId="77777777" w:rsidR="00875274" w:rsidRDefault="00875274" w:rsidP="00875274">
            <w:r w:rsidRPr="00CF11BF">
              <w:t>186.9±0.0577g</w:t>
            </w:r>
          </w:p>
        </w:tc>
      </w:tr>
      <w:tr w:rsidR="00875274" w14:paraId="59B8C1F3" w14:textId="77777777" w:rsidTr="00875274">
        <w:trPr>
          <w:trHeight w:val="300"/>
        </w:trPr>
        <w:tc>
          <w:tcPr>
            <w:tcW w:w="663" w:type="pct"/>
          </w:tcPr>
          <w:p w14:paraId="40399360" w14:textId="77777777" w:rsidR="00875274" w:rsidRDefault="00875274" w:rsidP="00875274"/>
        </w:tc>
        <w:tc>
          <w:tcPr>
            <w:tcW w:w="986" w:type="pct"/>
          </w:tcPr>
          <w:p w14:paraId="7BD79E47" w14:textId="77777777" w:rsidR="00875274" w:rsidRDefault="00875274" w:rsidP="00875274"/>
        </w:tc>
        <w:tc>
          <w:tcPr>
            <w:tcW w:w="1182" w:type="pct"/>
          </w:tcPr>
          <w:p w14:paraId="19E00E92" w14:textId="77777777" w:rsidR="00875274" w:rsidRDefault="00875274" w:rsidP="00875274"/>
        </w:tc>
        <w:tc>
          <w:tcPr>
            <w:tcW w:w="1065" w:type="pct"/>
          </w:tcPr>
          <w:p w14:paraId="439BA56B" w14:textId="77777777" w:rsidR="00875274" w:rsidRDefault="00875274" w:rsidP="00875274"/>
        </w:tc>
        <w:tc>
          <w:tcPr>
            <w:tcW w:w="1105" w:type="pct"/>
          </w:tcPr>
          <w:p w14:paraId="4525E46B" w14:textId="77777777" w:rsidR="00875274" w:rsidRDefault="00875274" w:rsidP="00875274"/>
        </w:tc>
      </w:tr>
      <w:tr w:rsidR="00875274" w:rsidRPr="00CF11BF" w14:paraId="160A3710" w14:textId="77777777" w:rsidTr="00875274">
        <w:trPr>
          <w:trHeight w:val="503"/>
        </w:trPr>
        <w:tc>
          <w:tcPr>
            <w:tcW w:w="663" w:type="pct"/>
            <w:hideMark/>
          </w:tcPr>
          <w:p w14:paraId="1FF56264" w14:textId="77777777" w:rsidR="00875274" w:rsidRPr="00CF11BF" w:rsidRDefault="00875274" w:rsidP="00875274">
            <w:pPr>
              <w:spacing w:after="160" w:line="259" w:lineRule="auto"/>
            </w:pPr>
            <w:r w:rsidRPr="00CF11BF">
              <w:t>T4</w:t>
            </w:r>
          </w:p>
        </w:tc>
        <w:tc>
          <w:tcPr>
            <w:tcW w:w="986" w:type="pct"/>
            <w:hideMark/>
          </w:tcPr>
          <w:p w14:paraId="23CC6B60" w14:textId="77777777" w:rsidR="00875274" w:rsidRPr="00CF11BF" w:rsidRDefault="00875274" w:rsidP="00875274">
            <w:pPr>
              <w:spacing w:after="160" w:line="259" w:lineRule="auto"/>
            </w:pPr>
            <w:r w:rsidRPr="00CF11BF">
              <w:t>29.1±0.0577j</w:t>
            </w:r>
          </w:p>
        </w:tc>
        <w:tc>
          <w:tcPr>
            <w:tcW w:w="1182" w:type="pct"/>
            <w:hideMark/>
          </w:tcPr>
          <w:p w14:paraId="743FFB91" w14:textId="77777777" w:rsidR="00875274" w:rsidRPr="00CF11BF" w:rsidRDefault="00875274" w:rsidP="00875274">
            <w:pPr>
              <w:spacing w:after="160" w:line="259" w:lineRule="auto"/>
            </w:pPr>
            <w:r w:rsidRPr="00CF11BF">
              <w:t>2.8±0.0577h</w:t>
            </w:r>
          </w:p>
        </w:tc>
        <w:tc>
          <w:tcPr>
            <w:tcW w:w="1065" w:type="pct"/>
            <w:hideMark/>
          </w:tcPr>
          <w:p w14:paraId="55A2E4A2" w14:textId="77777777" w:rsidR="00875274" w:rsidRPr="00CF11BF" w:rsidRDefault="00875274" w:rsidP="00875274">
            <w:pPr>
              <w:spacing w:after="160" w:line="259" w:lineRule="auto"/>
            </w:pPr>
            <w:r w:rsidRPr="00CF11BF">
              <w:t>12.1±0.0577h</w:t>
            </w:r>
          </w:p>
        </w:tc>
        <w:tc>
          <w:tcPr>
            <w:tcW w:w="1105" w:type="pct"/>
            <w:hideMark/>
          </w:tcPr>
          <w:p w14:paraId="6529F789" w14:textId="77777777" w:rsidR="00875274" w:rsidRPr="00CF11BF" w:rsidRDefault="00875274" w:rsidP="00875274">
            <w:pPr>
              <w:spacing w:after="160" w:line="259" w:lineRule="auto"/>
            </w:pPr>
            <w:r w:rsidRPr="00CF11BF">
              <w:t>120.6±0.0577k</w:t>
            </w:r>
          </w:p>
        </w:tc>
      </w:tr>
      <w:tr w:rsidR="00875274" w14:paraId="6EB78A00" w14:textId="77777777" w:rsidTr="00875274">
        <w:trPr>
          <w:trHeight w:val="300"/>
        </w:trPr>
        <w:tc>
          <w:tcPr>
            <w:tcW w:w="663" w:type="pct"/>
          </w:tcPr>
          <w:p w14:paraId="20EF10B2" w14:textId="77777777" w:rsidR="00875274" w:rsidRDefault="00875274" w:rsidP="00875274"/>
        </w:tc>
        <w:tc>
          <w:tcPr>
            <w:tcW w:w="986" w:type="pct"/>
          </w:tcPr>
          <w:p w14:paraId="0E6032C4" w14:textId="77777777" w:rsidR="00875274" w:rsidRDefault="00875274" w:rsidP="00875274"/>
        </w:tc>
        <w:tc>
          <w:tcPr>
            <w:tcW w:w="1182" w:type="pct"/>
          </w:tcPr>
          <w:p w14:paraId="1B88423A" w14:textId="77777777" w:rsidR="00875274" w:rsidRDefault="00875274" w:rsidP="00875274"/>
        </w:tc>
        <w:tc>
          <w:tcPr>
            <w:tcW w:w="1065" w:type="pct"/>
          </w:tcPr>
          <w:p w14:paraId="55616750" w14:textId="77777777" w:rsidR="00875274" w:rsidRDefault="00875274" w:rsidP="00875274"/>
        </w:tc>
        <w:tc>
          <w:tcPr>
            <w:tcW w:w="1105" w:type="pct"/>
          </w:tcPr>
          <w:p w14:paraId="14C54367" w14:textId="77777777" w:rsidR="00875274" w:rsidRDefault="00875274" w:rsidP="00875274"/>
        </w:tc>
      </w:tr>
      <w:tr w:rsidR="00875274" w:rsidRPr="00CF11BF" w14:paraId="43CF3856" w14:textId="77777777" w:rsidTr="00875274">
        <w:trPr>
          <w:trHeight w:val="503"/>
        </w:trPr>
        <w:tc>
          <w:tcPr>
            <w:tcW w:w="663" w:type="pct"/>
            <w:hideMark/>
          </w:tcPr>
          <w:p w14:paraId="12361C10" w14:textId="77777777" w:rsidR="00875274" w:rsidRPr="00CF11BF" w:rsidRDefault="00875274" w:rsidP="00875274">
            <w:pPr>
              <w:spacing w:after="160" w:line="259" w:lineRule="auto"/>
            </w:pPr>
            <w:r w:rsidRPr="00CF11BF">
              <w:t>T5</w:t>
            </w:r>
          </w:p>
        </w:tc>
        <w:tc>
          <w:tcPr>
            <w:tcW w:w="986" w:type="pct"/>
            <w:hideMark/>
          </w:tcPr>
          <w:p w14:paraId="40DF413E" w14:textId="77777777" w:rsidR="00875274" w:rsidRPr="00CF11BF" w:rsidRDefault="00875274" w:rsidP="00875274">
            <w:pPr>
              <w:spacing w:after="160" w:line="259" w:lineRule="auto"/>
            </w:pPr>
            <w:r w:rsidRPr="00CF11BF">
              <w:t>44.5±0.0577b</w:t>
            </w:r>
          </w:p>
        </w:tc>
        <w:tc>
          <w:tcPr>
            <w:tcW w:w="1182" w:type="pct"/>
            <w:hideMark/>
          </w:tcPr>
          <w:p w14:paraId="4FD6C08A" w14:textId="77777777" w:rsidR="00875274" w:rsidRPr="00CF11BF" w:rsidRDefault="00875274" w:rsidP="00875274">
            <w:pPr>
              <w:spacing w:after="160" w:line="259" w:lineRule="auto"/>
            </w:pPr>
            <w:r w:rsidRPr="00CF11BF">
              <w:t>3.7±0.0577cd</w:t>
            </w:r>
          </w:p>
        </w:tc>
        <w:tc>
          <w:tcPr>
            <w:tcW w:w="1065" w:type="pct"/>
            <w:hideMark/>
          </w:tcPr>
          <w:p w14:paraId="7CA53FE0" w14:textId="77777777" w:rsidR="00875274" w:rsidRPr="00CF11BF" w:rsidRDefault="00875274" w:rsidP="00875274">
            <w:pPr>
              <w:spacing w:after="160" w:line="259" w:lineRule="auto"/>
            </w:pPr>
            <w:r w:rsidRPr="00CF11BF">
              <w:t>15.6±0.0577b</w:t>
            </w:r>
          </w:p>
        </w:tc>
        <w:tc>
          <w:tcPr>
            <w:tcW w:w="1105" w:type="pct"/>
            <w:hideMark/>
          </w:tcPr>
          <w:p w14:paraId="6A907B18" w14:textId="77777777" w:rsidR="00875274" w:rsidRPr="00CF11BF" w:rsidRDefault="00875274" w:rsidP="00875274">
            <w:pPr>
              <w:spacing w:after="160" w:line="259" w:lineRule="auto"/>
            </w:pPr>
            <w:r w:rsidRPr="00CF11BF">
              <w:t>229.8±0.0577b</w:t>
            </w:r>
          </w:p>
        </w:tc>
      </w:tr>
      <w:tr w:rsidR="00875274" w14:paraId="258CFE5F" w14:textId="77777777" w:rsidTr="00875274">
        <w:trPr>
          <w:trHeight w:val="300"/>
        </w:trPr>
        <w:tc>
          <w:tcPr>
            <w:tcW w:w="663" w:type="pct"/>
          </w:tcPr>
          <w:p w14:paraId="7FB1154D" w14:textId="77777777" w:rsidR="00875274" w:rsidRDefault="00875274" w:rsidP="00875274"/>
        </w:tc>
        <w:tc>
          <w:tcPr>
            <w:tcW w:w="986" w:type="pct"/>
          </w:tcPr>
          <w:p w14:paraId="478B37EA" w14:textId="77777777" w:rsidR="00875274" w:rsidRDefault="00875274" w:rsidP="00875274"/>
        </w:tc>
        <w:tc>
          <w:tcPr>
            <w:tcW w:w="1182" w:type="pct"/>
          </w:tcPr>
          <w:p w14:paraId="42ECD91C" w14:textId="77777777" w:rsidR="00875274" w:rsidRDefault="00875274" w:rsidP="00875274"/>
        </w:tc>
        <w:tc>
          <w:tcPr>
            <w:tcW w:w="1065" w:type="pct"/>
          </w:tcPr>
          <w:p w14:paraId="1351DD7E" w14:textId="77777777" w:rsidR="00875274" w:rsidRDefault="00875274" w:rsidP="00875274"/>
        </w:tc>
        <w:tc>
          <w:tcPr>
            <w:tcW w:w="1105" w:type="pct"/>
          </w:tcPr>
          <w:p w14:paraId="46AAE7D7" w14:textId="77777777" w:rsidR="00875274" w:rsidRDefault="00875274" w:rsidP="00875274"/>
        </w:tc>
      </w:tr>
      <w:tr w:rsidR="00875274" w:rsidRPr="00CF11BF" w14:paraId="48609ED0" w14:textId="77777777" w:rsidTr="00875274">
        <w:trPr>
          <w:trHeight w:val="503"/>
        </w:trPr>
        <w:tc>
          <w:tcPr>
            <w:tcW w:w="663" w:type="pct"/>
            <w:hideMark/>
          </w:tcPr>
          <w:p w14:paraId="2D073F21" w14:textId="77777777" w:rsidR="00875274" w:rsidRPr="00CF11BF" w:rsidRDefault="00875274" w:rsidP="00875274">
            <w:pPr>
              <w:spacing w:after="160" w:line="259" w:lineRule="auto"/>
            </w:pPr>
            <w:r w:rsidRPr="00CF11BF">
              <w:t>T6</w:t>
            </w:r>
          </w:p>
        </w:tc>
        <w:tc>
          <w:tcPr>
            <w:tcW w:w="986" w:type="pct"/>
            <w:hideMark/>
          </w:tcPr>
          <w:p w14:paraId="0A0DACCF" w14:textId="77777777" w:rsidR="00875274" w:rsidRPr="00CF11BF" w:rsidRDefault="00875274" w:rsidP="00875274">
            <w:pPr>
              <w:spacing w:after="160" w:line="259" w:lineRule="auto"/>
            </w:pPr>
            <w:r w:rsidRPr="00CF11BF">
              <w:t>37.5±0.0577g</w:t>
            </w:r>
          </w:p>
        </w:tc>
        <w:tc>
          <w:tcPr>
            <w:tcW w:w="1182" w:type="pct"/>
            <w:hideMark/>
          </w:tcPr>
          <w:p w14:paraId="49AB302E" w14:textId="77777777" w:rsidR="00875274" w:rsidRPr="00CF11BF" w:rsidRDefault="00875274" w:rsidP="00875274">
            <w:pPr>
              <w:spacing w:after="160" w:line="259" w:lineRule="auto"/>
            </w:pPr>
            <w:r w:rsidRPr="00CF11BF">
              <w:t>3.6±0.0577de</w:t>
            </w:r>
          </w:p>
        </w:tc>
        <w:tc>
          <w:tcPr>
            <w:tcW w:w="1065" w:type="pct"/>
            <w:hideMark/>
          </w:tcPr>
          <w:p w14:paraId="47642A47" w14:textId="77777777" w:rsidR="00875274" w:rsidRPr="00CF11BF" w:rsidRDefault="00875274" w:rsidP="00875274">
            <w:pPr>
              <w:spacing w:after="160" w:line="259" w:lineRule="auto"/>
            </w:pPr>
            <w:r w:rsidRPr="00CF11BF">
              <w:t>15.4±0.0577c</w:t>
            </w:r>
          </w:p>
        </w:tc>
        <w:tc>
          <w:tcPr>
            <w:tcW w:w="1105" w:type="pct"/>
            <w:hideMark/>
          </w:tcPr>
          <w:p w14:paraId="68B6D044" w14:textId="77777777" w:rsidR="00875274" w:rsidRPr="00CF11BF" w:rsidRDefault="00875274" w:rsidP="00875274">
            <w:pPr>
              <w:spacing w:after="160" w:line="259" w:lineRule="auto"/>
            </w:pPr>
            <w:r w:rsidRPr="00CF11BF">
              <w:t>219.5±0.0577d</w:t>
            </w:r>
          </w:p>
        </w:tc>
      </w:tr>
      <w:tr w:rsidR="00875274" w14:paraId="30A8D8A0" w14:textId="77777777" w:rsidTr="00875274">
        <w:trPr>
          <w:trHeight w:val="300"/>
        </w:trPr>
        <w:tc>
          <w:tcPr>
            <w:tcW w:w="663" w:type="pct"/>
          </w:tcPr>
          <w:p w14:paraId="3DB970CC" w14:textId="77777777" w:rsidR="00875274" w:rsidRDefault="00875274" w:rsidP="00875274"/>
        </w:tc>
        <w:tc>
          <w:tcPr>
            <w:tcW w:w="986" w:type="pct"/>
          </w:tcPr>
          <w:p w14:paraId="0E2916C8" w14:textId="77777777" w:rsidR="00875274" w:rsidRDefault="00875274" w:rsidP="00875274"/>
        </w:tc>
        <w:tc>
          <w:tcPr>
            <w:tcW w:w="1182" w:type="pct"/>
          </w:tcPr>
          <w:p w14:paraId="595BB3DF" w14:textId="77777777" w:rsidR="00875274" w:rsidRDefault="00875274" w:rsidP="00875274"/>
        </w:tc>
        <w:tc>
          <w:tcPr>
            <w:tcW w:w="1065" w:type="pct"/>
          </w:tcPr>
          <w:p w14:paraId="2E105B36" w14:textId="77777777" w:rsidR="00875274" w:rsidRDefault="00875274" w:rsidP="00875274"/>
        </w:tc>
        <w:tc>
          <w:tcPr>
            <w:tcW w:w="1105" w:type="pct"/>
          </w:tcPr>
          <w:p w14:paraId="4488015B" w14:textId="77777777" w:rsidR="00875274" w:rsidRDefault="00875274" w:rsidP="00875274"/>
        </w:tc>
      </w:tr>
      <w:tr w:rsidR="00875274" w:rsidRPr="00CF11BF" w14:paraId="5BBED6F8" w14:textId="77777777" w:rsidTr="00875274">
        <w:trPr>
          <w:trHeight w:val="503"/>
        </w:trPr>
        <w:tc>
          <w:tcPr>
            <w:tcW w:w="663" w:type="pct"/>
            <w:hideMark/>
          </w:tcPr>
          <w:p w14:paraId="588B406D" w14:textId="77777777" w:rsidR="00875274" w:rsidRPr="00CF11BF" w:rsidRDefault="00875274" w:rsidP="00875274">
            <w:pPr>
              <w:spacing w:after="160" w:line="259" w:lineRule="auto"/>
            </w:pPr>
            <w:r w:rsidRPr="00CF11BF">
              <w:t>T7</w:t>
            </w:r>
          </w:p>
        </w:tc>
        <w:tc>
          <w:tcPr>
            <w:tcW w:w="986" w:type="pct"/>
            <w:hideMark/>
          </w:tcPr>
          <w:p w14:paraId="71336851" w14:textId="77777777" w:rsidR="00875274" w:rsidRPr="00CF11BF" w:rsidRDefault="00875274" w:rsidP="00875274">
            <w:pPr>
              <w:spacing w:after="160" w:line="259" w:lineRule="auto"/>
            </w:pPr>
            <w:r w:rsidRPr="00CF11BF">
              <w:t>47.8±0.0577a</w:t>
            </w:r>
          </w:p>
        </w:tc>
        <w:tc>
          <w:tcPr>
            <w:tcW w:w="1182" w:type="pct"/>
            <w:hideMark/>
          </w:tcPr>
          <w:p w14:paraId="5C35D9A5" w14:textId="77777777" w:rsidR="00875274" w:rsidRPr="00CF11BF" w:rsidRDefault="00875274" w:rsidP="00875274">
            <w:pPr>
              <w:spacing w:after="160" w:line="259" w:lineRule="auto"/>
            </w:pPr>
            <w:r w:rsidRPr="00CF11BF">
              <w:t>4.5±0.0577a</w:t>
            </w:r>
          </w:p>
        </w:tc>
        <w:tc>
          <w:tcPr>
            <w:tcW w:w="1065" w:type="pct"/>
            <w:hideMark/>
          </w:tcPr>
          <w:p w14:paraId="18EB7047" w14:textId="77777777" w:rsidR="00875274" w:rsidRPr="00CF11BF" w:rsidRDefault="00875274" w:rsidP="00875274">
            <w:pPr>
              <w:spacing w:after="160" w:line="259" w:lineRule="auto"/>
            </w:pPr>
            <w:r w:rsidRPr="00CF11BF">
              <w:t>16.4±0.0577a</w:t>
            </w:r>
          </w:p>
        </w:tc>
        <w:tc>
          <w:tcPr>
            <w:tcW w:w="1105" w:type="pct"/>
            <w:hideMark/>
          </w:tcPr>
          <w:p w14:paraId="1B3F0566" w14:textId="77777777" w:rsidR="00875274" w:rsidRPr="00CF11BF" w:rsidRDefault="00875274" w:rsidP="00875274">
            <w:pPr>
              <w:spacing w:after="160" w:line="259" w:lineRule="auto"/>
            </w:pPr>
            <w:r w:rsidRPr="00CF11BF">
              <w:t>243.8±0.0577a</w:t>
            </w:r>
          </w:p>
        </w:tc>
      </w:tr>
      <w:tr w:rsidR="00875274" w14:paraId="64522DFD" w14:textId="77777777" w:rsidTr="00875274">
        <w:trPr>
          <w:trHeight w:val="300"/>
        </w:trPr>
        <w:tc>
          <w:tcPr>
            <w:tcW w:w="663" w:type="pct"/>
          </w:tcPr>
          <w:p w14:paraId="4349DBC8" w14:textId="77777777" w:rsidR="00875274" w:rsidRDefault="00875274" w:rsidP="00875274"/>
        </w:tc>
        <w:tc>
          <w:tcPr>
            <w:tcW w:w="986" w:type="pct"/>
          </w:tcPr>
          <w:p w14:paraId="038172E2" w14:textId="77777777" w:rsidR="00875274" w:rsidRDefault="00875274" w:rsidP="00875274"/>
        </w:tc>
        <w:tc>
          <w:tcPr>
            <w:tcW w:w="1182" w:type="pct"/>
          </w:tcPr>
          <w:p w14:paraId="1820F8CF" w14:textId="77777777" w:rsidR="00875274" w:rsidRDefault="00875274" w:rsidP="00875274"/>
        </w:tc>
        <w:tc>
          <w:tcPr>
            <w:tcW w:w="1065" w:type="pct"/>
          </w:tcPr>
          <w:p w14:paraId="43F5D339" w14:textId="77777777" w:rsidR="00875274" w:rsidRDefault="00875274" w:rsidP="00875274"/>
        </w:tc>
        <w:tc>
          <w:tcPr>
            <w:tcW w:w="1105" w:type="pct"/>
          </w:tcPr>
          <w:p w14:paraId="48B50A1F" w14:textId="77777777" w:rsidR="00875274" w:rsidRDefault="00875274" w:rsidP="00875274"/>
        </w:tc>
      </w:tr>
      <w:tr w:rsidR="00875274" w:rsidRPr="00CF11BF" w14:paraId="4F307E5A" w14:textId="77777777" w:rsidTr="00875274">
        <w:trPr>
          <w:trHeight w:val="503"/>
        </w:trPr>
        <w:tc>
          <w:tcPr>
            <w:tcW w:w="663" w:type="pct"/>
            <w:hideMark/>
          </w:tcPr>
          <w:p w14:paraId="3FBB1DE0" w14:textId="77777777" w:rsidR="00875274" w:rsidRPr="00CF11BF" w:rsidRDefault="00875274" w:rsidP="00875274">
            <w:pPr>
              <w:spacing w:after="160" w:line="259" w:lineRule="auto"/>
            </w:pPr>
            <w:r w:rsidRPr="00CF11BF">
              <w:t>T8</w:t>
            </w:r>
          </w:p>
        </w:tc>
        <w:tc>
          <w:tcPr>
            <w:tcW w:w="986" w:type="pct"/>
            <w:hideMark/>
          </w:tcPr>
          <w:p w14:paraId="0875E17C" w14:textId="77777777" w:rsidR="00875274" w:rsidRPr="00CF11BF" w:rsidRDefault="00875274" w:rsidP="00875274">
            <w:pPr>
              <w:spacing w:after="160" w:line="259" w:lineRule="auto"/>
            </w:pPr>
            <w:r w:rsidRPr="00CF11BF">
              <w:t>39.8±0.0577d</w:t>
            </w:r>
          </w:p>
        </w:tc>
        <w:tc>
          <w:tcPr>
            <w:tcW w:w="1182" w:type="pct"/>
            <w:hideMark/>
          </w:tcPr>
          <w:p w14:paraId="2D5813FC" w14:textId="77777777" w:rsidR="00875274" w:rsidRPr="00CF11BF" w:rsidRDefault="00875274" w:rsidP="00875274">
            <w:pPr>
              <w:spacing w:after="160" w:line="259" w:lineRule="auto"/>
            </w:pPr>
            <w:r w:rsidRPr="00CF11BF">
              <w:t>3.7±0.0577cd</w:t>
            </w:r>
          </w:p>
        </w:tc>
        <w:tc>
          <w:tcPr>
            <w:tcW w:w="1065" w:type="pct"/>
            <w:hideMark/>
          </w:tcPr>
          <w:p w14:paraId="27037E65" w14:textId="77777777" w:rsidR="00875274" w:rsidRPr="00CF11BF" w:rsidRDefault="00875274" w:rsidP="00875274">
            <w:pPr>
              <w:spacing w:after="160" w:line="259" w:lineRule="auto"/>
            </w:pPr>
            <w:r w:rsidRPr="00CF11BF">
              <w:t>14.8±0.0577d</w:t>
            </w:r>
          </w:p>
        </w:tc>
        <w:tc>
          <w:tcPr>
            <w:tcW w:w="1105" w:type="pct"/>
            <w:hideMark/>
          </w:tcPr>
          <w:p w14:paraId="4C14A5FB" w14:textId="77777777" w:rsidR="00875274" w:rsidRPr="00CF11BF" w:rsidRDefault="00875274" w:rsidP="00875274">
            <w:pPr>
              <w:spacing w:after="160" w:line="259" w:lineRule="auto"/>
            </w:pPr>
            <w:r w:rsidRPr="00CF11BF">
              <w:t>195.8±0.0577f</w:t>
            </w:r>
          </w:p>
        </w:tc>
      </w:tr>
      <w:tr w:rsidR="00875274" w14:paraId="5557BEDC" w14:textId="77777777" w:rsidTr="00875274">
        <w:trPr>
          <w:trHeight w:val="312"/>
        </w:trPr>
        <w:tc>
          <w:tcPr>
            <w:tcW w:w="663" w:type="pct"/>
          </w:tcPr>
          <w:p w14:paraId="126C1951" w14:textId="77777777" w:rsidR="00875274" w:rsidRDefault="00875274" w:rsidP="00875274"/>
        </w:tc>
        <w:tc>
          <w:tcPr>
            <w:tcW w:w="986" w:type="pct"/>
          </w:tcPr>
          <w:p w14:paraId="5813EB00" w14:textId="77777777" w:rsidR="00875274" w:rsidRDefault="00875274" w:rsidP="00875274"/>
        </w:tc>
        <w:tc>
          <w:tcPr>
            <w:tcW w:w="1182" w:type="pct"/>
          </w:tcPr>
          <w:p w14:paraId="0F2B5025" w14:textId="77777777" w:rsidR="00875274" w:rsidRDefault="00875274" w:rsidP="00875274"/>
        </w:tc>
        <w:tc>
          <w:tcPr>
            <w:tcW w:w="1065" w:type="pct"/>
          </w:tcPr>
          <w:p w14:paraId="0BAE598F" w14:textId="77777777" w:rsidR="00875274" w:rsidRDefault="00875274" w:rsidP="00875274"/>
        </w:tc>
        <w:tc>
          <w:tcPr>
            <w:tcW w:w="1105" w:type="pct"/>
          </w:tcPr>
          <w:p w14:paraId="3AAE8CAE" w14:textId="77777777" w:rsidR="00875274" w:rsidRDefault="00875274" w:rsidP="00875274"/>
        </w:tc>
      </w:tr>
      <w:tr w:rsidR="00875274" w:rsidRPr="00CF11BF" w14:paraId="417B25A9" w14:textId="77777777" w:rsidTr="00875274">
        <w:trPr>
          <w:trHeight w:val="491"/>
        </w:trPr>
        <w:tc>
          <w:tcPr>
            <w:tcW w:w="663" w:type="pct"/>
            <w:hideMark/>
          </w:tcPr>
          <w:p w14:paraId="2241DAFC" w14:textId="77777777" w:rsidR="00875274" w:rsidRPr="00CF11BF" w:rsidRDefault="00875274" w:rsidP="00875274">
            <w:pPr>
              <w:spacing w:after="160" w:line="259" w:lineRule="auto"/>
            </w:pPr>
            <w:r w:rsidRPr="00CF11BF">
              <w:t>T9</w:t>
            </w:r>
          </w:p>
        </w:tc>
        <w:tc>
          <w:tcPr>
            <w:tcW w:w="986" w:type="pct"/>
            <w:hideMark/>
          </w:tcPr>
          <w:p w14:paraId="537ABFF3" w14:textId="77777777" w:rsidR="00875274" w:rsidRPr="00CF11BF" w:rsidRDefault="00875274" w:rsidP="00875274">
            <w:pPr>
              <w:spacing w:after="160" w:line="259" w:lineRule="auto"/>
            </w:pPr>
            <w:r w:rsidRPr="00CF11BF">
              <w:t>37.9±0.0577f</w:t>
            </w:r>
          </w:p>
        </w:tc>
        <w:tc>
          <w:tcPr>
            <w:tcW w:w="1182" w:type="pct"/>
            <w:hideMark/>
          </w:tcPr>
          <w:p w14:paraId="2722B548" w14:textId="77777777" w:rsidR="00875274" w:rsidRPr="00CF11BF" w:rsidRDefault="00875274" w:rsidP="00875274">
            <w:pPr>
              <w:spacing w:after="160" w:line="259" w:lineRule="auto"/>
            </w:pPr>
            <w:r w:rsidRPr="00CF11BF">
              <w:t>3.8±0.0577bc</w:t>
            </w:r>
          </w:p>
        </w:tc>
        <w:tc>
          <w:tcPr>
            <w:tcW w:w="1065" w:type="pct"/>
            <w:hideMark/>
          </w:tcPr>
          <w:p w14:paraId="79914320" w14:textId="77777777" w:rsidR="00875274" w:rsidRPr="00CF11BF" w:rsidRDefault="00875274" w:rsidP="00875274">
            <w:pPr>
              <w:spacing w:after="160" w:line="259" w:lineRule="auto"/>
            </w:pPr>
            <w:r w:rsidRPr="00CF11BF">
              <w:t>15.4±0.0577c</w:t>
            </w:r>
          </w:p>
        </w:tc>
        <w:tc>
          <w:tcPr>
            <w:tcW w:w="1105" w:type="pct"/>
            <w:hideMark/>
          </w:tcPr>
          <w:p w14:paraId="54C916C3" w14:textId="77777777" w:rsidR="00875274" w:rsidRPr="00CF11BF" w:rsidRDefault="00875274" w:rsidP="00875274">
            <w:pPr>
              <w:spacing w:after="160" w:line="259" w:lineRule="auto"/>
            </w:pPr>
            <w:r w:rsidRPr="00CF11BF">
              <w:t>180.6±0.0577h</w:t>
            </w:r>
          </w:p>
        </w:tc>
      </w:tr>
      <w:tr w:rsidR="00875274" w14:paraId="7F7D347B" w14:textId="77777777" w:rsidTr="00875274">
        <w:trPr>
          <w:trHeight w:val="312"/>
        </w:trPr>
        <w:tc>
          <w:tcPr>
            <w:tcW w:w="663" w:type="pct"/>
          </w:tcPr>
          <w:p w14:paraId="2C6090AC" w14:textId="77777777" w:rsidR="00875274" w:rsidRDefault="00875274" w:rsidP="00875274"/>
        </w:tc>
        <w:tc>
          <w:tcPr>
            <w:tcW w:w="986" w:type="pct"/>
          </w:tcPr>
          <w:p w14:paraId="0F9AECE1" w14:textId="77777777" w:rsidR="00875274" w:rsidRDefault="00875274" w:rsidP="00875274"/>
        </w:tc>
        <w:tc>
          <w:tcPr>
            <w:tcW w:w="1182" w:type="pct"/>
          </w:tcPr>
          <w:p w14:paraId="457E37C6" w14:textId="77777777" w:rsidR="00875274" w:rsidRDefault="00875274" w:rsidP="00875274"/>
        </w:tc>
        <w:tc>
          <w:tcPr>
            <w:tcW w:w="1065" w:type="pct"/>
          </w:tcPr>
          <w:p w14:paraId="162E7E13" w14:textId="77777777" w:rsidR="00875274" w:rsidRDefault="00875274" w:rsidP="00875274"/>
        </w:tc>
        <w:tc>
          <w:tcPr>
            <w:tcW w:w="1105" w:type="pct"/>
          </w:tcPr>
          <w:p w14:paraId="10A75BE6" w14:textId="77777777" w:rsidR="00875274" w:rsidRDefault="00875274" w:rsidP="00875274"/>
        </w:tc>
      </w:tr>
      <w:tr w:rsidR="00875274" w:rsidRPr="00CF11BF" w14:paraId="26B85AC3" w14:textId="77777777" w:rsidTr="00875274">
        <w:trPr>
          <w:trHeight w:val="503"/>
        </w:trPr>
        <w:tc>
          <w:tcPr>
            <w:tcW w:w="663" w:type="pct"/>
            <w:hideMark/>
          </w:tcPr>
          <w:p w14:paraId="01536027" w14:textId="77777777" w:rsidR="00875274" w:rsidRPr="00CF11BF" w:rsidRDefault="00875274" w:rsidP="00875274">
            <w:pPr>
              <w:spacing w:after="160" w:line="259" w:lineRule="auto"/>
            </w:pPr>
            <w:r w:rsidRPr="00CF11BF">
              <w:t>T10</w:t>
            </w:r>
          </w:p>
        </w:tc>
        <w:tc>
          <w:tcPr>
            <w:tcW w:w="986" w:type="pct"/>
            <w:hideMark/>
          </w:tcPr>
          <w:p w14:paraId="769C693E" w14:textId="77777777" w:rsidR="00875274" w:rsidRPr="00CF11BF" w:rsidRDefault="00875274" w:rsidP="00875274">
            <w:pPr>
              <w:spacing w:after="160" w:line="259" w:lineRule="auto"/>
            </w:pPr>
            <w:r w:rsidRPr="00CF11BF">
              <w:t>32.5±0.0577i</w:t>
            </w:r>
          </w:p>
        </w:tc>
        <w:tc>
          <w:tcPr>
            <w:tcW w:w="1182" w:type="pct"/>
            <w:hideMark/>
          </w:tcPr>
          <w:p w14:paraId="697E6EC0" w14:textId="77777777" w:rsidR="00875274" w:rsidRPr="00CF11BF" w:rsidRDefault="00875274" w:rsidP="00875274">
            <w:pPr>
              <w:spacing w:after="160" w:line="259" w:lineRule="auto"/>
            </w:pPr>
            <w:r w:rsidRPr="00CF11BF">
              <w:t>3.1±0.0577g</w:t>
            </w:r>
          </w:p>
        </w:tc>
        <w:tc>
          <w:tcPr>
            <w:tcW w:w="1065" w:type="pct"/>
            <w:hideMark/>
          </w:tcPr>
          <w:p w14:paraId="326BB177" w14:textId="77777777" w:rsidR="00875274" w:rsidRPr="00CF11BF" w:rsidRDefault="00875274" w:rsidP="00875274">
            <w:pPr>
              <w:spacing w:after="160" w:line="259" w:lineRule="auto"/>
            </w:pPr>
            <w:r w:rsidRPr="00CF11BF">
              <w:t>13.5±0.0577f</w:t>
            </w:r>
          </w:p>
        </w:tc>
        <w:tc>
          <w:tcPr>
            <w:tcW w:w="1105" w:type="pct"/>
            <w:hideMark/>
          </w:tcPr>
          <w:p w14:paraId="6883E36A" w14:textId="77777777" w:rsidR="00875274" w:rsidRPr="00CF11BF" w:rsidRDefault="00875274" w:rsidP="00875274">
            <w:pPr>
              <w:spacing w:after="160" w:line="259" w:lineRule="auto"/>
            </w:pPr>
            <w:r w:rsidRPr="00CF11BF">
              <w:t>167.5±0.0577i</w:t>
            </w:r>
          </w:p>
        </w:tc>
      </w:tr>
      <w:tr w:rsidR="00875274" w14:paraId="1B682D2F" w14:textId="77777777" w:rsidTr="00875274">
        <w:trPr>
          <w:trHeight w:val="300"/>
        </w:trPr>
        <w:tc>
          <w:tcPr>
            <w:tcW w:w="663" w:type="pct"/>
          </w:tcPr>
          <w:p w14:paraId="097EAAFB" w14:textId="77777777" w:rsidR="00875274" w:rsidRDefault="00875274" w:rsidP="00875274"/>
        </w:tc>
        <w:tc>
          <w:tcPr>
            <w:tcW w:w="986" w:type="pct"/>
          </w:tcPr>
          <w:p w14:paraId="5B72253D" w14:textId="77777777" w:rsidR="00875274" w:rsidRDefault="00875274" w:rsidP="00875274"/>
        </w:tc>
        <w:tc>
          <w:tcPr>
            <w:tcW w:w="1182" w:type="pct"/>
          </w:tcPr>
          <w:p w14:paraId="450B8EFE" w14:textId="77777777" w:rsidR="00875274" w:rsidRDefault="00875274" w:rsidP="00875274"/>
        </w:tc>
        <w:tc>
          <w:tcPr>
            <w:tcW w:w="1065" w:type="pct"/>
          </w:tcPr>
          <w:p w14:paraId="67798D73" w14:textId="77777777" w:rsidR="00875274" w:rsidRDefault="00875274" w:rsidP="00875274"/>
        </w:tc>
        <w:tc>
          <w:tcPr>
            <w:tcW w:w="1105" w:type="pct"/>
          </w:tcPr>
          <w:p w14:paraId="3D345330" w14:textId="77777777" w:rsidR="00875274" w:rsidRDefault="00875274" w:rsidP="00875274"/>
        </w:tc>
      </w:tr>
      <w:tr w:rsidR="00875274" w:rsidRPr="00CF11BF" w14:paraId="033996AE" w14:textId="77777777" w:rsidTr="00875274">
        <w:trPr>
          <w:trHeight w:val="503"/>
        </w:trPr>
        <w:tc>
          <w:tcPr>
            <w:tcW w:w="663" w:type="pct"/>
            <w:hideMark/>
          </w:tcPr>
          <w:p w14:paraId="069A2843" w14:textId="77777777" w:rsidR="00875274" w:rsidRPr="00CF11BF" w:rsidRDefault="00875274" w:rsidP="00875274">
            <w:pPr>
              <w:spacing w:after="160" w:line="259" w:lineRule="auto"/>
            </w:pPr>
            <w:r w:rsidRPr="00CF11BF">
              <w:t>T11</w:t>
            </w:r>
          </w:p>
        </w:tc>
        <w:tc>
          <w:tcPr>
            <w:tcW w:w="986" w:type="pct"/>
            <w:hideMark/>
          </w:tcPr>
          <w:p w14:paraId="6307510E" w14:textId="77777777" w:rsidR="00875274" w:rsidRPr="00CF11BF" w:rsidRDefault="00875274" w:rsidP="00875274">
            <w:pPr>
              <w:spacing w:after="160" w:line="259" w:lineRule="auto"/>
            </w:pPr>
            <w:r w:rsidRPr="00CF11BF">
              <w:t>27.8±0.0577k</w:t>
            </w:r>
          </w:p>
        </w:tc>
        <w:tc>
          <w:tcPr>
            <w:tcW w:w="1182" w:type="pct"/>
            <w:hideMark/>
          </w:tcPr>
          <w:p w14:paraId="2ABD6133" w14:textId="77777777" w:rsidR="00875274" w:rsidRPr="00CF11BF" w:rsidRDefault="00875274" w:rsidP="00875274">
            <w:pPr>
              <w:spacing w:after="160" w:line="259" w:lineRule="auto"/>
            </w:pPr>
            <w:r w:rsidRPr="00CF11BF">
              <w:t>2.8±0.0577h</w:t>
            </w:r>
          </w:p>
        </w:tc>
        <w:tc>
          <w:tcPr>
            <w:tcW w:w="1065" w:type="pct"/>
            <w:hideMark/>
          </w:tcPr>
          <w:p w14:paraId="3E46B692" w14:textId="77777777" w:rsidR="00875274" w:rsidRPr="00CF11BF" w:rsidRDefault="00875274" w:rsidP="00875274">
            <w:pPr>
              <w:spacing w:after="160" w:line="259" w:lineRule="auto"/>
            </w:pPr>
            <w:r w:rsidRPr="00CF11BF">
              <w:t>12.7±0.0577g</w:t>
            </w:r>
          </w:p>
        </w:tc>
        <w:tc>
          <w:tcPr>
            <w:tcW w:w="1105" w:type="pct"/>
            <w:hideMark/>
          </w:tcPr>
          <w:p w14:paraId="39D6DF19" w14:textId="77777777" w:rsidR="00875274" w:rsidRPr="00CF11BF" w:rsidRDefault="00875274" w:rsidP="00875274">
            <w:pPr>
              <w:spacing w:after="160" w:line="259" w:lineRule="auto"/>
            </w:pPr>
            <w:r w:rsidRPr="00CF11BF">
              <w:t>131.2±0.0577j</w:t>
            </w:r>
          </w:p>
        </w:tc>
      </w:tr>
      <w:tr w:rsidR="00875274" w14:paraId="2996A5BB" w14:textId="77777777" w:rsidTr="00875274">
        <w:trPr>
          <w:trHeight w:val="300"/>
        </w:trPr>
        <w:tc>
          <w:tcPr>
            <w:tcW w:w="663" w:type="pct"/>
          </w:tcPr>
          <w:p w14:paraId="53564775" w14:textId="77777777" w:rsidR="00875274" w:rsidRDefault="00875274" w:rsidP="00875274"/>
        </w:tc>
        <w:tc>
          <w:tcPr>
            <w:tcW w:w="986" w:type="pct"/>
          </w:tcPr>
          <w:p w14:paraId="300040D4" w14:textId="77777777" w:rsidR="00875274" w:rsidRDefault="00875274" w:rsidP="00875274"/>
        </w:tc>
        <w:tc>
          <w:tcPr>
            <w:tcW w:w="1182" w:type="pct"/>
          </w:tcPr>
          <w:p w14:paraId="14C3D006" w14:textId="77777777" w:rsidR="00875274" w:rsidRDefault="00875274" w:rsidP="00875274"/>
        </w:tc>
        <w:tc>
          <w:tcPr>
            <w:tcW w:w="1065" w:type="pct"/>
          </w:tcPr>
          <w:p w14:paraId="371022D6" w14:textId="77777777" w:rsidR="00875274" w:rsidRDefault="00875274" w:rsidP="00875274"/>
        </w:tc>
        <w:tc>
          <w:tcPr>
            <w:tcW w:w="1105" w:type="pct"/>
          </w:tcPr>
          <w:p w14:paraId="01154F7A" w14:textId="77777777" w:rsidR="00875274" w:rsidRDefault="00875274" w:rsidP="00875274"/>
        </w:tc>
      </w:tr>
      <w:tr w:rsidR="00875274" w:rsidRPr="00CF11BF" w14:paraId="59A4F2B8" w14:textId="77777777" w:rsidTr="00875274">
        <w:trPr>
          <w:trHeight w:val="503"/>
        </w:trPr>
        <w:tc>
          <w:tcPr>
            <w:tcW w:w="663" w:type="pct"/>
            <w:hideMark/>
          </w:tcPr>
          <w:p w14:paraId="1360C96F" w14:textId="77777777" w:rsidR="00875274" w:rsidRPr="00CF11BF" w:rsidRDefault="00875274" w:rsidP="00875274">
            <w:pPr>
              <w:spacing w:after="160" w:line="259" w:lineRule="auto"/>
            </w:pPr>
            <w:r w:rsidRPr="00CF11BF">
              <w:t>T12</w:t>
            </w:r>
          </w:p>
        </w:tc>
        <w:tc>
          <w:tcPr>
            <w:tcW w:w="986" w:type="pct"/>
            <w:hideMark/>
          </w:tcPr>
          <w:p w14:paraId="031C65C8" w14:textId="77777777" w:rsidR="00875274" w:rsidRPr="00CF11BF" w:rsidRDefault="00875274" w:rsidP="00875274">
            <w:pPr>
              <w:spacing w:after="160" w:line="259" w:lineRule="auto"/>
            </w:pPr>
            <w:r w:rsidRPr="00CF11BF">
              <w:t>26.1±0.0577l</w:t>
            </w:r>
          </w:p>
        </w:tc>
        <w:tc>
          <w:tcPr>
            <w:tcW w:w="1182" w:type="pct"/>
            <w:hideMark/>
          </w:tcPr>
          <w:p w14:paraId="73795932" w14:textId="77777777" w:rsidR="00875274" w:rsidRPr="00CF11BF" w:rsidRDefault="00875274" w:rsidP="00875274">
            <w:pPr>
              <w:spacing w:after="160" w:line="259" w:lineRule="auto"/>
            </w:pPr>
            <w:r w:rsidRPr="00CF11BF">
              <w:t>2.1±0.0577i</w:t>
            </w:r>
          </w:p>
        </w:tc>
        <w:tc>
          <w:tcPr>
            <w:tcW w:w="1065" w:type="pct"/>
            <w:hideMark/>
          </w:tcPr>
          <w:p w14:paraId="115FC9D2" w14:textId="77777777" w:rsidR="00875274" w:rsidRPr="00CF11BF" w:rsidRDefault="00875274" w:rsidP="00875274">
            <w:pPr>
              <w:spacing w:after="160" w:line="259" w:lineRule="auto"/>
            </w:pPr>
            <w:r w:rsidRPr="00CF11BF">
              <w:t>11.8±0.0577i</w:t>
            </w:r>
          </w:p>
        </w:tc>
        <w:tc>
          <w:tcPr>
            <w:tcW w:w="1105" w:type="pct"/>
            <w:hideMark/>
          </w:tcPr>
          <w:p w14:paraId="22CE266D" w14:textId="77777777" w:rsidR="00875274" w:rsidRPr="00CF11BF" w:rsidRDefault="00875274" w:rsidP="00875274">
            <w:pPr>
              <w:spacing w:after="160" w:line="259" w:lineRule="auto"/>
            </w:pPr>
            <w:r w:rsidRPr="00CF11BF">
              <w:t>110.5±0.0577l</w:t>
            </w:r>
          </w:p>
        </w:tc>
      </w:tr>
    </w:tbl>
    <w:p w14:paraId="6C3C8BD6" w14:textId="34B61373" w:rsidR="00875274" w:rsidRPr="00875274" w:rsidRDefault="00875274" w:rsidP="00875274">
      <w:pPr>
        <w:rPr>
          <w:b/>
          <w:bCs/>
        </w:rPr>
      </w:pPr>
      <w:r w:rsidRPr="00CF11BF">
        <w:rPr>
          <w:b/>
          <w:bCs/>
        </w:rPr>
        <w:t xml:space="preserve"> </w:t>
      </w:r>
      <w:r w:rsidR="00CF11BF" w:rsidRPr="00CF11BF">
        <w:rPr>
          <w:b/>
          <w:bCs/>
        </w:rPr>
        <w:t xml:space="preserve">Morphological Attributes of Plants Under Different Treatments </w:t>
      </w:r>
    </w:p>
    <w:p w14:paraId="77747AA3" w14:textId="06665FB3" w:rsidR="008D5D15" w:rsidRPr="008D5D15" w:rsidRDefault="00CF11BF" w:rsidP="008D5D15">
      <w:pPr>
        <w:jc w:val="both"/>
      </w:pPr>
      <w:r w:rsidRPr="00CF11BF">
        <w:t xml:space="preserve">Table </w:t>
      </w:r>
      <w:r>
        <w:t>1</w:t>
      </w:r>
      <w:r w:rsidRPr="00CF11BF">
        <w:t xml:space="preserve">. </w:t>
      </w:r>
      <w:r w:rsidR="008D5D15" w:rsidRPr="008D5D15">
        <w:t xml:space="preserve">The effects of different treatments on plant morphological characteristics, such as Fruit Weight (g), Fruit Diameter (cm), Fruit Length (cm), and Yield per Plant (g). The major differences between treatments are highlighted by listing each treatment together with the matching mean values ± standard error (SE). T1 is the control, which contains 500 ppm of saline and no salicylic acid; T2 contains 100 ppm of salicylic acid; T3, 500 ppm of saline; T4, 2500 ppm of saline; T5, 5000 ppm of saline; T6, 7500 ppm of saline; T7, 500 ppm of saline + 50 ppm of salicylic acid; T8, 2500 ppm of saline + 50 ppm of salicylic acid; T10, 7500 ppm of saline + 50 ppm of salicylic acid; T11, 2500 ppm of saline + 100 ppm of salicylic acid; and T12, 7500 ppm of saline + 100 ppm of salicylic acid. With statistical groups based on ANOVA results, each entry displays mean values ± </w:t>
      </w:r>
      <w:r w:rsidR="008D5D15" w:rsidRPr="008D5D15">
        <w:lastRenderedPageBreak/>
        <w:t>standard error (SE) for Fruit Weight (g), Fruit Diameter (cm), Fruit Length (cm), and Yield per Plant</w:t>
      </w:r>
    </w:p>
    <w:p w14:paraId="63E165A2" w14:textId="4A91B6F3" w:rsidR="008D5D15" w:rsidRDefault="008D5D15" w:rsidP="00CF11BF">
      <w:pPr>
        <w:jc w:val="both"/>
      </w:pPr>
    </w:p>
    <w:p w14:paraId="6426F95E" w14:textId="47AEB659" w:rsidR="00875274" w:rsidRDefault="00875274" w:rsidP="00875274">
      <w:pPr>
        <w:pStyle w:val="Heading2"/>
      </w:pPr>
      <w:r>
        <w:t>Results &amp; Discussion</w:t>
      </w:r>
    </w:p>
    <w:p w14:paraId="13F4C214" w14:textId="13ACC328" w:rsidR="008D5D15" w:rsidRPr="008D5D15" w:rsidRDefault="008D5D15" w:rsidP="008D5D15">
      <w:pPr>
        <w:jc w:val="both"/>
      </w:pPr>
      <w:r w:rsidRPr="008D5D15">
        <w:t>The information in Table 1 makes it evident how different plant morphological characteristics—Fruit Weight, Fruit Diameter, Fruit Length, and Yield per Plant—respond to various treatments ranging from T1 to T12. Significantly, Treatment T7, which mixes 50 ppm salicylic acid with 500 ppm saline, performed better on every metric.</w:t>
      </w:r>
      <w:r>
        <w:t xml:space="preserve"> </w:t>
      </w:r>
      <w:r w:rsidRPr="008D5D15">
        <w:t xml:space="preserve">The statistical grouping 'a' indicates that this treatment produced the highest Fruit Weight (47.8 g), Fruit Diameter (4.5 cm), Fruit Length (16.4 cm), and Yield per Plant (243.8 g), all of which were substantially higher than those in other treatments. In contrast, all of the following characteristics showed the lowest values for Treatment T12, which included the highest concentration of saline (7500 ppm) and 100 ppm salicylic acid: Fruit Weight (26.1 g), Fruit Diameter (2.1 cm), Fruit Length (11.8 cm), and Yield per Plant (110.5 g). This suggests that there was significant stress and negative effects on plant growth and productivity. A considerable statistical inferiority is indicated by the grouping 'l'. The effects of intermediate treatments varied; T1 (control) showed modest values but a larger yield than some treatments (such T2 and T6) with higher concentrations of saline or salicylic acid. It is noteworthy that the inclusion of salicylic acid at moderate saline concentrations (T5 and T7) appears to reduce the adverse effects of salinity, indicating a protective function of salicylic acid in response to salt stress. The observed trends indicate a complicated relationship between salicylic acid and saline concentrations, in which salicylic acid at particular levels might boost tolerance to saline stress, consequently enhancing overall plant structure and yield. These results support the idea that salicylic acid may significantly contribute to improving plant resistance to abiotic stressors, offering important information for farming methods in saline settings. In summary, the findings emphasize the significance of optimizing both salicylic acid and saline concentrations to enhance plant growth and yield, showcasing the potential for specific agronomic strategies to improve crop performance in stressful conditions. </w:t>
      </w:r>
    </w:p>
    <w:p w14:paraId="6EDD42D5" w14:textId="77777777" w:rsidR="007461C9" w:rsidRDefault="007461C9">
      <w:pPr>
        <w:rPr>
          <w:rFonts w:eastAsiaTheme="majorEastAsia" w:cstheme="majorBidi"/>
          <w:b/>
          <w:color w:val="000000" w:themeColor="text1"/>
          <w:sz w:val="32"/>
          <w:szCs w:val="24"/>
        </w:rPr>
      </w:pPr>
      <w:r>
        <w:br w:type="page"/>
      </w:r>
    </w:p>
    <w:p w14:paraId="0F58B9E6" w14:textId="5AA3272F" w:rsidR="007461C9" w:rsidRDefault="007461C9" w:rsidP="007461C9">
      <w:pPr>
        <w:pStyle w:val="Heading3"/>
        <w:jc w:val="center"/>
      </w:pPr>
      <w:r>
        <w:lastRenderedPageBreak/>
        <w:t xml:space="preserve">PCA, </w:t>
      </w:r>
      <w:proofErr w:type="spellStart"/>
      <w:r>
        <w:t>Dendogram</w:t>
      </w:r>
      <w:proofErr w:type="spellEnd"/>
      <w:r>
        <w:t xml:space="preserve"> &amp; </w:t>
      </w:r>
      <w:proofErr w:type="spellStart"/>
      <w:r>
        <w:t>Correleation</w:t>
      </w:r>
      <w:proofErr w:type="spellEnd"/>
      <w:r>
        <w:t xml:space="preserve"> plot of the Treatment of the Project Dataset</w:t>
      </w:r>
    </w:p>
    <w:p w14:paraId="7A4734D6" w14:textId="4C4F3765" w:rsidR="007461C9" w:rsidRDefault="007461C9" w:rsidP="007461C9">
      <w:pPr>
        <w:pStyle w:val="Heading2"/>
      </w:pPr>
      <w:r>
        <w:rPr>
          <w:noProof/>
        </w:rPr>
        <w:drawing>
          <wp:anchor distT="0" distB="0" distL="114300" distR="114300" simplePos="0" relativeHeight="251658240" behindDoc="1" locked="0" layoutInCell="1" allowOverlap="1" wp14:anchorId="0A386CA6" wp14:editId="0B2FC4EB">
            <wp:simplePos x="0" y="0"/>
            <wp:positionH relativeFrom="margin">
              <wp:posOffset>290657</wp:posOffset>
            </wp:positionH>
            <wp:positionV relativeFrom="paragraph">
              <wp:posOffset>388505</wp:posOffset>
            </wp:positionV>
            <wp:extent cx="5832475" cy="4350328"/>
            <wp:effectExtent l="0" t="0" r="0" b="0"/>
            <wp:wrapTight wrapText="bothSides">
              <wp:wrapPolygon edited="0">
                <wp:start x="0" y="0"/>
                <wp:lineTo x="0" y="21474"/>
                <wp:lineTo x="21518" y="21474"/>
                <wp:lineTo x="21518" y="0"/>
                <wp:lineTo x="0" y="0"/>
              </wp:wrapPolygon>
            </wp:wrapTight>
            <wp:docPr id="83176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2475" cy="4350328"/>
                    </a:xfrm>
                    <a:prstGeom prst="rect">
                      <a:avLst/>
                    </a:prstGeom>
                    <a:noFill/>
                    <a:ln>
                      <a:noFill/>
                    </a:ln>
                  </pic:spPr>
                </pic:pic>
              </a:graphicData>
            </a:graphic>
            <wp14:sizeRelH relativeFrom="margin">
              <wp14:pctWidth>0</wp14:pctWidth>
            </wp14:sizeRelH>
            <wp14:sizeRelV relativeFrom="margin">
              <wp14:pctHeight>0</wp14:pctHeight>
            </wp14:sizeRelV>
          </wp:anchor>
        </w:drawing>
      </w:r>
      <w:r>
        <w:t>PCA- Biplot</w:t>
      </w:r>
    </w:p>
    <w:p w14:paraId="2FF8416A" w14:textId="243B7452" w:rsidR="008D5D15" w:rsidRPr="008D5D15" w:rsidRDefault="007461C9" w:rsidP="008D5D15">
      <w:r>
        <w:t>Figure. 1.</w:t>
      </w:r>
      <w:r w:rsidRPr="007461C9">
        <w:t xml:space="preserve"> </w:t>
      </w:r>
      <w:r w:rsidR="008D5D15">
        <w:t>B</w:t>
      </w:r>
      <w:r w:rsidR="008D5D15" w:rsidRPr="008D5D15">
        <w:t xml:space="preserve">iplot of Principal Component Analysis (PCA) illustrating the arrangement of treatments and reactions to traits. PC1 accounts for 36.9% of the variance, while PC2 explains 31.1%. Characteristics like flavonoids, GST, and anthocyanins are closely linked to treatments that have elevated levels of salicylic acid and salinity. On the other hand, yield-associated characteristics (such as fruit weight, yield per plant) correspond with treatments in less saline conditions. This visual representation emphasizes the effects of salinity and salicylic acid on plant characteristics, revealing unique clustering patterns across treatments. </w:t>
      </w:r>
    </w:p>
    <w:p w14:paraId="01C1B540" w14:textId="61F24D5B" w:rsidR="007461C9" w:rsidRDefault="007461C9" w:rsidP="008D5D15">
      <w:pPr>
        <w:jc w:val="both"/>
      </w:pPr>
    </w:p>
    <w:p w14:paraId="2E6BE1F7" w14:textId="77777777" w:rsidR="007461C9" w:rsidRDefault="007461C9" w:rsidP="007461C9"/>
    <w:p w14:paraId="55DF52C0" w14:textId="77777777" w:rsidR="007461C9" w:rsidRDefault="007461C9" w:rsidP="007461C9"/>
    <w:p w14:paraId="22168803" w14:textId="77777777" w:rsidR="007461C9" w:rsidRDefault="007461C9" w:rsidP="007461C9"/>
    <w:p w14:paraId="413B9B9F" w14:textId="77777777" w:rsidR="007461C9" w:rsidRDefault="007461C9" w:rsidP="007461C9"/>
    <w:p w14:paraId="30D8B12A" w14:textId="556C9276" w:rsidR="007461C9" w:rsidRDefault="007461C9" w:rsidP="007461C9">
      <w:pPr>
        <w:pStyle w:val="Heading2"/>
      </w:pPr>
      <w:r>
        <w:lastRenderedPageBreak/>
        <w:t>2. Correlation (Pearson)</w:t>
      </w:r>
    </w:p>
    <w:p w14:paraId="29FE2A37" w14:textId="08D88C32" w:rsidR="007461C9" w:rsidRDefault="007461C9" w:rsidP="007461C9">
      <w:pPr>
        <w:rPr>
          <w:noProof/>
        </w:rPr>
      </w:pPr>
      <w:r>
        <w:rPr>
          <w:noProof/>
        </w:rPr>
        <w:drawing>
          <wp:anchor distT="0" distB="0" distL="114300" distR="114300" simplePos="0" relativeHeight="251659264" behindDoc="1" locked="0" layoutInCell="1" allowOverlap="1" wp14:anchorId="1AE050E4" wp14:editId="6FB3140A">
            <wp:simplePos x="0" y="0"/>
            <wp:positionH relativeFrom="column">
              <wp:posOffset>615950</wp:posOffset>
            </wp:positionH>
            <wp:positionV relativeFrom="paragraph">
              <wp:posOffset>124460</wp:posOffset>
            </wp:positionV>
            <wp:extent cx="4848225" cy="3740150"/>
            <wp:effectExtent l="0" t="0" r="9525" b="0"/>
            <wp:wrapTight wrapText="bothSides">
              <wp:wrapPolygon edited="0">
                <wp:start x="0" y="0"/>
                <wp:lineTo x="0" y="21453"/>
                <wp:lineTo x="21558" y="21453"/>
                <wp:lineTo x="21558" y="0"/>
                <wp:lineTo x="0" y="0"/>
              </wp:wrapPolygon>
            </wp:wrapTight>
            <wp:docPr id="890410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5524" t="1" r="15367" b="2071"/>
                    <a:stretch/>
                  </pic:blipFill>
                  <pic:spPr bwMode="auto">
                    <a:xfrm>
                      <a:off x="0" y="0"/>
                      <a:ext cx="4848225" cy="3740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288BD1" w14:textId="1B32D9C1" w:rsidR="007461C9" w:rsidRDefault="007461C9" w:rsidP="007461C9"/>
    <w:p w14:paraId="4FD0FB3E" w14:textId="2BE51037" w:rsidR="007461C9" w:rsidRDefault="007461C9" w:rsidP="007461C9"/>
    <w:p w14:paraId="119AFAA8" w14:textId="5BF11F6B" w:rsidR="007461C9" w:rsidRDefault="007461C9" w:rsidP="007461C9"/>
    <w:p w14:paraId="35BE3B41" w14:textId="77777777" w:rsidR="007461C9" w:rsidRPr="007461C9" w:rsidRDefault="007461C9" w:rsidP="007461C9"/>
    <w:p w14:paraId="4667C252" w14:textId="77777777" w:rsidR="007461C9" w:rsidRPr="007461C9" w:rsidRDefault="007461C9" w:rsidP="007461C9"/>
    <w:p w14:paraId="4C750ED1" w14:textId="77777777" w:rsidR="007461C9" w:rsidRPr="007461C9" w:rsidRDefault="007461C9" w:rsidP="007461C9"/>
    <w:p w14:paraId="6FA778EC" w14:textId="77777777" w:rsidR="007461C9" w:rsidRPr="007461C9" w:rsidRDefault="007461C9" w:rsidP="007461C9"/>
    <w:p w14:paraId="7D446559" w14:textId="77777777" w:rsidR="007461C9" w:rsidRPr="007461C9" w:rsidRDefault="007461C9" w:rsidP="007461C9"/>
    <w:p w14:paraId="10678858" w14:textId="77777777" w:rsidR="007461C9" w:rsidRPr="007461C9" w:rsidRDefault="007461C9" w:rsidP="007461C9"/>
    <w:p w14:paraId="1698272E" w14:textId="77777777" w:rsidR="007461C9" w:rsidRPr="007461C9" w:rsidRDefault="007461C9" w:rsidP="007461C9"/>
    <w:p w14:paraId="06D5852A" w14:textId="77777777" w:rsidR="007461C9" w:rsidRPr="007461C9" w:rsidRDefault="007461C9" w:rsidP="007461C9"/>
    <w:p w14:paraId="7C384C62" w14:textId="77777777" w:rsidR="007461C9" w:rsidRPr="007461C9" w:rsidRDefault="007461C9" w:rsidP="007461C9"/>
    <w:p w14:paraId="5B253F5C" w14:textId="77777777" w:rsidR="007461C9" w:rsidRDefault="007461C9" w:rsidP="007461C9"/>
    <w:p w14:paraId="1579284D" w14:textId="77777777" w:rsidR="008D5D15" w:rsidRPr="008D5D15" w:rsidRDefault="007461C9" w:rsidP="008D5D15">
      <w:r>
        <w:t>Figure.2.</w:t>
      </w:r>
      <w:r w:rsidRPr="007461C9">
        <w:t xml:space="preserve"> </w:t>
      </w:r>
      <w:r w:rsidR="008D5D15" w:rsidRPr="008D5D15">
        <w:t xml:space="preserve">Matrix of correlations for the project dataset illustrating the connections between different plant characteristics across various treatments. Positive correlations are shown in blue hues, whereas negative correlations are represented in red hues, with more intense colors signifying greater correlation values. Significant clusters show strong positive associations among characteristics associated with fruit metrics (e.g., fruit weight, fruit diameter) and biochemical elements such as polyphenol and flavonoid. This matrix offers insights into the connections between physiological and biochemical traits affected by saline and salicylic acid treatments. </w:t>
      </w:r>
    </w:p>
    <w:p w14:paraId="7A4CD7C6" w14:textId="640BDE8C" w:rsidR="007461C9" w:rsidRDefault="007461C9" w:rsidP="00327949">
      <w:pPr>
        <w:tabs>
          <w:tab w:val="left" w:pos="1407"/>
        </w:tabs>
        <w:jc w:val="both"/>
      </w:pPr>
    </w:p>
    <w:p w14:paraId="6032E43B" w14:textId="670C1BB2" w:rsidR="00327949" w:rsidRDefault="00327949" w:rsidP="00327949">
      <w:r>
        <w:br w:type="page"/>
      </w:r>
    </w:p>
    <w:p w14:paraId="24BDA3FF" w14:textId="568F713A" w:rsidR="00327949" w:rsidRDefault="00327949" w:rsidP="007461C9">
      <w:pPr>
        <w:tabs>
          <w:tab w:val="left" w:pos="1407"/>
        </w:tabs>
      </w:pPr>
      <w:r>
        <w:rPr>
          <w:noProof/>
        </w:rPr>
        <w:lastRenderedPageBreak/>
        <w:drawing>
          <wp:anchor distT="0" distB="0" distL="114300" distR="114300" simplePos="0" relativeHeight="251660288" behindDoc="1" locked="0" layoutInCell="1" allowOverlap="1" wp14:anchorId="067E9972" wp14:editId="6E6D1891">
            <wp:simplePos x="0" y="0"/>
            <wp:positionH relativeFrom="margin">
              <wp:posOffset>-34579</wp:posOffset>
            </wp:positionH>
            <wp:positionV relativeFrom="paragraph">
              <wp:posOffset>379384</wp:posOffset>
            </wp:positionV>
            <wp:extent cx="5715000" cy="3810000"/>
            <wp:effectExtent l="0" t="0" r="0" b="0"/>
            <wp:wrapTopAndBottom/>
            <wp:docPr id="1220087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anchor>
        </w:drawing>
      </w:r>
      <w:r>
        <w:t xml:space="preserve">3. </w:t>
      </w:r>
      <w:r w:rsidRPr="00327949">
        <w:rPr>
          <w:rStyle w:val="Heading2Char"/>
        </w:rPr>
        <w:t>Dendrogram</w:t>
      </w:r>
      <w:r>
        <w:t xml:space="preserve"> </w:t>
      </w:r>
    </w:p>
    <w:p w14:paraId="006BE02D" w14:textId="77777777" w:rsidR="008D5D15" w:rsidRPr="008D5D15" w:rsidRDefault="00327949" w:rsidP="008D5D15">
      <w:r>
        <w:t xml:space="preserve">Figure 3. </w:t>
      </w:r>
      <w:r w:rsidRPr="00327949">
        <w:t xml:space="preserve"> </w:t>
      </w:r>
      <w:r w:rsidR="008D5D15" w:rsidRPr="008D5D15">
        <w:t xml:space="preserve">Dendrogram of treatments organized hierarchically according to physiological and biochemical characteristics. Treatments are categorized based on their similarities, with T12, T9, T11, T10, and T8 classified under high saline and/or salicylic acid circumstances, indicating comparable stress response patterns. Treatments with lower salinity (e.g., T3, T2, T4) create clear clusters, showing different reactions. This dendrogram offers insight into the effects of varying salinity levels and salicylic acid on clustering patterns, emphasizing the treatments that exhibit comparable stress adaptations. </w:t>
      </w:r>
    </w:p>
    <w:p w14:paraId="09D3B6C3" w14:textId="4583D798" w:rsidR="007461C9" w:rsidRPr="007461C9" w:rsidRDefault="007461C9" w:rsidP="00327949">
      <w:pPr>
        <w:tabs>
          <w:tab w:val="left" w:pos="1407"/>
        </w:tabs>
        <w:jc w:val="both"/>
      </w:pPr>
    </w:p>
    <w:sectPr w:rsidR="007461C9" w:rsidRPr="00746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652799"/>
    <w:multiLevelType w:val="hybridMultilevel"/>
    <w:tmpl w:val="CCA4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0544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BF"/>
    <w:rsid w:val="00132363"/>
    <w:rsid w:val="00327949"/>
    <w:rsid w:val="004F249A"/>
    <w:rsid w:val="005B4ECE"/>
    <w:rsid w:val="007461C9"/>
    <w:rsid w:val="00820AF9"/>
    <w:rsid w:val="00875274"/>
    <w:rsid w:val="008D5D15"/>
    <w:rsid w:val="008F7E89"/>
    <w:rsid w:val="00BB3A2B"/>
    <w:rsid w:val="00BE2923"/>
    <w:rsid w:val="00C542DF"/>
    <w:rsid w:val="00C73DA7"/>
    <w:rsid w:val="00C87B09"/>
    <w:rsid w:val="00CB61A2"/>
    <w:rsid w:val="00CF11BF"/>
    <w:rsid w:val="00D65A24"/>
    <w:rsid w:val="00F21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39E1"/>
  <w15:chartTrackingRefBased/>
  <w15:docId w15:val="{EAFBFEE7-1522-4FD7-A476-34DB3C84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2DF"/>
    <w:rPr>
      <w:rFonts w:ascii="Times New Roman" w:hAnsi="Times New Roman"/>
      <w:sz w:val="24"/>
    </w:rPr>
  </w:style>
  <w:style w:type="paragraph" w:styleId="Heading1">
    <w:name w:val="heading 1"/>
    <w:aliases w:val="Subheadibgs"/>
    <w:basedOn w:val="Normal"/>
    <w:next w:val="Normal"/>
    <w:link w:val="Heading1Char"/>
    <w:autoRedefine/>
    <w:uiPriority w:val="9"/>
    <w:qFormat/>
    <w:rsid w:val="00F21773"/>
    <w:pPr>
      <w:keepNext/>
      <w:keepLines/>
      <w:spacing w:before="240" w:after="0"/>
      <w:jc w:val="center"/>
      <w:outlineLvl w:val="0"/>
    </w:pPr>
    <w:rPr>
      <w:rFonts w:eastAsiaTheme="majorEastAsia" w:cstheme="majorBidi"/>
      <w:b/>
      <w:color w:val="0D0D0D" w:themeColor="text1" w:themeTint="F2"/>
      <w:szCs w:val="32"/>
    </w:rPr>
  </w:style>
  <w:style w:type="paragraph" w:styleId="Heading2">
    <w:name w:val="heading 2"/>
    <w:aliases w:val="Text Heeading"/>
    <w:basedOn w:val="Normal"/>
    <w:next w:val="Normal"/>
    <w:link w:val="Heading2Char"/>
    <w:uiPriority w:val="9"/>
    <w:unhideWhenUsed/>
    <w:qFormat/>
    <w:rsid w:val="00F21773"/>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aliases w:val="Cover Title"/>
    <w:basedOn w:val="Normal"/>
    <w:next w:val="Normal"/>
    <w:link w:val="Heading3Char"/>
    <w:uiPriority w:val="9"/>
    <w:unhideWhenUsed/>
    <w:qFormat/>
    <w:rsid w:val="00F21773"/>
    <w:pPr>
      <w:keepNext/>
      <w:keepLines/>
      <w:spacing w:before="40" w:after="0"/>
      <w:outlineLvl w:val="2"/>
    </w:pPr>
    <w:rPr>
      <w:rFonts w:eastAsiaTheme="majorEastAsia" w:cstheme="majorBidi"/>
      <w:b/>
      <w:color w:val="000000" w:themeColor="text1"/>
      <w:sz w:val="32"/>
      <w:szCs w:val="24"/>
    </w:rPr>
  </w:style>
  <w:style w:type="paragraph" w:styleId="Heading4">
    <w:name w:val="heading 4"/>
    <w:basedOn w:val="Normal"/>
    <w:next w:val="Normal"/>
    <w:link w:val="Heading4Char"/>
    <w:uiPriority w:val="9"/>
    <w:unhideWhenUsed/>
    <w:qFormat/>
    <w:rsid w:val="003279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headibgs Char"/>
    <w:basedOn w:val="DefaultParagraphFont"/>
    <w:link w:val="Heading1"/>
    <w:uiPriority w:val="9"/>
    <w:rsid w:val="00F21773"/>
    <w:rPr>
      <w:rFonts w:ascii="Times New Roman" w:eastAsiaTheme="majorEastAsia" w:hAnsi="Times New Roman" w:cstheme="majorBidi"/>
      <w:b/>
      <w:color w:val="0D0D0D" w:themeColor="text1" w:themeTint="F2"/>
      <w:sz w:val="24"/>
      <w:szCs w:val="32"/>
    </w:rPr>
  </w:style>
  <w:style w:type="character" w:customStyle="1" w:styleId="Heading2Char">
    <w:name w:val="Heading 2 Char"/>
    <w:aliases w:val="Text Heeading Char"/>
    <w:basedOn w:val="DefaultParagraphFont"/>
    <w:link w:val="Heading2"/>
    <w:uiPriority w:val="9"/>
    <w:rsid w:val="00F21773"/>
    <w:rPr>
      <w:rFonts w:ascii="Times New Roman" w:eastAsiaTheme="majorEastAsia" w:hAnsi="Times New Roman" w:cstheme="majorBidi"/>
      <w:b/>
      <w:color w:val="0D0D0D" w:themeColor="text1" w:themeTint="F2"/>
      <w:sz w:val="28"/>
      <w:szCs w:val="26"/>
    </w:rPr>
  </w:style>
  <w:style w:type="character" w:customStyle="1" w:styleId="Heading3Char">
    <w:name w:val="Heading 3 Char"/>
    <w:aliases w:val="Cover Title Char"/>
    <w:basedOn w:val="DefaultParagraphFont"/>
    <w:link w:val="Heading3"/>
    <w:uiPriority w:val="9"/>
    <w:rsid w:val="00F21773"/>
    <w:rPr>
      <w:rFonts w:ascii="Times New Roman" w:eastAsiaTheme="majorEastAsia" w:hAnsi="Times New Roman" w:cstheme="majorBidi"/>
      <w:b/>
      <w:color w:val="000000" w:themeColor="text1"/>
      <w:sz w:val="32"/>
      <w:szCs w:val="24"/>
    </w:rPr>
  </w:style>
  <w:style w:type="table" w:styleId="TableGrid">
    <w:name w:val="Table Grid"/>
    <w:basedOn w:val="TableNormal"/>
    <w:uiPriority w:val="39"/>
    <w:rsid w:val="00C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752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2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461C9"/>
    <w:pPr>
      <w:ind w:left="720"/>
      <w:contextualSpacing/>
    </w:pPr>
  </w:style>
  <w:style w:type="character" w:customStyle="1" w:styleId="Heading4Char">
    <w:name w:val="Heading 4 Char"/>
    <w:basedOn w:val="DefaultParagraphFont"/>
    <w:link w:val="Heading4"/>
    <w:uiPriority w:val="9"/>
    <w:rsid w:val="00327949"/>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25708">
      <w:bodyDiv w:val="1"/>
      <w:marLeft w:val="0"/>
      <w:marRight w:val="0"/>
      <w:marTop w:val="0"/>
      <w:marBottom w:val="0"/>
      <w:divBdr>
        <w:top w:val="none" w:sz="0" w:space="0" w:color="auto"/>
        <w:left w:val="none" w:sz="0" w:space="0" w:color="auto"/>
        <w:bottom w:val="none" w:sz="0" w:space="0" w:color="auto"/>
        <w:right w:val="none" w:sz="0" w:space="0" w:color="auto"/>
      </w:divBdr>
    </w:div>
    <w:div w:id="44841432">
      <w:bodyDiv w:val="1"/>
      <w:marLeft w:val="0"/>
      <w:marRight w:val="0"/>
      <w:marTop w:val="0"/>
      <w:marBottom w:val="0"/>
      <w:divBdr>
        <w:top w:val="none" w:sz="0" w:space="0" w:color="auto"/>
        <w:left w:val="none" w:sz="0" w:space="0" w:color="auto"/>
        <w:bottom w:val="none" w:sz="0" w:space="0" w:color="auto"/>
        <w:right w:val="none" w:sz="0" w:space="0" w:color="auto"/>
      </w:divBdr>
    </w:div>
    <w:div w:id="190799280">
      <w:bodyDiv w:val="1"/>
      <w:marLeft w:val="0"/>
      <w:marRight w:val="0"/>
      <w:marTop w:val="0"/>
      <w:marBottom w:val="0"/>
      <w:divBdr>
        <w:top w:val="none" w:sz="0" w:space="0" w:color="auto"/>
        <w:left w:val="none" w:sz="0" w:space="0" w:color="auto"/>
        <w:bottom w:val="none" w:sz="0" w:space="0" w:color="auto"/>
        <w:right w:val="none" w:sz="0" w:space="0" w:color="auto"/>
      </w:divBdr>
      <w:divsChild>
        <w:div w:id="504325851">
          <w:marLeft w:val="0"/>
          <w:marRight w:val="0"/>
          <w:marTop w:val="0"/>
          <w:marBottom w:val="0"/>
          <w:divBdr>
            <w:top w:val="none" w:sz="0" w:space="0" w:color="auto"/>
            <w:left w:val="none" w:sz="0" w:space="0" w:color="auto"/>
            <w:bottom w:val="none" w:sz="0" w:space="0" w:color="auto"/>
            <w:right w:val="none" w:sz="0" w:space="0" w:color="auto"/>
          </w:divBdr>
          <w:divsChild>
            <w:div w:id="152458080">
              <w:marLeft w:val="0"/>
              <w:marRight w:val="0"/>
              <w:marTop w:val="0"/>
              <w:marBottom w:val="0"/>
              <w:divBdr>
                <w:top w:val="none" w:sz="0" w:space="0" w:color="auto"/>
                <w:left w:val="none" w:sz="0" w:space="0" w:color="auto"/>
                <w:bottom w:val="none" w:sz="0" w:space="0" w:color="auto"/>
                <w:right w:val="none" w:sz="0" w:space="0" w:color="auto"/>
              </w:divBdr>
              <w:divsChild>
                <w:div w:id="817577725">
                  <w:marLeft w:val="0"/>
                  <w:marRight w:val="0"/>
                  <w:marTop w:val="0"/>
                  <w:marBottom w:val="0"/>
                  <w:divBdr>
                    <w:top w:val="none" w:sz="0" w:space="0" w:color="auto"/>
                    <w:left w:val="none" w:sz="0" w:space="0" w:color="auto"/>
                    <w:bottom w:val="none" w:sz="0" w:space="0" w:color="auto"/>
                    <w:right w:val="none" w:sz="0" w:space="0" w:color="auto"/>
                  </w:divBdr>
                  <w:divsChild>
                    <w:div w:id="147478949">
                      <w:marLeft w:val="0"/>
                      <w:marRight w:val="0"/>
                      <w:marTop w:val="0"/>
                      <w:marBottom w:val="0"/>
                      <w:divBdr>
                        <w:top w:val="none" w:sz="0" w:space="0" w:color="auto"/>
                        <w:left w:val="none" w:sz="0" w:space="0" w:color="auto"/>
                        <w:bottom w:val="none" w:sz="0" w:space="0" w:color="auto"/>
                        <w:right w:val="none" w:sz="0" w:space="0" w:color="auto"/>
                      </w:divBdr>
                      <w:divsChild>
                        <w:div w:id="92289415">
                          <w:marLeft w:val="0"/>
                          <w:marRight w:val="0"/>
                          <w:marTop w:val="0"/>
                          <w:marBottom w:val="0"/>
                          <w:divBdr>
                            <w:top w:val="none" w:sz="0" w:space="0" w:color="auto"/>
                            <w:left w:val="none" w:sz="0" w:space="0" w:color="auto"/>
                            <w:bottom w:val="none" w:sz="0" w:space="0" w:color="auto"/>
                            <w:right w:val="none" w:sz="0" w:space="0" w:color="auto"/>
                          </w:divBdr>
                          <w:divsChild>
                            <w:div w:id="16023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318902">
      <w:bodyDiv w:val="1"/>
      <w:marLeft w:val="0"/>
      <w:marRight w:val="0"/>
      <w:marTop w:val="0"/>
      <w:marBottom w:val="0"/>
      <w:divBdr>
        <w:top w:val="none" w:sz="0" w:space="0" w:color="auto"/>
        <w:left w:val="none" w:sz="0" w:space="0" w:color="auto"/>
        <w:bottom w:val="none" w:sz="0" w:space="0" w:color="auto"/>
        <w:right w:val="none" w:sz="0" w:space="0" w:color="auto"/>
      </w:divBdr>
    </w:div>
    <w:div w:id="469447097">
      <w:bodyDiv w:val="1"/>
      <w:marLeft w:val="0"/>
      <w:marRight w:val="0"/>
      <w:marTop w:val="0"/>
      <w:marBottom w:val="0"/>
      <w:divBdr>
        <w:top w:val="none" w:sz="0" w:space="0" w:color="auto"/>
        <w:left w:val="none" w:sz="0" w:space="0" w:color="auto"/>
        <w:bottom w:val="none" w:sz="0" w:space="0" w:color="auto"/>
        <w:right w:val="none" w:sz="0" w:space="0" w:color="auto"/>
      </w:divBdr>
      <w:divsChild>
        <w:div w:id="1105266279">
          <w:marLeft w:val="0"/>
          <w:marRight w:val="0"/>
          <w:marTop w:val="0"/>
          <w:marBottom w:val="0"/>
          <w:divBdr>
            <w:top w:val="none" w:sz="0" w:space="0" w:color="auto"/>
            <w:left w:val="none" w:sz="0" w:space="0" w:color="auto"/>
            <w:bottom w:val="none" w:sz="0" w:space="0" w:color="auto"/>
            <w:right w:val="none" w:sz="0" w:space="0" w:color="auto"/>
          </w:divBdr>
          <w:divsChild>
            <w:div w:id="739670920">
              <w:marLeft w:val="0"/>
              <w:marRight w:val="0"/>
              <w:marTop w:val="0"/>
              <w:marBottom w:val="0"/>
              <w:divBdr>
                <w:top w:val="none" w:sz="0" w:space="0" w:color="auto"/>
                <w:left w:val="none" w:sz="0" w:space="0" w:color="auto"/>
                <w:bottom w:val="none" w:sz="0" w:space="0" w:color="auto"/>
                <w:right w:val="none" w:sz="0" w:space="0" w:color="auto"/>
              </w:divBdr>
              <w:divsChild>
                <w:div w:id="1143500579">
                  <w:marLeft w:val="0"/>
                  <w:marRight w:val="0"/>
                  <w:marTop w:val="0"/>
                  <w:marBottom w:val="0"/>
                  <w:divBdr>
                    <w:top w:val="none" w:sz="0" w:space="0" w:color="auto"/>
                    <w:left w:val="none" w:sz="0" w:space="0" w:color="auto"/>
                    <w:bottom w:val="none" w:sz="0" w:space="0" w:color="auto"/>
                    <w:right w:val="none" w:sz="0" w:space="0" w:color="auto"/>
                  </w:divBdr>
                  <w:divsChild>
                    <w:div w:id="846791025">
                      <w:marLeft w:val="0"/>
                      <w:marRight w:val="0"/>
                      <w:marTop w:val="0"/>
                      <w:marBottom w:val="0"/>
                      <w:divBdr>
                        <w:top w:val="none" w:sz="0" w:space="0" w:color="auto"/>
                        <w:left w:val="none" w:sz="0" w:space="0" w:color="auto"/>
                        <w:bottom w:val="none" w:sz="0" w:space="0" w:color="auto"/>
                        <w:right w:val="none" w:sz="0" w:space="0" w:color="auto"/>
                      </w:divBdr>
                      <w:divsChild>
                        <w:div w:id="343946955">
                          <w:marLeft w:val="0"/>
                          <w:marRight w:val="0"/>
                          <w:marTop w:val="0"/>
                          <w:marBottom w:val="0"/>
                          <w:divBdr>
                            <w:top w:val="none" w:sz="0" w:space="0" w:color="auto"/>
                            <w:left w:val="none" w:sz="0" w:space="0" w:color="auto"/>
                            <w:bottom w:val="none" w:sz="0" w:space="0" w:color="auto"/>
                            <w:right w:val="none" w:sz="0" w:space="0" w:color="auto"/>
                          </w:divBdr>
                          <w:divsChild>
                            <w:div w:id="11638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946738">
      <w:bodyDiv w:val="1"/>
      <w:marLeft w:val="0"/>
      <w:marRight w:val="0"/>
      <w:marTop w:val="0"/>
      <w:marBottom w:val="0"/>
      <w:divBdr>
        <w:top w:val="none" w:sz="0" w:space="0" w:color="auto"/>
        <w:left w:val="none" w:sz="0" w:space="0" w:color="auto"/>
        <w:bottom w:val="none" w:sz="0" w:space="0" w:color="auto"/>
        <w:right w:val="none" w:sz="0" w:space="0" w:color="auto"/>
      </w:divBdr>
    </w:div>
    <w:div w:id="771558422">
      <w:bodyDiv w:val="1"/>
      <w:marLeft w:val="0"/>
      <w:marRight w:val="0"/>
      <w:marTop w:val="0"/>
      <w:marBottom w:val="0"/>
      <w:divBdr>
        <w:top w:val="none" w:sz="0" w:space="0" w:color="auto"/>
        <w:left w:val="none" w:sz="0" w:space="0" w:color="auto"/>
        <w:bottom w:val="none" w:sz="0" w:space="0" w:color="auto"/>
        <w:right w:val="none" w:sz="0" w:space="0" w:color="auto"/>
      </w:divBdr>
    </w:div>
    <w:div w:id="1041248836">
      <w:bodyDiv w:val="1"/>
      <w:marLeft w:val="0"/>
      <w:marRight w:val="0"/>
      <w:marTop w:val="0"/>
      <w:marBottom w:val="0"/>
      <w:divBdr>
        <w:top w:val="none" w:sz="0" w:space="0" w:color="auto"/>
        <w:left w:val="none" w:sz="0" w:space="0" w:color="auto"/>
        <w:bottom w:val="none" w:sz="0" w:space="0" w:color="auto"/>
        <w:right w:val="none" w:sz="0" w:space="0" w:color="auto"/>
      </w:divBdr>
    </w:div>
    <w:div w:id="1059018972">
      <w:bodyDiv w:val="1"/>
      <w:marLeft w:val="0"/>
      <w:marRight w:val="0"/>
      <w:marTop w:val="0"/>
      <w:marBottom w:val="0"/>
      <w:divBdr>
        <w:top w:val="none" w:sz="0" w:space="0" w:color="auto"/>
        <w:left w:val="none" w:sz="0" w:space="0" w:color="auto"/>
        <w:bottom w:val="none" w:sz="0" w:space="0" w:color="auto"/>
        <w:right w:val="none" w:sz="0" w:space="0" w:color="auto"/>
      </w:divBdr>
    </w:div>
    <w:div w:id="1151018026">
      <w:bodyDiv w:val="1"/>
      <w:marLeft w:val="0"/>
      <w:marRight w:val="0"/>
      <w:marTop w:val="0"/>
      <w:marBottom w:val="0"/>
      <w:divBdr>
        <w:top w:val="none" w:sz="0" w:space="0" w:color="auto"/>
        <w:left w:val="none" w:sz="0" w:space="0" w:color="auto"/>
        <w:bottom w:val="none" w:sz="0" w:space="0" w:color="auto"/>
        <w:right w:val="none" w:sz="0" w:space="0" w:color="auto"/>
      </w:divBdr>
    </w:div>
    <w:div w:id="1197499158">
      <w:bodyDiv w:val="1"/>
      <w:marLeft w:val="0"/>
      <w:marRight w:val="0"/>
      <w:marTop w:val="0"/>
      <w:marBottom w:val="0"/>
      <w:divBdr>
        <w:top w:val="none" w:sz="0" w:space="0" w:color="auto"/>
        <w:left w:val="none" w:sz="0" w:space="0" w:color="auto"/>
        <w:bottom w:val="none" w:sz="0" w:space="0" w:color="auto"/>
        <w:right w:val="none" w:sz="0" w:space="0" w:color="auto"/>
      </w:divBdr>
    </w:div>
    <w:div w:id="1310093251">
      <w:bodyDiv w:val="1"/>
      <w:marLeft w:val="0"/>
      <w:marRight w:val="0"/>
      <w:marTop w:val="0"/>
      <w:marBottom w:val="0"/>
      <w:divBdr>
        <w:top w:val="none" w:sz="0" w:space="0" w:color="auto"/>
        <w:left w:val="none" w:sz="0" w:space="0" w:color="auto"/>
        <w:bottom w:val="none" w:sz="0" w:space="0" w:color="auto"/>
        <w:right w:val="none" w:sz="0" w:space="0" w:color="auto"/>
      </w:divBdr>
      <w:divsChild>
        <w:div w:id="88889">
          <w:marLeft w:val="0"/>
          <w:marRight w:val="0"/>
          <w:marTop w:val="0"/>
          <w:marBottom w:val="0"/>
          <w:divBdr>
            <w:top w:val="none" w:sz="0" w:space="0" w:color="auto"/>
            <w:left w:val="none" w:sz="0" w:space="0" w:color="auto"/>
            <w:bottom w:val="none" w:sz="0" w:space="0" w:color="auto"/>
            <w:right w:val="none" w:sz="0" w:space="0" w:color="auto"/>
          </w:divBdr>
          <w:divsChild>
            <w:div w:id="1785031424">
              <w:marLeft w:val="0"/>
              <w:marRight w:val="0"/>
              <w:marTop w:val="0"/>
              <w:marBottom w:val="0"/>
              <w:divBdr>
                <w:top w:val="none" w:sz="0" w:space="0" w:color="auto"/>
                <w:left w:val="none" w:sz="0" w:space="0" w:color="auto"/>
                <w:bottom w:val="none" w:sz="0" w:space="0" w:color="auto"/>
                <w:right w:val="none" w:sz="0" w:space="0" w:color="auto"/>
              </w:divBdr>
              <w:divsChild>
                <w:div w:id="1471707030">
                  <w:marLeft w:val="0"/>
                  <w:marRight w:val="0"/>
                  <w:marTop w:val="0"/>
                  <w:marBottom w:val="0"/>
                  <w:divBdr>
                    <w:top w:val="none" w:sz="0" w:space="0" w:color="auto"/>
                    <w:left w:val="none" w:sz="0" w:space="0" w:color="auto"/>
                    <w:bottom w:val="none" w:sz="0" w:space="0" w:color="auto"/>
                    <w:right w:val="none" w:sz="0" w:space="0" w:color="auto"/>
                  </w:divBdr>
                  <w:divsChild>
                    <w:div w:id="1257834605">
                      <w:marLeft w:val="0"/>
                      <w:marRight w:val="0"/>
                      <w:marTop w:val="0"/>
                      <w:marBottom w:val="0"/>
                      <w:divBdr>
                        <w:top w:val="none" w:sz="0" w:space="0" w:color="auto"/>
                        <w:left w:val="none" w:sz="0" w:space="0" w:color="auto"/>
                        <w:bottom w:val="none" w:sz="0" w:space="0" w:color="auto"/>
                        <w:right w:val="none" w:sz="0" w:space="0" w:color="auto"/>
                      </w:divBdr>
                      <w:divsChild>
                        <w:div w:id="1325162761">
                          <w:marLeft w:val="0"/>
                          <w:marRight w:val="0"/>
                          <w:marTop w:val="0"/>
                          <w:marBottom w:val="0"/>
                          <w:divBdr>
                            <w:top w:val="none" w:sz="0" w:space="0" w:color="auto"/>
                            <w:left w:val="none" w:sz="0" w:space="0" w:color="auto"/>
                            <w:bottom w:val="none" w:sz="0" w:space="0" w:color="auto"/>
                            <w:right w:val="none" w:sz="0" w:space="0" w:color="auto"/>
                          </w:divBdr>
                          <w:divsChild>
                            <w:div w:id="13923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691807">
      <w:bodyDiv w:val="1"/>
      <w:marLeft w:val="0"/>
      <w:marRight w:val="0"/>
      <w:marTop w:val="0"/>
      <w:marBottom w:val="0"/>
      <w:divBdr>
        <w:top w:val="none" w:sz="0" w:space="0" w:color="auto"/>
        <w:left w:val="none" w:sz="0" w:space="0" w:color="auto"/>
        <w:bottom w:val="none" w:sz="0" w:space="0" w:color="auto"/>
        <w:right w:val="none" w:sz="0" w:space="0" w:color="auto"/>
      </w:divBdr>
    </w:div>
    <w:div w:id="1740517840">
      <w:bodyDiv w:val="1"/>
      <w:marLeft w:val="0"/>
      <w:marRight w:val="0"/>
      <w:marTop w:val="0"/>
      <w:marBottom w:val="0"/>
      <w:divBdr>
        <w:top w:val="none" w:sz="0" w:space="0" w:color="auto"/>
        <w:left w:val="none" w:sz="0" w:space="0" w:color="auto"/>
        <w:bottom w:val="none" w:sz="0" w:space="0" w:color="auto"/>
        <w:right w:val="none" w:sz="0" w:space="0" w:color="auto"/>
      </w:divBdr>
      <w:divsChild>
        <w:div w:id="34504228">
          <w:marLeft w:val="0"/>
          <w:marRight w:val="0"/>
          <w:marTop w:val="0"/>
          <w:marBottom w:val="0"/>
          <w:divBdr>
            <w:top w:val="none" w:sz="0" w:space="0" w:color="auto"/>
            <w:left w:val="none" w:sz="0" w:space="0" w:color="auto"/>
            <w:bottom w:val="none" w:sz="0" w:space="0" w:color="auto"/>
            <w:right w:val="none" w:sz="0" w:space="0" w:color="auto"/>
          </w:divBdr>
          <w:divsChild>
            <w:div w:id="1843206356">
              <w:marLeft w:val="0"/>
              <w:marRight w:val="0"/>
              <w:marTop w:val="0"/>
              <w:marBottom w:val="0"/>
              <w:divBdr>
                <w:top w:val="none" w:sz="0" w:space="0" w:color="auto"/>
                <w:left w:val="none" w:sz="0" w:space="0" w:color="auto"/>
                <w:bottom w:val="none" w:sz="0" w:space="0" w:color="auto"/>
                <w:right w:val="none" w:sz="0" w:space="0" w:color="auto"/>
              </w:divBdr>
              <w:divsChild>
                <w:div w:id="230039914">
                  <w:marLeft w:val="0"/>
                  <w:marRight w:val="0"/>
                  <w:marTop w:val="0"/>
                  <w:marBottom w:val="0"/>
                  <w:divBdr>
                    <w:top w:val="none" w:sz="0" w:space="0" w:color="auto"/>
                    <w:left w:val="none" w:sz="0" w:space="0" w:color="auto"/>
                    <w:bottom w:val="none" w:sz="0" w:space="0" w:color="auto"/>
                    <w:right w:val="none" w:sz="0" w:space="0" w:color="auto"/>
                  </w:divBdr>
                  <w:divsChild>
                    <w:div w:id="198904389">
                      <w:marLeft w:val="0"/>
                      <w:marRight w:val="0"/>
                      <w:marTop w:val="0"/>
                      <w:marBottom w:val="0"/>
                      <w:divBdr>
                        <w:top w:val="none" w:sz="0" w:space="0" w:color="auto"/>
                        <w:left w:val="none" w:sz="0" w:space="0" w:color="auto"/>
                        <w:bottom w:val="none" w:sz="0" w:space="0" w:color="auto"/>
                        <w:right w:val="none" w:sz="0" w:space="0" w:color="auto"/>
                      </w:divBdr>
                      <w:divsChild>
                        <w:div w:id="1119642374">
                          <w:marLeft w:val="0"/>
                          <w:marRight w:val="0"/>
                          <w:marTop w:val="0"/>
                          <w:marBottom w:val="0"/>
                          <w:divBdr>
                            <w:top w:val="none" w:sz="0" w:space="0" w:color="auto"/>
                            <w:left w:val="none" w:sz="0" w:space="0" w:color="auto"/>
                            <w:bottom w:val="none" w:sz="0" w:space="0" w:color="auto"/>
                            <w:right w:val="none" w:sz="0" w:space="0" w:color="auto"/>
                          </w:divBdr>
                          <w:divsChild>
                            <w:div w:id="21187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690635">
      <w:bodyDiv w:val="1"/>
      <w:marLeft w:val="0"/>
      <w:marRight w:val="0"/>
      <w:marTop w:val="0"/>
      <w:marBottom w:val="0"/>
      <w:divBdr>
        <w:top w:val="none" w:sz="0" w:space="0" w:color="auto"/>
        <w:left w:val="none" w:sz="0" w:space="0" w:color="auto"/>
        <w:bottom w:val="none" w:sz="0" w:space="0" w:color="auto"/>
        <w:right w:val="none" w:sz="0" w:space="0" w:color="auto"/>
      </w:divBdr>
    </w:div>
    <w:div w:id="1981493798">
      <w:bodyDiv w:val="1"/>
      <w:marLeft w:val="0"/>
      <w:marRight w:val="0"/>
      <w:marTop w:val="0"/>
      <w:marBottom w:val="0"/>
      <w:divBdr>
        <w:top w:val="none" w:sz="0" w:space="0" w:color="auto"/>
        <w:left w:val="none" w:sz="0" w:space="0" w:color="auto"/>
        <w:bottom w:val="none" w:sz="0" w:space="0" w:color="auto"/>
        <w:right w:val="none" w:sz="0" w:space="0" w:color="auto"/>
      </w:divBdr>
    </w:div>
    <w:div w:id="1995328001">
      <w:bodyDiv w:val="1"/>
      <w:marLeft w:val="0"/>
      <w:marRight w:val="0"/>
      <w:marTop w:val="0"/>
      <w:marBottom w:val="0"/>
      <w:divBdr>
        <w:top w:val="none" w:sz="0" w:space="0" w:color="auto"/>
        <w:left w:val="none" w:sz="0" w:space="0" w:color="auto"/>
        <w:bottom w:val="none" w:sz="0" w:space="0" w:color="auto"/>
        <w:right w:val="none" w:sz="0" w:space="0" w:color="auto"/>
      </w:divBdr>
    </w:div>
    <w:div w:id="2035110378">
      <w:bodyDiv w:val="1"/>
      <w:marLeft w:val="0"/>
      <w:marRight w:val="0"/>
      <w:marTop w:val="0"/>
      <w:marBottom w:val="0"/>
      <w:divBdr>
        <w:top w:val="none" w:sz="0" w:space="0" w:color="auto"/>
        <w:left w:val="none" w:sz="0" w:space="0" w:color="auto"/>
        <w:bottom w:val="none" w:sz="0" w:space="0" w:color="auto"/>
        <w:right w:val="none" w:sz="0" w:space="0" w:color="auto"/>
      </w:divBdr>
    </w:div>
    <w:div w:id="211651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Mahmudul Hasan Tahery</dc:creator>
  <cp:keywords/>
  <dc:description/>
  <cp:lastModifiedBy>Shahariar Arif</cp:lastModifiedBy>
  <cp:revision>3</cp:revision>
  <dcterms:created xsi:type="dcterms:W3CDTF">2024-11-14T06:37:00Z</dcterms:created>
  <dcterms:modified xsi:type="dcterms:W3CDTF">2024-11-14T16:30:00Z</dcterms:modified>
</cp:coreProperties>
</file>