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725"/>
        <w:gridCol w:w="4905"/>
        <w:tblGridChange w:id="0">
          <w:tblGrid>
            <w:gridCol w:w="4725"/>
            <w:gridCol w:w="49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Acheter directement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acheteur achète directement un objet qui l’intéresse (</w:t>
            </w:r>
            <w:r w:rsidDel="00000000" w:rsidR="00000000" w:rsidRPr="00000000">
              <w:rPr>
                <w:rtl w:val="0"/>
              </w:rPr>
              <w:t xml:space="preserve">happy path)+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Acheter un objet sans enchérir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 l</w:t>
            </w:r>
            <w:r w:rsidDel="00000000" w:rsidR="00000000" w:rsidRPr="00000000">
              <w:rPr>
                <w:rtl w:val="0"/>
              </w:rPr>
              <w:t xml:space="preserve">a page de 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vente passe à l’étape de validation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855"/>
              <w:gridCol w:w="3930"/>
              <w:tblGridChange w:id="0">
                <w:tblGrid>
                  <w:gridCol w:w="855"/>
                  <w:gridCol w:w="393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directe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accepte le prix du vendeur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demande à l’utilisateur de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Le vendeur valide la vente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3.994128782682"/>
        <w:gridCol w:w="4883.517682240939"/>
        <w:tblGridChange w:id="0">
          <w:tblGrid>
            <w:gridCol w:w="4753.994128782682"/>
            <w:gridCol w:w="4883.517682240939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Acheter directement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Scénario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La vente est annulée par le vendeur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Objectif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Pré conditions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L’acheteur est sur la page recherche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Post condition (réussite)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Règles de gestion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10"/>
              <w:gridCol w:w="3855"/>
              <w:tblGridChange w:id="0">
                <w:tblGrid>
                  <w:gridCol w:w="810"/>
                  <w:gridCol w:w="3855"/>
                </w:tblGrid>
              </w:tblGridChange>
            </w:tblGrid>
            <w:tr>
              <w:trPr>
                <w:trHeight w:val="35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L’acheteur clique sur l’objet qui </w:t>
                  </w:r>
                </w:p>
                <w:p w:rsidR="00000000" w:rsidDel="00000000" w:rsidP="00000000" w:rsidRDefault="00000000" w:rsidRPr="00000000" w14:paraId="00000033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l’intéresse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l’affiche en </w:t>
                  </w:r>
                </w:p>
                <w:p w:rsidR="00000000" w:rsidDel="00000000" w:rsidP="00000000" w:rsidRDefault="00000000" w:rsidRPr="00000000" w14:paraId="00000036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indiquant qu’il s’agit d’une vente  </w:t>
                  </w:r>
                </w:p>
                <w:p w:rsidR="00000000" w:rsidDel="00000000" w:rsidP="00000000" w:rsidRDefault="00000000" w:rsidRPr="00000000" w14:paraId="00000037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directe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L’acheteur accepte le prix du </w:t>
                  </w:r>
                </w:p>
                <w:p w:rsidR="00000000" w:rsidDel="00000000" w:rsidP="00000000" w:rsidRDefault="00000000" w:rsidRPr="00000000" w14:paraId="0000003A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vendeur</w:t>
                  </w:r>
                </w:p>
              </w:tc>
            </w:tr>
            <w:tr>
              <w:trPr>
                <w:trHeight w:val="290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système demande à </w:t>
                  </w:r>
                </w:p>
                <w:p w:rsidR="00000000" w:rsidDel="00000000" w:rsidP="00000000" w:rsidRDefault="00000000" w:rsidRPr="00000000" w14:paraId="0000003D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de valider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 vendeur ne valide pas la </w:t>
                  </w:r>
                </w:p>
                <w:p w:rsidR="00000000" w:rsidDel="00000000" w:rsidP="00000000" w:rsidRDefault="00000000" w:rsidRPr="00000000" w14:paraId="00000042">
                  <w:pPr>
                    <w:spacing w:before="240" w:line="18.818181818181817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vente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spacing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Acheter directement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prix du vendeur ne convient pas à l’acheteur (erreur)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Acheter un objet sans enchérir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 la page de </w:t>
            </w:r>
            <w:r w:rsidDel="00000000" w:rsidR="00000000" w:rsidRPr="00000000">
              <w:rPr>
                <w:rtl w:val="0"/>
              </w:rPr>
              <w:t xml:space="preserve">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Retour à la recherche d’articles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900"/>
              <w:gridCol w:w="3810"/>
              <w:tblGridChange w:id="0">
                <w:tblGrid>
                  <w:gridCol w:w="900"/>
                  <w:gridCol w:w="381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directe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n’accepte pas le prix du vendeur, il retourne à l’étape de recherche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Acheter directement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prix du vendeur ne convient pas à l’acheteur (err</w:t>
            </w:r>
            <w:r w:rsidDel="00000000" w:rsidR="00000000" w:rsidRPr="00000000">
              <w:rPr>
                <w:rtl w:val="0"/>
              </w:rPr>
              <w:t xml:space="preserve">eur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Acheter un objet sans enchérir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 l</w:t>
            </w:r>
            <w:r w:rsidDel="00000000" w:rsidR="00000000" w:rsidRPr="00000000">
              <w:rPr>
                <w:rtl w:val="0"/>
              </w:rPr>
              <w:t xml:space="preserve">a page de 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Retour à la recherche d’articles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1035"/>
              <w:gridCol w:w="3675"/>
              <w:tblGridChange w:id="0">
                <w:tblGrid>
                  <w:gridCol w:w="1035"/>
                  <w:gridCol w:w="367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directe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accepte le prix du vendeur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demande à l’utilisateur de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annuler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retourne à la recherche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