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before="0"/>
        <w:jc w:val="center"/>
      </w:pPr>
      <w:r>
        <w:t>Quantile Regression</w:t>
      </w:r>
    </w:p>
    <w:p>
      <w:pPr>
        <w:spacing w:after="240" w:before="0"/>
        <w:jc w:val="center"/>
      </w:pPr>
      <w:r>
        <w:rPr>
          <w:i/>
        </w:rPr>
        <w:t>Birth Weight, Prenatal Care, and Distributional Effects</w:t>
      </w:r>
    </w:p>
    <w:p>
      <w:pPr>
        <w:spacing w:after="120" w:before="0" w:line="480" w:lineRule="auto"/>
      </w:pPr>
      <w:r>
        <w:t>This project studies the relationship between first-trimester prenatal care and infant birth weight using both ordinary least squares (OLS) and quantile regression. The main goal is to move beyond the average effect estimated by OLS and examine whether the association between prenatal care and birth weight differs across the conditional birth-weight distribution.</w:t>
      </w:r>
    </w:p>
    <w:p>
      <w:pPr>
        <w:pStyle w:val="Heading1"/>
        <w:spacing w:after="80" w:before="0"/>
      </w:pPr>
      <w:r>
        <w:t>Research Question</w:t>
      </w:r>
    </w:p>
    <w:p>
      <w:pPr>
        <w:spacing w:after="120" w:before="0" w:line="480" w:lineRule="auto"/>
      </w:pPr>
      <w:r>
        <w:t>How is first-trimester prenatal care associated with infant birth weight, and does that relationship differ for babies located at different points of the conditional birth-weight distribution?</w:t>
      </w:r>
    </w:p>
    <w:p>
      <w:pPr>
        <w:pStyle w:val="Heading1"/>
        <w:spacing w:after="80" w:before="0"/>
      </w:pPr>
      <w:r>
        <w:t>Data</w:t>
      </w:r>
    </w:p>
    <w:p>
      <w:pPr>
        <w:spacing w:after="120" w:before="0" w:line="480" w:lineRule="auto"/>
      </w:pPr>
      <w:r>
        <w:t>The analysis uses a subsample of the 2015 Natality Data from the National Center for Health Statistics. The dataset contains 9,322 observations.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pPr>
              <w:spacing w:line="240" w:lineRule="auto" w:after="0"/>
            </w:pPr>
            <w:r>
              <w:rPr>
                <w:rFonts w:ascii="Times New Roman" w:hAnsi="Times New Roman"/>
                <w:b/>
                <w:sz w:val="21"/>
              </w:rPr>
              <w:t>Variable</w:t>
            </w:r>
          </w:p>
        </w:tc>
        <w:tc>
          <w:tcPr>
            <w:tcW w:type="dxa" w:w="3216"/>
            <w:vAlign w:val="center"/>
          </w:tcPr>
          <w:p>
            <w:pPr>
              <w:spacing w:line="240" w:lineRule="auto" w:after="0"/>
            </w:pPr>
            <w:r>
              <w:rPr>
                <w:rFonts w:ascii="Times New Roman" w:hAnsi="Times New Roman"/>
                <w:b/>
                <w:sz w:val="21"/>
              </w:rPr>
              <w:t>Definition</w:t>
            </w:r>
          </w:p>
        </w:tc>
        <w:tc>
          <w:tcPr>
            <w:tcW w:type="dxa" w:w="3216"/>
            <w:vAlign w:val="center"/>
          </w:tcPr>
          <w:p>
            <w:pPr>
              <w:spacing w:line="240" w:lineRule="auto" w:after="0"/>
            </w:pPr>
            <w:r>
              <w:rPr>
                <w:rFonts w:ascii="Times New Roman" w:hAnsi="Times New Roman"/>
                <w:b/>
                <w:sz w:val="21"/>
              </w:rPr>
              <w:t>Role</w:t>
            </w:r>
          </w:p>
        </w:tc>
      </w:tr>
      <w:tr>
        <w:tc>
          <w:tcPr>
            <w:tcW w:type="dxa" w:w="3216"/>
            <w:vAlign w:val="center"/>
          </w:tcPr>
          <w:p>
            <w:pPr>
              <w:spacing w:line="240" w:lineRule="auto" w:after="0"/>
            </w:pPr>
            <w:r>
              <w:rPr>
                <w:rFonts w:ascii="Times New Roman" w:hAnsi="Times New Roman"/>
                <w:sz w:val="21"/>
              </w:rPr>
              <w:t>Weight</w:t>
            </w:r>
          </w:p>
        </w:tc>
        <w:tc>
          <w:tcPr>
            <w:tcW w:type="dxa" w:w="3216"/>
            <w:vAlign w:val="center"/>
          </w:tcPr>
          <w:p>
            <w:pPr>
              <w:spacing w:line="240" w:lineRule="auto" w:after="0"/>
            </w:pPr>
            <w:r>
              <w:rPr>
                <w:rFonts w:ascii="Times New Roman" w:hAnsi="Times New Roman"/>
                <w:sz w:val="21"/>
              </w:rPr>
              <w:t>Infant birth weight in grams</w:t>
            </w:r>
          </w:p>
        </w:tc>
        <w:tc>
          <w:tcPr>
            <w:tcW w:type="dxa" w:w="3216"/>
            <w:vAlign w:val="center"/>
          </w:tcPr>
          <w:p>
            <w:pPr>
              <w:spacing w:line="240" w:lineRule="auto" w:after="0"/>
            </w:pPr>
            <w:r>
              <w:rPr>
                <w:rFonts w:ascii="Times New Roman" w:hAnsi="Times New Roman"/>
                <w:sz w:val="21"/>
              </w:rPr>
              <w:t>Dependent variable</w:t>
            </w:r>
          </w:p>
        </w:tc>
      </w:tr>
      <w:tr>
        <w:tc>
          <w:tcPr>
            <w:tcW w:type="dxa" w:w="3216"/>
            <w:vAlign w:val="center"/>
          </w:tcPr>
          <w:p>
            <w:pPr>
              <w:spacing w:line="240" w:lineRule="auto" w:after="0"/>
            </w:pPr>
            <w:r>
              <w:rPr>
                <w:rFonts w:ascii="Times New Roman" w:hAnsi="Times New Roman"/>
                <w:sz w:val="21"/>
              </w:rPr>
              <w:t>PrenatalCare</w:t>
            </w:r>
          </w:p>
        </w:tc>
        <w:tc>
          <w:tcPr>
            <w:tcW w:type="dxa" w:w="3216"/>
            <w:vAlign w:val="center"/>
          </w:tcPr>
          <w:p>
            <w:pPr>
              <w:spacing w:line="240" w:lineRule="auto" w:after="0"/>
            </w:pPr>
            <w:r>
              <w:rPr>
                <w:rFonts w:ascii="Times New Roman" w:hAnsi="Times New Roman"/>
                <w:sz w:val="21"/>
              </w:rPr>
              <w:t>1 if the mother received prenatal care during the first trimester; 0 otherwise</w:t>
            </w:r>
          </w:p>
        </w:tc>
        <w:tc>
          <w:tcPr>
            <w:tcW w:type="dxa" w:w="3216"/>
            <w:vAlign w:val="center"/>
          </w:tcPr>
          <w:p>
            <w:pPr>
              <w:spacing w:line="240" w:lineRule="auto" w:after="0"/>
            </w:pPr>
            <w:r>
              <w:rPr>
                <w:rFonts w:ascii="Times New Roman" w:hAnsi="Times New Roman"/>
                <w:sz w:val="21"/>
              </w:rPr>
              <w:t>Key explanatory variable</w:t>
            </w:r>
          </w:p>
        </w:tc>
      </w:tr>
      <w:tr>
        <w:tc>
          <w:tcPr>
            <w:tcW w:type="dxa" w:w="3216"/>
            <w:vAlign w:val="center"/>
          </w:tcPr>
          <w:p>
            <w:pPr>
              <w:spacing w:line="240" w:lineRule="auto" w:after="0"/>
            </w:pPr>
            <w:r>
              <w:rPr>
                <w:rFonts w:ascii="Times New Roman" w:hAnsi="Times New Roman"/>
                <w:sz w:val="21"/>
              </w:rPr>
              <w:t>Married</w:t>
            </w:r>
          </w:p>
        </w:tc>
        <w:tc>
          <w:tcPr>
            <w:tcW w:type="dxa" w:w="3216"/>
            <w:vAlign w:val="center"/>
          </w:tcPr>
          <w:p>
            <w:pPr>
              <w:spacing w:line="240" w:lineRule="auto" w:after="0"/>
            </w:pPr>
            <w:r>
              <w:rPr>
                <w:rFonts w:ascii="Times New Roman" w:hAnsi="Times New Roman"/>
                <w:sz w:val="21"/>
              </w:rPr>
              <w:t>1 if the mother is married; 0 otherwise</w:t>
            </w:r>
          </w:p>
        </w:tc>
        <w:tc>
          <w:tcPr>
            <w:tcW w:type="dxa" w:w="3216"/>
            <w:vAlign w:val="center"/>
          </w:tcPr>
          <w:p>
            <w:pPr>
              <w:spacing w:line="240" w:lineRule="auto" w:after="0"/>
            </w:pPr>
            <w:r>
              <w:rPr>
                <w:rFonts w:ascii="Times New Roman" w:hAnsi="Times New Roman"/>
                <w:sz w:val="21"/>
              </w:rPr>
              <w:t>Control variable</w:t>
            </w:r>
          </w:p>
        </w:tc>
      </w:tr>
      <w:tr>
        <w:tc>
          <w:tcPr>
            <w:tcW w:type="dxa" w:w="3216"/>
            <w:vAlign w:val="center"/>
          </w:tcPr>
          <w:p>
            <w:pPr>
              <w:spacing w:line="240" w:lineRule="auto" w:after="0"/>
            </w:pPr>
            <w:r>
              <w:rPr>
                <w:rFonts w:ascii="Times New Roman" w:hAnsi="Times New Roman"/>
                <w:sz w:val="21"/>
              </w:rPr>
              <w:t>Boy</w:t>
            </w:r>
          </w:p>
        </w:tc>
        <w:tc>
          <w:tcPr>
            <w:tcW w:type="dxa" w:w="3216"/>
            <w:vAlign w:val="center"/>
          </w:tcPr>
          <w:p>
            <w:pPr>
              <w:spacing w:line="240" w:lineRule="auto" w:after="0"/>
            </w:pPr>
            <w:r>
              <w:rPr>
                <w:rFonts w:ascii="Times New Roman" w:hAnsi="Times New Roman"/>
                <w:sz w:val="21"/>
              </w:rPr>
              <w:t>1 if the infant is male; 0 otherwise</w:t>
            </w:r>
          </w:p>
        </w:tc>
        <w:tc>
          <w:tcPr>
            <w:tcW w:type="dxa" w:w="3216"/>
            <w:vAlign w:val="center"/>
          </w:tcPr>
          <w:p>
            <w:pPr>
              <w:spacing w:line="240" w:lineRule="auto" w:after="0"/>
            </w:pPr>
            <w:r>
              <w:rPr>
                <w:rFonts w:ascii="Times New Roman" w:hAnsi="Times New Roman"/>
                <w:sz w:val="21"/>
              </w:rPr>
              <w:t>Control variable</w:t>
            </w:r>
          </w:p>
        </w:tc>
      </w:tr>
    </w:tbl>
    <w:p>
      <w:pPr>
        <w:pStyle w:val="Heading1"/>
        <w:spacing w:after="80" w:before="0"/>
      </w:pPr>
      <w:r>
        <w:t>Econometric Specification</w:t>
      </w:r>
    </w:p>
    <w:p>
      <w:pPr>
        <w:spacing w:after="120" w:before="0" w:line="480" w:lineRule="auto"/>
      </w:pPr>
      <w:r>
        <w:t>The baseline model regresses birth weight on prenatal care, marital status, and infant sex. The same explanatory variables are then used in quantile regressions at τ = 0.10, 0.25, 0.50, 0.75, and 0.90.</w:t>
      </w:r>
    </w:p>
    <w:p>
      <w:pPr>
        <w:spacing w:after="160" w:before="0"/>
        <w:jc w:val="center"/>
      </w:pPr>
      <w:r>
        <w:rPr>
          <w:i/>
        </w:rPr>
        <w:t>Weightᵢ = β₀ + β₁PrenatalCareᵢ + β₂Marriedᵢ + β₃Boyᵢ + uᵢ</w:t>
      </w:r>
    </w:p>
    <w:p>
      <w:pPr>
        <w:spacing w:after="120" w:before="0" w:line="480" w:lineRule="auto"/>
      </w:pPr>
      <w:r>
        <w:t>Because prenatal-care participation is not randomly assigned, the prenatal-care indicator may be endogenous. Unobserved maternal health, income, education, smoking behavior, pregnancy risk, or healthcare access may affect both prenatal-care use and birth weight. Accordingly, the estimated prenatal-care coefficients are interpreted as conditional associations rather than automatically as causal effects.</w:t>
      </w:r>
    </w:p>
    <w:p>
      <w:pPr>
        <w:pStyle w:val="Heading1"/>
        <w:spacing w:after="80" w:before="0"/>
      </w:pPr>
      <w:r>
        <w:t>OLS Results</w:t>
      </w:r>
    </w:p>
    <w:p>
      <w:pPr>
        <w:spacing w:after="120" w:before="0" w:line="480" w:lineRule="auto"/>
      </w:pPr>
      <w:r>
        <w:t>The OLS model is estimated with heteroskedasticity-robust (HC1) standard errors. The estimated equation is:</w:t>
      </w:r>
    </w:p>
    <w:p>
      <w:pPr>
        <w:spacing w:after="160" w:before="0"/>
        <w:jc w:val="center"/>
      </w:pPr>
      <w:r>
        <w:t>Ŵeight = 3138.927 + 73.059 PrenatalCare + 101.362 Married + 124.357 Boy</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pPr>
              <w:spacing w:line="240" w:lineRule="auto" w:after="0"/>
            </w:pPr>
            <w:r>
              <w:rPr>
                <w:rFonts w:ascii="Times New Roman" w:hAnsi="Times New Roman"/>
                <w:b/>
                <w:sz w:val="20"/>
              </w:rPr>
              <w:t>Variable</w:t>
            </w:r>
          </w:p>
        </w:tc>
        <w:tc>
          <w:tcPr>
            <w:tcW w:type="dxa" w:w="1930"/>
          </w:tcPr>
          <w:p>
            <w:pPr>
              <w:spacing w:line="240" w:lineRule="auto" w:after="0"/>
            </w:pPr>
            <w:r>
              <w:rPr>
                <w:rFonts w:ascii="Times New Roman" w:hAnsi="Times New Roman"/>
                <w:b/>
                <w:sz w:val="20"/>
              </w:rPr>
              <w:t>Coefficient</w:t>
            </w:r>
          </w:p>
        </w:tc>
        <w:tc>
          <w:tcPr>
            <w:tcW w:type="dxa" w:w="1930"/>
          </w:tcPr>
          <w:p>
            <w:pPr>
              <w:spacing w:line="240" w:lineRule="auto" w:after="0"/>
            </w:pPr>
            <w:r>
              <w:rPr>
                <w:rFonts w:ascii="Times New Roman" w:hAnsi="Times New Roman"/>
                <w:b/>
                <w:sz w:val="20"/>
              </w:rPr>
              <w:t>HC1 SE</w:t>
            </w:r>
          </w:p>
        </w:tc>
        <w:tc>
          <w:tcPr>
            <w:tcW w:type="dxa" w:w="1930"/>
          </w:tcPr>
          <w:p>
            <w:pPr>
              <w:spacing w:line="240" w:lineRule="auto" w:after="0"/>
            </w:pPr>
            <w:r>
              <w:rPr>
                <w:rFonts w:ascii="Times New Roman" w:hAnsi="Times New Roman"/>
                <w:b/>
                <w:sz w:val="20"/>
              </w:rPr>
              <w:t>p-value</w:t>
            </w:r>
          </w:p>
        </w:tc>
        <w:tc>
          <w:tcPr>
            <w:tcW w:type="dxa" w:w="1930"/>
          </w:tcPr>
          <w:p>
            <w:pPr>
              <w:spacing w:line="240" w:lineRule="auto" w:after="0"/>
            </w:pPr>
            <w:r>
              <w:rPr>
                <w:rFonts w:ascii="Times New Roman" w:hAnsi="Times New Roman"/>
                <w:b/>
                <w:sz w:val="20"/>
              </w:rPr>
              <w:t>95% CI</w:t>
            </w:r>
          </w:p>
        </w:tc>
      </w:tr>
      <w:tr>
        <w:tc>
          <w:tcPr>
            <w:tcW w:type="dxa" w:w="1930"/>
          </w:tcPr>
          <w:p>
            <w:pPr>
              <w:spacing w:line="240" w:lineRule="auto" w:after="0"/>
            </w:pPr>
            <w:r>
              <w:rPr>
                <w:rFonts w:ascii="Times New Roman" w:hAnsi="Times New Roman"/>
                <w:sz w:val="20"/>
              </w:rPr>
              <w:t>Intercept</w:t>
            </w:r>
          </w:p>
        </w:tc>
        <w:tc>
          <w:tcPr>
            <w:tcW w:type="dxa" w:w="1930"/>
          </w:tcPr>
          <w:p>
            <w:pPr>
              <w:spacing w:line="240" w:lineRule="auto" w:after="0"/>
            </w:pPr>
            <w:r>
              <w:rPr>
                <w:rFonts w:ascii="Times New Roman" w:hAnsi="Times New Roman"/>
                <w:sz w:val="20"/>
              </w:rPr>
              <w:t>3138.927</w:t>
            </w:r>
          </w:p>
        </w:tc>
        <w:tc>
          <w:tcPr>
            <w:tcW w:type="dxa" w:w="1930"/>
          </w:tcPr>
          <w:p>
            <w:pPr>
              <w:spacing w:line="240" w:lineRule="auto" w:after="0"/>
            </w:pPr>
            <w:r>
              <w:rPr>
                <w:rFonts w:ascii="Times New Roman" w:hAnsi="Times New Roman"/>
                <w:sz w:val="20"/>
              </w:rPr>
              <w:t>15.328</w:t>
            </w:r>
          </w:p>
        </w:tc>
        <w:tc>
          <w:tcPr>
            <w:tcW w:type="dxa" w:w="1930"/>
          </w:tcPr>
          <w:p>
            <w:pPr>
              <w:spacing w:line="240" w:lineRule="auto" w:after="0"/>
            </w:pPr>
            <w:r>
              <w:rPr>
                <w:rFonts w:ascii="Times New Roman" w:hAnsi="Times New Roman"/>
                <w:sz w:val="20"/>
              </w:rPr>
              <w:t>&lt;0.001</w:t>
            </w:r>
          </w:p>
        </w:tc>
        <w:tc>
          <w:tcPr>
            <w:tcW w:type="dxa" w:w="1930"/>
          </w:tcPr>
          <w:p>
            <w:pPr>
              <w:spacing w:line="240" w:lineRule="auto" w:after="0"/>
            </w:pPr>
            <w:r>
              <w:rPr>
                <w:rFonts w:ascii="Times New Roman" w:hAnsi="Times New Roman"/>
                <w:sz w:val="20"/>
              </w:rPr>
              <w:t>[3108.885, 3168.969]</w:t>
            </w:r>
          </w:p>
        </w:tc>
      </w:tr>
      <w:tr>
        <w:tc>
          <w:tcPr>
            <w:tcW w:type="dxa" w:w="1930"/>
          </w:tcPr>
          <w:p>
            <w:pPr>
              <w:spacing w:line="240" w:lineRule="auto" w:after="0"/>
            </w:pPr>
            <w:r>
              <w:rPr>
                <w:rFonts w:ascii="Times New Roman" w:hAnsi="Times New Roman"/>
                <w:sz w:val="20"/>
              </w:rPr>
              <w:t>PrenatalCare</w:t>
            </w:r>
          </w:p>
        </w:tc>
        <w:tc>
          <w:tcPr>
            <w:tcW w:type="dxa" w:w="1930"/>
          </w:tcPr>
          <w:p>
            <w:pPr>
              <w:spacing w:line="240" w:lineRule="auto" w:after="0"/>
            </w:pPr>
            <w:r>
              <w:rPr>
                <w:rFonts w:ascii="Times New Roman" w:hAnsi="Times New Roman"/>
                <w:sz w:val="20"/>
              </w:rPr>
              <w:t>73.059</w:t>
            </w:r>
          </w:p>
        </w:tc>
        <w:tc>
          <w:tcPr>
            <w:tcW w:type="dxa" w:w="1930"/>
          </w:tcPr>
          <w:p>
            <w:pPr>
              <w:spacing w:line="240" w:lineRule="auto" w:after="0"/>
            </w:pPr>
            <w:r>
              <w:rPr>
                <w:rFonts w:ascii="Times New Roman" w:hAnsi="Times New Roman"/>
                <w:sz w:val="20"/>
              </w:rPr>
              <w:t>14.620</w:t>
            </w:r>
          </w:p>
        </w:tc>
        <w:tc>
          <w:tcPr>
            <w:tcW w:type="dxa" w:w="1930"/>
          </w:tcPr>
          <w:p>
            <w:pPr>
              <w:spacing w:line="240" w:lineRule="auto" w:after="0"/>
            </w:pPr>
            <w:r>
              <w:rPr>
                <w:rFonts w:ascii="Times New Roman" w:hAnsi="Times New Roman"/>
                <w:sz w:val="20"/>
              </w:rPr>
              <w:t>&lt;0.001</w:t>
            </w:r>
          </w:p>
        </w:tc>
        <w:tc>
          <w:tcPr>
            <w:tcW w:type="dxa" w:w="1930"/>
          </w:tcPr>
          <w:p>
            <w:pPr>
              <w:spacing w:line="240" w:lineRule="auto" w:after="0"/>
            </w:pPr>
            <w:r>
              <w:rPr>
                <w:rFonts w:ascii="Times New Roman" w:hAnsi="Times New Roman"/>
                <w:sz w:val="20"/>
              </w:rPr>
              <w:t>[44.403, 101.714]</w:t>
            </w:r>
          </w:p>
        </w:tc>
      </w:tr>
      <w:tr>
        <w:tc>
          <w:tcPr>
            <w:tcW w:type="dxa" w:w="1930"/>
          </w:tcPr>
          <w:p>
            <w:pPr>
              <w:spacing w:line="240" w:lineRule="auto" w:after="0"/>
            </w:pPr>
            <w:r>
              <w:rPr>
                <w:rFonts w:ascii="Times New Roman" w:hAnsi="Times New Roman"/>
                <w:sz w:val="20"/>
              </w:rPr>
              <w:t>Married</w:t>
            </w:r>
          </w:p>
        </w:tc>
        <w:tc>
          <w:tcPr>
            <w:tcW w:type="dxa" w:w="1930"/>
          </w:tcPr>
          <w:p>
            <w:pPr>
              <w:spacing w:line="240" w:lineRule="auto" w:after="0"/>
            </w:pPr>
            <w:r>
              <w:rPr>
                <w:rFonts w:ascii="Times New Roman" w:hAnsi="Times New Roman"/>
                <w:sz w:val="20"/>
              </w:rPr>
              <w:t>101.362</w:t>
            </w:r>
          </w:p>
        </w:tc>
        <w:tc>
          <w:tcPr>
            <w:tcW w:type="dxa" w:w="1930"/>
          </w:tcPr>
          <w:p>
            <w:pPr>
              <w:spacing w:line="240" w:lineRule="auto" w:after="0"/>
            </w:pPr>
            <w:r>
              <w:rPr>
                <w:rFonts w:ascii="Times New Roman" w:hAnsi="Times New Roman"/>
                <w:sz w:val="20"/>
              </w:rPr>
              <w:t>12.602</w:t>
            </w:r>
          </w:p>
        </w:tc>
        <w:tc>
          <w:tcPr>
            <w:tcW w:type="dxa" w:w="1930"/>
          </w:tcPr>
          <w:p>
            <w:pPr>
              <w:spacing w:line="240" w:lineRule="auto" w:after="0"/>
            </w:pPr>
            <w:r>
              <w:rPr>
                <w:rFonts w:ascii="Times New Roman" w:hAnsi="Times New Roman"/>
                <w:sz w:val="20"/>
              </w:rPr>
              <w:t>&lt;0.001</w:t>
            </w:r>
          </w:p>
        </w:tc>
        <w:tc>
          <w:tcPr>
            <w:tcW w:type="dxa" w:w="1930"/>
          </w:tcPr>
          <w:p>
            <w:pPr>
              <w:spacing w:line="240" w:lineRule="auto" w:after="0"/>
            </w:pPr>
            <w:r>
              <w:rPr>
                <w:rFonts w:ascii="Times New Roman" w:hAnsi="Times New Roman"/>
                <w:sz w:val="20"/>
              </w:rPr>
              <w:t>[76.662, 126.062]</w:t>
            </w:r>
          </w:p>
        </w:tc>
      </w:tr>
      <w:tr>
        <w:tc>
          <w:tcPr>
            <w:tcW w:type="dxa" w:w="1930"/>
          </w:tcPr>
          <w:p>
            <w:pPr>
              <w:spacing w:line="240" w:lineRule="auto" w:after="0"/>
            </w:pPr>
            <w:r>
              <w:rPr>
                <w:rFonts w:ascii="Times New Roman" w:hAnsi="Times New Roman"/>
                <w:sz w:val="20"/>
              </w:rPr>
              <w:t>Boy</w:t>
            </w:r>
          </w:p>
        </w:tc>
        <w:tc>
          <w:tcPr>
            <w:tcW w:type="dxa" w:w="1930"/>
          </w:tcPr>
          <w:p>
            <w:pPr>
              <w:spacing w:line="240" w:lineRule="auto" w:after="0"/>
            </w:pPr>
            <w:r>
              <w:rPr>
                <w:rFonts w:ascii="Times New Roman" w:hAnsi="Times New Roman"/>
                <w:sz w:val="20"/>
              </w:rPr>
              <w:t>124.357</w:t>
            </w:r>
          </w:p>
        </w:tc>
        <w:tc>
          <w:tcPr>
            <w:tcW w:type="dxa" w:w="1930"/>
          </w:tcPr>
          <w:p>
            <w:pPr>
              <w:spacing w:line="240" w:lineRule="auto" w:after="0"/>
            </w:pPr>
            <w:r>
              <w:rPr>
                <w:rFonts w:ascii="Times New Roman" w:hAnsi="Times New Roman"/>
                <w:sz w:val="20"/>
              </w:rPr>
              <w:t>11.936</w:t>
            </w:r>
          </w:p>
        </w:tc>
        <w:tc>
          <w:tcPr>
            <w:tcW w:type="dxa" w:w="1930"/>
          </w:tcPr>
          <w:p>
            <w:pPr>
              <w:spacing w:line="240" w:lineRule="auto" w:after="0"/>
            </w:pPr>
            <w:r>
              <w:rPr>
                <w:rFonts w:ascii="Times New Roman" w:hAnsi="Times New Roman"/>
                <w:sz w:val="20"/>
              </w:rPr>
              <w:t>&lt;0.001</w:t>
            </w:r>
          </w:p>
        </w:tc>
        <w:tc>
          <w:tcPr>
            <w:tcW w:type="dxa" w:w="1930"/>
          </w:tcPr>
          <w:p>
            <w:pPr>
              <w:spacing w:line="240" w:lineRule="auto" w:after="0"/>
            </w:pPr>
            <w:r>
              <w:rPr>
                <w:rFonts w:ascii="Times New Roman" w:hAnsi="Times New Roman"/>
                <w:sz w:val="20"/>
              </w:rPr>
              <w:t>[100.963, 147.752]</w:t>
            </w:r>
          </w:p>
        </w:tc>
      </w:tr>
    </w:tbl>
    <w:p>
      <w:pPr>
        <w:spacing w:after="120" w:before="0" w:line="480" w:lineRule="auto"/>
      </w:pPr>
      <w:r>
        <w:t>Holding marital status and infant sex constant, first-trimester prenatal care is associated with approximately 73 grams higher birth weight on average. The model R² is 0.023, indicating that the included regressors explain about 2.3% of the cross-sectional variation in birth weight.</w:t>
      </w:r>
    </w:p>
    <w:p>
      <w:pPr>
        <w:pStyle w:val="Heading1"/>
        <w:spacing w:after="80" w:before="0"/>
      </w:pPr>
      <w:r>
        <w:t>Quantile Regression Results</w:t>
      </w:r>
    </w:p>
    <w:p>
      <w:pPr>
        <w:spacing w:after="120" w:before="0" w:line="480" w:lineRule="auto"/>
      </w:pPr>
      <w:r>
        <w:t>Quantile regression reveals how the conditional relationship varies across the birth-weight distribution.</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pPr>
              <w:spacing w:line="240" w:lineRule="auto" w:after="0"/>
            </w:pPr>
            <w:r>
              <w:rPr>
                <w:rFonts w:ascii="Times New Roman" w:hAnsi="Times New Roman"/>
                <w:b/>
                <w:sz w:val="20"/>
              </w:rPr>
              <w:t>Quantile (τ)</w:t>
            </w:r>
          </w:p>
        </w:tc>
        <w:tc>
          <w:tcPr>
            <w:tcW w:type="dxa" w:w="1930"/>
          </w:tcPr>
          <w:p>
            <w:pPr>
              <w:spacing w:line="240" w:lineRule="auto" w:after="0"/>
            </w:pPr>
            <w:r>
              <w:rPr>
                <w:rFonts w:ascii="Times New Roman" w:hAnsi="Times New Roman"/>
                <w:b/>
                <w:sz w:val="20"/>
              </w:rPr>
              <w:t>Intercept</w:t>
            </w:r>
          </w:p>
        </w:tc>
        <w:tc>
          <w:tcPr>
            <w:tcW w:type="dxa" w:w="1930"/>
          </w:tcPr>
          <w:p>
            <w:pPr>
              <w:spacing w:line="240" w:lineRule="auto" w:after="0"/>
            </w:pPr>
            <w:r>
              <w:rPr>
                <w:rFonts w:ascii="Times New Roman" w:hAnsi="Times New Roman"/>
                <w:b/>
                <w:sz w:val="20"/>
              </w:rPr>
              <w:t>PrenatalCare</w:t>
            </w:r>
          </w:p>
        </w:tc>
        <w:tc>
          <w:tcPr>
            <w:tcW w:type="dxa" w:w="1930"/>
          </w:tcPr>
          <w:p>
            <w:pPr>
              <w:spacing w:line="240" w:lineRule="auto" w:after="0"/>
            </w:pPr>
            <w:r>
              <w:rPr>
                <w:rFonts w:ascii="Times New Roman" w:hAnsi="Times New Roman"/>
                <w:b/>
                <w:sz w:val="20"/>
              </w:rPr>
              <w:t>Married</w:t>
            </w:r>
          </w:p>
        </w:tc>
        <w:tc>
          <w:tcPr>
            <w:tcW w:type="dxa" w:w="1930"/>
          </w:tcPr>
          <w:p>
            <w:pPr>
              <w:spacing w:line="240" w:lineRule="auto" w:after="0"/>
            </w:pPr>
            <w:r>
              <w:rPr>
                <w:rFonts w:ascii="Times New Roman" w:hAnsi="Times New Roman"/>
                <w:b/>
                <w:sz w:val="20"/>
              </w:rPr>
              <w:t>Boy</w:t>
            </w:r>
          </w:p>
        </w:tc>
      </w:tr>
      <w:tr>
        <w:tc>
          <w:tcPr>
            <w:tcW w:type="dxa" w:w="1930"/>
          </w:tcPr>
          <w:p>
            <w:pPr>
              <w:spacing w:line="240" w:lineRule="auto" w:after="0"/>
            </w:pPr>
            <w:r>
              <w:rPr>
                <w:rFonts w:ascii="Times New Roman" w:hAnsi="Times New Roman"/>
                <w:sz w:val="20"/>
              </w:rPr>
              <w:t>0.10</w:t>
            </w:r>
          </w:p>
        </w:tc>
        <w:tc>
          <w:tcPr>
            <w:tcW w:type="dxa" w:w="1930"/>
          </w:tcPr>
          <w:p>
            <w:pPr>
              <w:spacing w:line="240" w:lineRule="auto" w:after="0"/>
            </w:pPr>
            <w:r>
              <w:rPr>
                <w:rFonts w:ascii="Times New Roman" w:hAnsi="Times New Roman"/>
                <w:sz w:val="20"/>
              </w:rPr>
              <w:t>2509</w:t>
            </w:r>
          </w:p>
        </w:tc>
        <w:tc>
          <w:tcPr>
            <w:tcW w:type="dxa" w:w="1930"/>
          </w:tcPr>
          <w:p>
            <w:pPr>
              <w:spacing w:line="240" w:lineRule="auto" w:after="0"/>
            </w:pPr>
            <w:r>
              <w:rPr>
                <w:rFonts w:ascii="Times New Roman" w:hAnsi="Times New Roman"/>
                <w:sz w:val="20"/>
              </w:rPr>
              <w:t>80</w:t>
            </w:r>
          </w:p>
        </w:tc>
        <w:tc>
          <w:tcPr>
            <w:tcW w:type="dxa" w:w="1930"/>
          </w:tcPr>
          <w:p>
            <w:pPr>
              <w:spacing w:line="240" w:lineRule="auto" w:after="0"/>
            </w:pPr>
            <w:r>
              <w:rPr>
                <w:rFonts w:ascii="Times New Roman" w:hAnsi="Times New Roman"/>
                <w:sz w:val="20"/>
              </w:rPr>
              <w:t>133</w:t>
            </w:r>
          </w:p>
        </w:tc>
        <w:tc>
          <w:tcPr>
            <w:tcW w:type="dxa" w:w="1930"/>
          </w:tcPr>
          <w:p>
            <w:pPr>
              <w:spacing w:line="240" w:lineRule="auto" w:after="0"/>
            </w:pPr>
            <w:r>
              <w:rPr>
                <w:rFonts w:ascii="Times New Roman" w:hAnsi="Times New Roman"/>
                <w:sz w:val="20"/>
              </w:rPr>
              <w:t>85</w:t>
            </w:r>
          </w:p>
        </w:tc>
      </w:tr>
      <w:tr>
        <w:tc>
          <w:tcPr>
            <w:tcW w:type="dxa" w:w="1930"/>
          </w:tcPr>
          <w:p>
            <w:pPr>
              <w:spacing w:line="240" w:lineRule="auto" w:after="0"/>
            </w:pPr>
            <w:r>
              <w:rPr>
                <w:rFonts w:ascii="Times New Roman" w:hAnsi="Times New Roman"/>
                <w:sz w:val="20"/>
              </w:rPr>
              <w:t>0.25</w:t>
            </w:r>
          </w:p>
        </w:tc>
        <w:tc>
          <w:tcPr>
            <w:tcW w:type="dxa" w:w="1930"/>
          </w:tcPr>
          <w:p>
            <w:pPr>
              <w:spacing w:line="240" w:lineRule="auto" w:after="0"/>
            </w:pPr>
            <w:r>
              <w:rPr>
                <w:rFonts w:ascii="Times New Roman" w:hAnsi="Times New Roman"/>
                <w:sz w:val="20"/>
              </w:rPr>
              <w:t>2855</w:t>
            </w:r>
          </w:p>
        </w:tc>
        <w:tc>
          <w:tcPr>
            <w:tcW w:type="dxa" w:w="1930"/>
          </w:tcPr>
          <w:p>
            <w:pPr>
              <w:spacing w:line="240" w:lineRule="auto" w:after="0"/>
            </w:pPr>
            <w:r>
              <w:rPr>
                <w:rFonts w:ascii="Times New Roman" w:hAnsi="Times New Roman"/>
                <w:sz w:val="20"/>
              </w:rPr>
              <w:t>75</w:t>
            </w:r>
          </w:p>
        </w:tc>
        <w:tc>
          <w:tcPr>
            <w:tcW w:type="dxa" w:w="1930"/>
          </w:tcPr>
          <w:p>
            <w:pPr>
              <w:spacing w:line="240" w:lineRule="auto" w:after="0"/>
            </w:pPr>
            <w:r>
              <w:rPr>
                <w:rFonts w:ascii="Times New Roman" w:hAnsi="Times New Roman"/>
                <w:sz w:val="20"/>
              </w:rPr>
              <w:t>100</w:t>
            </w:r>
          </w:p>
        </w:tc>
        <w:tc>
          <w:tcPr>
            <w:tcW w:type="dxa" w:w="1930"/>
          </w:tcPr>
          <w:p>
            <w:pPr>
              <w:spacing w:line="240" w:lineRule="auto" w:after="0"/>
            </w:pPr>
            <w:r>
              <w:rPr>
                <w:rFonts w:ascii="Times New Roman" w:hAnsi="Times New Roman"/>
                <w:sz w:val="20"/>
              </w:rPr>
              <w:t>95</w:t>
            </w:r>
          </w:p>
        </w:tc>
      </w:tr>
      <w:tr>
        <w:tc>
          <w:tcPr>
            <w:tcW w:type="dxa" w:w="1930"/>
          </w:tcPr>
          <w:p>
            <w:pPr>
              <w:spacing w:line="240" w:lineRule="auto" w:after="0"/>
            </w:pPr>
            <w:r>
              <w:rPr>
                <w:rFonts w:ascii="Times New Roman" w:hAnsi="Times New Roman"/>
                <w:sz w:val="20"/>
              </w:rPr>
              <w:t>0.50</w:t>
            </w:r>
          </w:p>
        </w:tc>
        <w:tc>
          <w:tcPr>
            <w:tcW w:type="dxa" w:w="1930"/>
          </w:tcPr>
          <w:p>
            <w:pPr>
              <w:spacing w:line="240" w:lineRule="auto" w:after="0"/>
            </w:pPr>
            <w:r>
              <w:rPr>
                <w:rFonts w:ascii="Times New Roman" w:hAnsi="Times New Roman"/>
                <w:sz w:val="20"/>
              </w:rPr>
              <w:t>3174</w:t>
            </w:r>
          </w:p>
        </w:tc>
        <w:tc>
          <w:tcPr>
            <w:tcW w:type="dxa" w:w="1930"/>
          </w:tcPr>
          <w:p>
            <w:pPr>
              <w:spacing w:line="240" w:lineRule="auto" w:after="0"/>
            </w:pPr>
            <w:r>
              <w:rPr>
                <w:rFonts w:ascii="Times New Roman" w:hAnsi="Times New Roman"/>
                <w:sz w:val="20"/>
              </w:rPr>
              <w:t>57</w:t>
            </w:r>
          </w:p>
        </w:tc>
        <w:tc>
          <w:tcPr>
            <w:tcW w:type="dxa" w:w="1930"/>
          </w:tcPr>
          <w:p>
            <w:pPr>
              <w:spacing w:line="240" w:lineRule="auto" w:after="0"/>
            </w:pPr>
            <w:r>
              <w:rPr>
                <w:rFonts w:ascii="Times New Roman" w:hAnsi="Times New Roman"/>
                <w:sz w:val="20"/>
              </w:rPr>
              <w:t>86</w:t>
            </w:r>
          </w:p>
        </w:tc>
        <w:tc>
          <w:tcPr>
            <w:tcW w:type="dxa" w:w="1930"/>
          </w:tcPr>
          <w:p>
            <w:pPr>
              <w:spacing w:line="240" w:lineRule="auto" w:after="0"/>
            </w:pPr>
            <w:r>
              <w:rPr>
                <w:rFonts w:ascii="Times New Roman" w:hAnsi="Times New Roman"/>
                <w:sz w:val="20"/>
              </w:rPr>
              <w:t>125</w:t>
            </w:r>
          </w:p>
        </w:tc>
      </w:tr>
      <w:tr>
        <w:tc>
          <w:tcPr>
            <w:tcW w:type="dxa" w:w="1930"/>
          </w:tcPr>
          <w:p>
            <w:pPr>
              <w:spacing w:line="240" w:lineRule="auto" w:after="0"/>
            </w:pPr>
            <w:r>
              <w:rPr>
                <w:rFonts w:ascii="Times New Roman" w:hAnsi="Times New Roman"/>
                <w:sz w:val="20"/>
              </w:rPr>
              <w:t>0.75</w:t>
            </w:r>
          </w:p>
        </w:tc>
        <w:tc>
          <w:tcPr>
            <w:tcW w:type="dxa" w:w="1930"/>
          </w:tcPr>
          <w:p>
            <w:pPr>
              <w:spacing w:line="240" w:lineRule="auto" w:after="0"/>
            </w:pPr>
            <w:r>
              <w:rPr>
                <w:rFonts w:ascii="Times New Roman" w:hAnsi="Times New Roman"/>
                <w:sz w:val="20"/>
              </w:rPr>
              <w:t>3487</w:t>
            </w:r>
          </w:p>
        </w:tc>
        <w:tc>
          <w:tcPr>
            <w:tcW w:type="dxa" w:w="1930"/>
          </w:tcPr>
          <w:p>
            <w:pPr>
              <w:spacing w:line="240" w:lineRule="auto" w:after="0"/>
            </w:pPr>
            <w:r>
              <w:rPr>
                <w:rFonts w:ascii="Times New Roman" w:hAnsi="Times New Roman"/>
                <w:sz w:val="20"/>
              </w:rPr>
              <w:t>59</w:t>
            </w:r>
          </w:p>
        </w:tc>
        <w:tc>
          <w:tcPr>
            <w:tcW w:type="dxa" w:w="1930"/>
          </w:tcPr>
          <w:p>
            <w:pPr>
              <w:spacing w:line="240" w:lineRule="auto" w:after="0"/>
            </w:pPr>
            <w:r>
              <w:rPr>
                <w:rFonts w:ascii="Times New Roman" w:hAnsi="Times New Roman"/>
                <w:sz w:val="20"/>
              </w:rPr>
              <w:t>83</w:t>
            </w:r>
          </w:p>
        </w:tc>
        <w:tc>
          <w:tcPr>
            <w:tcW w:type="dxa" w:w="1930"/>
          </w:tcPr>
          <w:p>
            <w:pPr>
              <w:spacing w:line="240" w:lineRule="auto" w:after="0"/>
            </w:pPr>
            <w:r>
              <w:rPr>
                <w:rFonts w:ascii="Times New Roman" w:hAnsi="Times New Roman"/>
                <w:sz w:val="20"/>
              </w:rPr>
              <w:t>142</w:t>
            </w:r>
          </w:p>
        </w:tc>
      </w:tr>
      <w:tr>
        <w:tc>
          <w:tcPr>
            <w:tcW w:type="dxa" w:w="1930"/>
          </w:tcPr>
          <w:p>
            <w:pPr>
              <w:spacing w:line="240" w:lineRule="auto" w:after="0"/>
            </w:pPr>
            <w:r>
              <w:rPr>
                <w:rFonts w:ascii="Times New Roman" w:hAnsi="Times New Roman"/>
                <w:sz w:val="20"/>
              </w:rPr>
              <w:t>0.90</w:t>
            </w:r>
          </w:p>
        </w:tc>
        <w:tc>
          <w:tcPr>
            <w:tcW w:type="dxa" w:w="1930"/>
          </w:tcPr>
          <w:p>
            <w:pPr>
              <w:spacing w:line="240" w:lineRule="auto" w:after="0"/>
            </w:pPr>
            <w:r>
              <w:rPr>
                <w:rFonts w:ascii="Times New Roman" w:hAnsi="Times New Roman"/>
                <w:sz w:val="20"/>
              </w:rPr>
              <w:t>3771</w:t>
            </w:r>
          </w:p>
        </w:tc>
        <w:tc>
          <w:tcPr>
            <w:tcW w:type="dxa" w:w="1930"/>
          </w:tcPr>
          <w:p>
            <w:pPr>
              <w:spacing w:line="240" w:lineRule="auto" w:after="0"/>
            </w:pPr>
            <w:r>
              <w:rPr>
                <w:rFonts w:ascii="Times New Roman" w:hAnsi="Times New Roman"/>
                <w:sz w:val="20"/>
              </w:rPr>
              <w:t>54</w:t>
            </w:r>
          </w:p>
        </w:tc>
        <w:tc>
          <w:tcPr>
            <w:tcW w:type="dxa" w:w="1930"/>
          </w:tcPr>
          <w:p>
            <w:pPr>
              <w:spacing w:line="240" w:lineRule="auto" w:after="0"/>
            </w:pPr>
            <w:r>
              <w:rPr>
                <w:rFonts w:ascii="Times New Roman" w:hAnsi="Times New Roman"/>
                <w:sz w:val="20"/>
              </w:rPr>
              <w:t>87</w:t>
            </w:r>
          </w:p>
        </w:tc>
        <w:tc>
          <w:tcPr>
            <w:tcW w:type="dxa" w:w="1930"/>
          </w:tcPr>
          <w:p>
            <w:pPr>
              <w:spacing w:line="240" w:lineRule="auto" w:after="0"/>
            </w:pPr>
            <w:r>
              <w:rPr>
                <w:rFonts w:ascii="Times New Roman" w:hAnsi="Times New Roman"/>
                <w:sz w:val="20"/>
              </w:rPr>
              <w:t>158</w:t>
            </w:r>
          </w:p>
        </w:tc>
      </w:tr>
    </w:tbl>
    <w:p>
      <w:pPr>
        <w:spacing w:after="120" w:before="0" w:line="480" w:lineRule="auto"/>
      </w:pPr>
      <w:r>
        <w:t>The prenatal-care coefficient is positive at every estimated quantile. It is approximately 80 grams at the 10th percentile, 75 grams at the 25th percentile, 57 grams at the median, 59 grams at the 75th percentile, and 54 grams at the 90th percentile. The pattern suggests a somewhat larger association in the lower portion of the conditional birth-weight distribution.</w:t>
      </w:r>
    </w:p>
    <w:p>
      <w:pPr>
        <w:spacing w:after="120" w:before="0" w:line="480" w:lineRule="auto"/>
      </w:pPr>
      <w:r>
        <w:t>The coefficient on Married generally declines as the quantile increases, while the coefficient on Boy rises substantially from about 85 grams at the 10th percentile to about 158 grams at the 90th percentile.</w:t>
      </w:r>
    </w:p>
    <w:p>
      <w:pPr>
        <w:pStyle w:val="Heading1"/>
        <w:spacing w:after="80" w:before="0"/>
      </w:pPr>
      <w:r>
        <w:t>Distributional Interpretation</w:t>
      </w:r>
    </w:p>
    <w:p>
      <w:pPr>
        <w:spacing w:after="120" w:before="0" w:line="480" w:lineRule="auto"/>
      </w:pPr>
      <w:r>
        <w:t>The intercept at each quantile describes the conditional birth-weight distribution for the reference group: female babies born to unmarried mothers who did not receive first-trimester prenatal care.</w:t>
      </w:r>
    </w:p>
    <w:p>
      <w:pPr>
        <w:spacing w:after="120" w:before="0" w:line="480" w:lineRule="auto"/>
      </w:pPr>
      <w:r>
        <w:t>For this reference group, the estimated birth-weight quantiles are 2509, 2855, 3174, 3487, and 3771 grams. Adding the prenatal-care coefficient at each quantile gives the counterfactual prenatal-care distribution: 2589, 2930, 3231, 3546, and 3825 grams.</w:t>
      </w:r>
    </w:p>
    <w:p>
      <w:pPr>
        <w:spacing w:after="120" w:before="0" w:line="480" w:lineRule="auto"/>
      </w:pPr>
      <w:r>
        <w:t>The counterfactual CDF is shifted to the right relative to the no-prenatal-care CDF at the reported quantiles, indicating an estimated association between prenatal care and higher birth weight throughout the distribution.</w:t>
      </w:r>
    </w:p>
    <w:p>
      <w:pPr>
        <w:pStyle w:val="Heading1"/>
        <w:spacing w:after="80" w:before="0"/>
      </w:pPr>
      <w:r>
        <w:t>Policy Interpretation</w:t>
      </w:r>
    </w:p>
    <w:p>
      <w:pPr>
        <w:spacing w:after="120" w:before="0" w:line="480" w:lineRule="auto"/>
      </w:pPr>
      <w:r>
        <w:t>The results indicate a positive association between early prenatal care and birth weight across the conditional distribution. The estimated association is somewhat larger at lower quantiles, which may be relevant when considering policies designed to improve outcomes for infants at greater risk of low birth weight.</w:t>
      </w:r>
    </w:p>
    <w:p>
      <w:pPr>
        <w:spacing w:after="120" w:before="0" w:line="480" w:lineRule="auto"/>
      </w:pPr>
      <w:r>
        <w:t>Policies that reduce barriers to early prenatal care—such as cost, transportation, information, or provider access—could be consistent with improved infant health outcomes. However, the observational nature of the data and the potential endogeneity of prenatal-care use mean that the estimates should not be interpreted as definitive causal effects.</w:t>
      </w:r>
    </w:p>
    <w:p>
      <w:pPr>
        <w:pStyle w:val="Heading1"/>
        <w:spacing w:after="80" w:before="0"/>
      </w:pPr>
      <w:r>
        <w:t>Project Outputs</w:t>
      </w:r>
    </w:p>
    <w:p>
      <w:pPr>
        <w:spacing w:after="40" w:before="0" w:line="480" w:lineRule="auto"/>
      </w:pPr>
      <w:r>
        <w:rPr>
          <w:b/>
        </w:rPr>
        <w:t>quantile_intercept.png</w:t>
      </w:r>
      <w:r>
        <w:t xml:space="preserve"> — Intercept estimates across the selected conditional quantiles.</w:t>
      </w:r>
    </w:p>
    <w:p>
      <w:pPr>
        <w:spacing w:after="40" w:before="0" w:line="480" w:lineRule="auto"/>
      </w:pPr>
      <w:r>
        <w:rPr>
          <w:b/>
        </w:rPr>
        <w:t>quantile_slope_coefficients.png</w:t>
      </w:r>
      <w:r>
        <w:t xml:space="preserve"> — PrenatalCare, Married, and Boy coefficients across quantiles.</w:t>
      </w:r>
    </w:p>
    <w:p>
      <w:pPr>
        <w:spacing w:after="40" w:before="0" w:line="480" w:lineRule="auto"/>
      </w:pPr>
      <w:r>
        <w:rPr>
          <w:b/>
        </w:rPr>
        <w:t>birthweight_cdf_prenatalcare.png</w:t>
      </w:r>
      <w:r>
        <w:t xml:space="preserve"> — Estimated CDF comparison for the reference group with and without prenatal care.</w:t>
      </w:r>
    </w:p>
    <w:p>
      <w:pPr>
        <w:spacing w:after="40" w:before="0" w:line="480" w:lineRule="auto"/>
      </w:pPr>
      <w:r>
        <w:rPr>
          <w:b/>
        </w:rPr>
        <w:t>quantile_regression.py</w:t>
      </w:r>
      <w:r>
        <w:t xml:space="preserve"> — Python script used for data conversion, OLS estimation, quantile regression, and figures.</w:t>
      </w:r>
    </w:p>
    <w:p>
      <w:pPr>
        <w:spacing w:after="40" w:before="0" w:line="480" w:lineRule="auto"/>
      </w:pPr>
      <w:r>
        <w:rPr>
          <w:b/>
        </w:rPr>
        <w:t>Bwght.csv</w:t>
      </w:r>
      <w:r>
        <w:t xml:space="preserve"> — CSV version of the birth-weight dataset used in the Python analysis.</w:t>
      </w:r>
    </w:p>
    <w:p>
      <w:pPr>
        <w:spacing w:after="40" w:before="0" w:line="480" w:lineRule="auto"/>
      </w:pPr>
      <w:r>
        <w:rPr>
          <w:b/>
        </w:rPr>
        <w:t>PS3.pdf</w:t>
      </w:r>
      <w:r>
        <w:t xml:space="preserve"> — Original problem set instructions.</w:t>
      </w:r>
    </w:p>
    <w:p>
      <w:pPr>
        <w:pStyle w:val="Heading1"/>
        <w:spacing w:after="80" w:before="0"/>
      </w:pPr>
      <w:r>
        <w:t>How to Run</w:t>
      </w:r>
    </w:p>
    <w:p>
      <w:pPr>
        <w:spacing w:after="120" w:before="0" w:line="480" w:lineRule="auto"/>
      </w:pPr>
      <w:r>
        <w:t>Place Bwght.csv and quantile_regression.py in the same folder. Install the required Python packages (pandas, statsmodels, matplotlib, and pyreadr if conversion from the original RData file is needed), then run the Python script from the project directory.</w:t>
      </w:r>
    </w:p>
    <w:p>
      <w:pPr>
        <w:pStyle w:val="Heading1"/>
        <w:spacing w:after="80" w:before="0"/>
      </w:pPr>
      <w:r>
        <w:t>Methods Demonstrated</w:t>
      </w:r>
    </w:p>
    <w:p>
      <w:pPr>
        <w:pStyle w:val="ListBullet"/>
        <w:spacing w:line="480" w:lineRule="auto" w:after="40"/>
      </w:pPr>
      <w:r>
        <w:t>Data conversion from RData to CSV for Python-based analysis</w:t>
      </w:r>
    </w:p>
    <w:p>
      <w:pPr>
        <w:pStyle w:val="ListBullet"/>
        <w:spacing w:line="480" w:lineRule="auto" w:after="40"/>
      </w:pPr>
      <w:r>
        <w:t>OLS estimation with heteroskedasticity-robust (HC1) standard errors</w:t>
      </w:r>
    </w:p>
    <w:p>
      <w:pPr>
        <w:pStyle w:val="ListBullet"/>
        <w:spacing w:line="480" w:lineRule="auto" w:after="40"/>
      </w:pPr>
      <w:r>
        <w:t>Quantile regression at multiple conditional quantiles</w:t>
      </w:r>
    </w:p>
    <w:p>
      <w:pPr>
        <w:pStyle w:val="ListBullet"/>
        <w:spacing w:line="480" w:lineRule="auto" w:after="40"/>
      </w:pPr>
      <w:r>
        <w:t>Economic interpretation of coefficient heterogeneity</w:t>
      </w:r>
    </w:p>
    <w:p>
      <w:pPr>
        <w:pStyle w:val="ListBullet"/>
        <w:spacing w:line="480" w:lineRule="auto" w:after="40"/>
      </w:pPr>
      <w:r>
        <w:t>Construction and interpretation of conditional CDF comparisons</w:t>
      </w:r>
    </w:p>
    <w:p>
      <w:pPr>
        <w:pStyle w:val="ListBullet"/>
        <w:spacing w:line="480" w:lineRule="auto" w:after="40"/>
      </w:pPr>
      <w:r>
        <w:t>Reproducible Python workflow and publication-ready figures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