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jc w:val="center"/>
      </w:pPr>
      <w:r>
        <w:rPr>
          <w:b/>
          <w:bCs/>
          <w:sz w:val="44"/>
          <w:szCs w:val="44"/>
        </w:rPr>
        <w:t xml:space="preserve">PoisonGuard-RAG</w:t>
      </w:r>
    </w:p>
    <w:p>
      <w:pPr>
        <w:spacing w:after="40"/>
        <w:jc w:val="center"/>
      </w:pPr>
      <w:r>
        <w:rPr>
          <w:b/>
          <w:bCs/>
          <w:sz w:val="30"/>
          <w:szCs w:val="30"/>
        </w:rPr>
        <w:t xml:space="preserve">A Fast, Verification-Aware Defense Against Corpus Poisoning</w:t>
      </w:r>
    </w:p>
    <w:p>
      <w:pPr>
        <w:spacing w:after="600"/>
        <w:jc w:val="center"/>
      </w:pPr>
      <w:r>
        <w:rPr>
          <w:b/>
          <w:bCs/>
          <w:sz w:val="30"/>
          <w:szCs w:val="30"/>
        </w:rPr>
        <w:t xml:space="preserve">in Retrieval-Augmented Generation</w:t>
      </w:r>
    </w:p>
    <w:p>
      <w:pPr>
        <w:spacing w:after="240"/>
        <w:jc w:val="center"/>
      </w:pPr>
      <w:r>
        <w:rPr>
          <w:sz w:val="24"/>
          <w:szCs w:val="24"/>
        </w:rPr>
        <w:t xml:space="preserve">by</w:t>
      </w:r>
    </w:p>
    <w:p>
      <w:pPr>
        <w:spacing w:after="40"/>
        <w:jc w:val="center"/>
      </w:pPr>
      <w:r>
        <w:rPr>
          <w:sz w:val="24"/>
          <w:szCs w:val="24"/>
        </w:rPr>
        <w:t xml:space="preserve">Mehedi Hasan</w:t>
      </w:r>
    </w:p>
    <w:p>
      <w:pPr>
        <w:spacing w:after="40"/>
        <w:jc w:val="center"/>
      </w:pPr>
      <w:r>
        <w:rPr>
          <w:sz w:val="24"/>
          <w:szCs w:val="24"/>
        </w:rPr>
        <w:t xml:space="preserve">[Student ID]</w:t>
      </w:r>
    </w:p>
    <w:p>
      <w:pPr>
        <w:spacing w:after="600"/>
        <w:jc w:val="center"/>
      </w:pPr>
      <w:r>
        <w:rPr>
          <w:i/>
          <w:iCs/>
          <w:color w:val="808080"/>
          <w:sz w:val="24"/>
          <w:szCs w:val="24"/>
        </w:rPr>
        <w:t xml:space="preserve">[Add co-author name(s) and ID(s) here]</w:t>
      </w:r>
    </w:p>
    <w:p>
      <w:pPr>
        <w:spacing w:after="20"/>
        <w:jc w:val="center"/>
      </w:pPr>
      <w:r>
        <w:rPr>
          <w:sz w:val="22"/>
          <w:szCs w:val="22"/>
        </w:rPr>
        <w:t xml:space="preserve">A thesis submitted to the Department of Computer Science and Engineering</w:t>
      </w:r>
    </w:p>
    <w:p>
      <w:pPr>
        <w:spacing w:after="20"/>
        <w:jc w:val="center"/>
      </w:pPr>
      <w:r>
        <w:rPr>
          <w:sz w:val="22"/>
          <w:szCs w:val="22"/>
        </w:rPr>
        <w:t xml:space="preserve">in partial fulfillment of the requirements for the degree of</w:t>
      </w:r>
    </w:p>
    <w:p>
      <w:pPr>
        <w:spacing w:after="600"/>
        <w:jc w:val="center"/>
      </w:pPr>
      <w:r>
        <w:rPr>
          <w:sz w:val="22"/>
          <w:szCs w:val="22"/>
        </w:rPr>
        <w:t xml:space="preserve">B.Sc. in Computer Science and Engineering</w:t>
      </w:r>
    </w:p>
    <w:p>
      <w:pPr>
        <w:spacing w:after="20"/>
        <w:jc w:val="center"/>
      </w:pPr>
      <w:r>
        <w:rPr>
          <w:sz w:val="22"/>
          <w:szCs w:val="22"/>
        </w:rPr>
        <w:t xml:space="preserve">Department of Computer Science and Engineering</w:t>
      </w:r>
    </w:p>
    <w:p>
      <w:pPr>
        <w:spacing w:after="20"/>
        <w:jc w:val="center"/>
      </w:pPr>
      <w:r>
        <w:rPr>
          <w:sz w:val="22"/>
          <w:szCs w:val="22"/>
        </w:rPr>
        <w:t xml:space="preserve">BRAC University</w:t>
      </w:r>
    </w:p>
    <w:p>
      <w:pPr>
        <w:spacing w:after="800"/>
        <w:jc w:val="center"/>
      </w:pPr>
      <w:r>
        <w:rPr>
          <w:sz w:val="22"/>
          <w:szCs w:val="22"/>
        </w:rPr>
        <w:t xml:space="preserve">September 2026</w:t>
      </w:r>
    </w:p>
    <w:p>
      <w:pPr>
        <w:spacing w:after="200"/>
        <w:jc w:val="center"/>
      </w:pPr>
      <w:r>
        <w:rPr>
          <w:i/>
          <w:iCs/>
          <w:color w:val="808080"/>
          <w:sz w:val="20"/>
          <w:szCs w:val="20"/>
        </w:rPr>
        <w:t xml:space="preserve">Chapters 1–3 (Draft)</w:t>
      </w:r>
    </w:p>
    <w:p>
      <w:r>
        <w:br w:type="page"/>
      </w:r>
    </w:p>
    <w:p>
      <w:pPr>
        <w:pStyle w:val="Heading1"/>
        <w:spacing w:after="200" w:before="360"/>
      </w:pPr>
      <w:r>
        <w:t xml:space="preserve">Chapter 1</w:t>
      </w:r>
    </w:p>
    <w:p>
      <w:pPr>
        <w:pStyle w:val="Heading1"/>
        <w:spacing w:after="200" w:before="360"/>
      </w:pPr>
      <w:r>
        <w:t xml:space="preserve">Introduction</w:t>
      </w:r>
    </w:p>
    <w:p>
      <w:pPr>
        <w:spacing w:after="200" w:line="300"/>
        <w:jc w:val="both"/>
      </w:pPr>
      <w:r>
        <w:t xml:space="preserve">Retrieval-Augmented Generation has quietly become the default way organisations put a large language model in front of their own data. Ask a model trained only on its pretraining corpus a question about this morning's inventory count, a patient's latest lab result, or a company's internal leave policy, and it will either refuse or, more dangerously, invent a plausible-sounding answer. Retrieval-Augmented Generation, or RAG, fixes this by pulling relevant passages from an external knowledge store at query time and conditioning the model's answer on that retrieved evidence [1], [24]. The idea is simple and the payoff is large: a small, cheap retriever turns a static, frozen model into a system that can answer questions about documents it has never been trained on, cite where an answer came from, and stay current without the enormous cost of retraining. It is this promise that has pushed RAG into chatbots, enterprise search, coding assistants, medical question answering, and financial advisory tools within the space of a few years.</w:t>
      </w:r>
    </w:p>
    <w:p>
      <w:pPr>
        <w:spacing w:after="200" w:line="300"/>
        <w:jc w:val="both"/>
      </w:pPr>
      <w:r>
        <w:t xml:space="preserve">That promise carries a quiet but serious cost. The moment a system answers questions using documents pulled from a knowledge base at run time, the trustworthiness of its answers becomes hostage to the trustworthiness of that knowledge base. If the knowledge base can be written to by more than one party — a public wiki, a crowd-sourced forum, a shared document drive, a web crawl — then an attacker does not need to touch the model's weights at all. They only need to slip a handful of carefully written documents into the corpus the retriever draws from. PoisonedRAG demonstrated exactly how effective this is: as few as five injected documents, out of a five-million-document Wikipedia corpus, were enough to flip an undefended RAG system's answer to a targeted question more than ninety percent of the time, across a range of retrievers and language models [1]. This is not a theoretical curiosity. It is a five-document attack against a five-million-document haystack, succeeding nine times out of ten. A system that behaves this way is not fit to be trusted with the workloads that RAG is currently being sold for.</w:t>
      </w:r>
    </w:p>
    <w:p>
      <w:pPr>
        <w:spacing w:after="200" w:line="300"/>
        <w:jc w:val="both"/>
      </w:pPr>
      <w:r>
        <w:t xml:space="preserve">This thesis is about building, and rigorously evaluating, a defense against exactly that failure mode. We call our system </w:t>
      </w:r>
      <w:r>
        <w:rPr>
          <w:b/>
          <w:bCs/>
        </w:rPr>
        <w:t xml:space="preserve">PoisonGuard-RAG</w:t>
      </w:r>
      <w:r>
        <w:t xml:space="preserve">, a risk-scored, verification-aware retrieval pipeline that treats every batch of retrieved evidence as something to be interrogated before it is allowed to shape an answer, rather than something to be trusted by default. The remainder of this chapter lays out why this problem matters, what specifically is broken about the way the field currently defends against it, and what this thesis sets out to prove.</w:t>
      </w:r>
    </w:p>
    <w:p>
      <w:pPr>
        <w:pStyle w:val="Heading2"/>
        <w:spacing w:after="160" w:before="320"/>
      </w:pPr>
      <w:r>
        <w:t xml:space="preserve">1.1 Background</w:t>
      </w:r>
    </w:p>
    <w:p>
      <w:pPr>
        <w:spacing w:after="200" w:line="300"/>
        <w:jc w:val="both"/>
      </w:pPr>
      <w:r>
        <w:t xml:space="preserve">A standard RAG pipeline has two moving parts: a retriever and a generator [1], [24]. The retriever encodes an incoming query into a vector, compares it against a pre-computed index of document embeddings — built with a dense encoder such as Contriever or a dual-encoder retriever [25] — and returns the top-</w:t>
      </w:r>
      <w:r>
        <w:rPr>
          <w:i/>
          <w:iCs/>
        </w:rPr>
        <w:t xml:space="preserve">k</w:t>
      </w:r>
      <w:r>
        <w:t xml:space="preserve"> passages by similarity. The generator, typically an instruction-tuned large language model, is then handed the query together with the retrieved passages and asked to produce an answer grounded in that evidence. Every part of that description depends on one assumption that is almost never stated out loud: that the passages sitting in the knowledge base are what they claim to be. Corpus poisoning attacks exist precisely because that assumption is not enforced anywhere in the standard pipeline.</w:t>
      </w:r>
    </w:p>
    <w:p>
      <w:pPr>
        <w:spacing w:after="200" w:line="300"/>
        <w:jc w:val="both"/>
      </w:pPr>
      <w:r>
        <w:t xml:space="preserve">A corpus poisoning attack against RAG has two components, and PoisonedRAG's formulation of the problem has become the reference threat model for the whole sub-field [1]. First, a poisoned document needs a </w:t>
      </w:r>
      <w:r>
        <w:rPr>
          <w:b/>
          <w:bCs/>
        </w:rPr>
        <w:t xml:space="preserve">retrieval trigger</w:t>
      </w:r>
      <w:r>
        <w:t xml:space="preserve">: text engineered to sit close to the target query in embedding space, so that the retriever ranks it inside the top-</w:t>
      </w:r>
      <w:r>
        <w:rPr>
          <w:i/>
          <w:iCs/>
        </w:rPr>
        <w:t xml:space="preserve">k</w:t>
      </w:r>
      <w:r>
        <w:t xml:space="preserve"> results regardless of which encoder is used. Second, it needs a </w:t>
      </w:r>
      <w:r>
        <w:rPr>
          <w:b/>
          <w:bCs/>
        </w:rPr>
        <w:t xml:space="preserve">generation payload</w:t>
      </w:r>
      <w:r>
        <w:t xml:space="preserve">: a false claim, written so that an instruction-following language model will treat it as the answer and repeat it back to the user. Because both halves are optimised together, and because dense retrievers of very different architectures (DPR, ANCE, Contriever) respond to the same geometric proximity signal, an attack crafted against one retriever transfers well to others [1], [5]. The result is a genuinely low-cost, high-yield attack: an adversary who can write even a handful of documents into a shared knowledge base gains disproportionate control over what a RAG system tells its users.</w:t>
      </w:r>
    </w:p>
    <w:p>
      <w:pPr>
        <w:spacing w:after="200" w:line="300"/>
        <w:jc w:val="both"/>
      </w:pPr>
      <w:r>
        <w:t xml:space="preserve">The consequences of this are not abstract. Search assistants have already been caught surfacing manipulated or compromised content that was never meant to be authoritative, and corpus-level manipulation of a retrieval-backed system has been directly linked to real financial loss in at least one documented incident [2]. The more a RAG system is trusted — as a customer support agent, a compliance assistant, a clinical decision aid, a financial advisor — the more valuable it becomes for an attacker to own even a small slice of the knowledge base it draws from. This is precisely the deployment trajectory RAG is on. Any team shipping a RAG system against a knowledge base it does not fully control — and very few production knowledge bases are perfectly closed — is exposed to this class of attack today, whether or not they have thought about it.</w:t>
      </w:r>
    </w:p>
    <w:p>
      <w:pPr>
        <w:spacing w:after="200" w:line="300"/>
        <w:jc w:val="both"/>
      </w:pPr>
      <w:r>
        <w:t xml:space="preserve">It is worth being blunt about why this threat is easy to underestimate. Most teams building a RAG system spend their engineering effort on retrieval quality and answer fluency — choosing a good embedding model, tuning chunk sizes, writing a prompt that produces well-formatted answers — because those are the failures that show up immediately, in every demo, in front of every stakeholder. A corpus poisoning vulnerability shows up only when someone specifically goes looking for it, or when an attacker finds it first. That asymmetry, between what is visible during normal development and what is exploitable by an adversary, is exactly why PoisonedRAG's headline number deserves to be taken as seriously as this thesis takes it: a system can pass every internal quality check a team runs, demo flawlessly to every stakeholder, and still be one written document away from telling a user something false with total confidence [1]. We think any team that has not deliberately tested for this failure mode should assume they are exposed to it, not that they have somehow avoided it by accident.</w:t>
      </w:r>
    </w:p>
    <w:p>
      <w:pPr>
        <w:spacing w:after="200" w:line="300"/>
        <w:jc w:val="both"/>
      </w:pPr>
      <w:r>
        <w:t xml:space="preserve">The field's response so far has mostly taken the form of adding a filter. Perplexity-based screening removes documents whose language-model likelihood looks unnatural; query paraphrasing tries to dodge a trigger tuned to one exact phrasing; knowledge-base expansion tries to dilute poisoned documents with more clean ones; clustering-based approaches such as TrustRAG group the retrieved set and discard the outlying cluster that poisoned documents tend to form [1], [2]. Every one of these is a single checkpoint, and every one of them can be beaten by an attacker willing to study that specific checkpoint and evade it: write more fluent text to survive a perplexity filter, paraphrase-match to survive a paraphrase check, add enough documents to survive dilution [5]. A defense evaluated against only the non-adaptive attacker described in the original PoisonedRAG paper still lets each of these single-stage defenses leave a residual attack success rate of thirty percent or higher [5]. That is not a solved problem. That is a problem that has been given one line of defense, and one line is not enough against an adversary who gets to see the line before deciding what to write.</w:t>
      </w:r>
    </w:p>
    <w:p>
      <w:pPr>
        <w:pStyle w:val="Heading2"/>
        <w:spacing w:after="160" w:before="320"/>
      </w:pPr>
      <w:r>
        <w:t xml:space="preserve">1.2 Motivation</w:t>
      </w:r>
    </w:p>
    <w:p>
      <w:pPr>
        <w:spacing w:after="200" w:line="300"/>
        <w:jc w:val="both"/>
      </w:pPr>
      <w:r>
        <w:t xml:space="preserve">Four observations, taken together, motivated this work, and each of them is a direct rebuttal to how the field currently talks about RAG security.</w:t>
      </w:r>
    </w:p>
    <w:p>
      <w:pPr>
        <w:spacing w:after="200" w:line="300"/>
        <w:jc w:val="both"/>
      </w:pPr>
      <w:r>
        <w:rPr>
          <w:b/>
          <w:bCs/>
        </w:rPr>
        <w:t xml:space="preserve">First, a defense that is this slow is not a defense a team will actually keep switched on.</w:t>
      </w:r>
      <w:r>
        <w:t xml:space="preserve"> TrustRAG, the strongest published open defense against corpus poisoning at the time this work began, runs a two-stage pipeline of K-means clustering over retrieved embeddings followed by an LLM self-assessment pass that asks the generator to reconcile conflicting evidence before answering [2]. Both stages add real latency on top of an already latency-sensitive user-facing system. In our own measurements, reproducing TrustRAG's pipeline against Llama-3.1-8B across three standard QA benchmarks, its mean response time sat between roughly twenty-one and twenty-seven seconds per query. A support agent, a search assistant, or a clinical aid that takes half a minute to answer a single question is not a product; it is a demo. Security research has a long history of treating latency as somebody else's problem, to be optimised after the defense is proven to work. We reject that framing. A defense whose deployment cost is "make every user wait half a minute" will be switched off in production the first time someone complains, and an unfairly-fast attacker will happily exploit exactly that.</w:t>
      </w:r>
    </w:p>
    <w:p>
      <w:pPr>
        <w:spacing w:after="200" w:line="300"/>
        <w:jc w:val="both"/>
      </w:pPr>
      <w:r>
        <w:rPr>
          <w:b/>
          <w:bCs/>
        </w:rPr>
        <w:t xml:space="preserve">Second, refusing to answer is not the same as being secure, and the field is not honest about that distinction.</w:t>
      </w:r>
      <w:r>
        <w:t xml:space="preserve"> A defense can trivially drive attack success rate toward zero by simply declining to answer whenever it detects anything suspicious. In our own preliminary defense (an earlier internal iteration we refer to throughout this thesis as PoisonGuard v3.1), exactly this failure mode showed up on the HotpotQA benchmark: the system's refusal or abstention rate climbed above thirty-five percent under poisoning, meaning more than one in three legitimate user questions received no answer at all, while its accuracy on that same benchmark collapsed to roughly forty-two percent, well below the seventy-four percent a completely undefended vanilla RAG pipeline achieved on clean data. A system that refuses more than a third of the time is not robust; it is unhelpful, and it is unhelpful in a way that a headline attack-success-rate number will happily hide. Robustness that is bought by silence is not robustness a real product can use, and we think a thesis that reports only ASR without also reporting how often the system simply gave up is not reporting the whole truth.</w:t>
      </w:r>
    </w:p>
    <w:p>
      <w:pPr>
        <w:spacing w:after="200" w:line="300"/>
        <w:jc w:val="both"/>
      </w:pPr>
      <w:r>
        <w:rPr>
          <w:b/>
          <w:bCs/>
        </w:rPr>
        <w:t xml:space="preserve">Third, filtering harder is not obviously the right lever, and the field's own numbers say so.</w:t>
      </w:r>
      <w:r>
        <w:t xml:space="preserve"> TrustRAG's clustering stage is tuned to catch and discard poisoned passages aggressively, and on some datasets it does: its poison-recall figures on our benchmarks reach as high as ninety percent on HotpotQA. But aggressive removal has a cost that clustering-only defenses do not price in — it throws away clean, relevant passages along with the poisoned ones, and on MS-MARCO its filtering precision was measured at under thirty-seven percent, meaning the majority of what it discarded on that dataset was not actually poison. A defense that treats "remove more" as the only knob to turn will keep trading away legitimate context for marginal robustness gains, and there is no reason to believe that trade is always worth making. What we believe is missing from the field is not a better filter. It is a system that, having done a reasonable job of filtering, also knows what to do when filtering is not enough — when a poisoned passage slips through anyway, which every published defense concedes will sometimes happen [1], [2], [5].</w:t>
      </w:r>
    </w:p>
    <w:p>
      <w:pPr>
        <w:spacing w:after="200" w:line="300"/>
        <w:jc w:val="both"/>
      </w:pPr>
      <w:r>
        <w:rPr>
          <w:b/>
          <w:bCs/>
        </w:rPr>
        <w:t xml:space="preserve">Fourth, a defense that cannot explain why it reached an answer is a defense nobody can audit.</w:t>
      </w:r>
      <w:r>
        <w:t xml:space="preserve"> Several of the strongest published defenses, including TrustRAG's conflict-resolution stage and TriShieldRAG's cross-model consensus vote, ultimately reduce to the generator producing a final answer without exposing, in a form a downstream system or a human reviewer can inspect, *why* that specific answer was chosen over the alternatives it saw. This matters because a corpus-poisoning defense that behaves like a black box is difficult to trust precisely in the moments it matters most — when its answer is wrong, and an operator needs to know whether that was because the evidence was genuinely ambiguous, because the model's own parametric knowledge was outdated, or because the defense's filtering logic made a specific, identifiable mistake. This thesis treats mechanism transparency as a design requirement in its own right, not a nice-to-have layered on afterward: PoisonGuard-RAG is built to log which decision route produced every answer, and this thesis reports that breakdown as part of its core results rather than as supplementary detail, precisely so that a claim of robustness can be inspected rather than taken on faith.</w:t>
      </w:r>
    </w:p>
    <w:p>
      <w:pPr>
        <w:spacing w:after="200" w:line="300"/>
        <w:jc w:val="both"/>
      </w:pPr>
      <w:r>
        <w:t xml:space="preserve">These four observations point at the same underlying claim, and it is the claim this thesis exists to test: </w:t>
      </w:r>
      <w:r>
        <w:rPr>
          <w:b/>
          <w:bCs/>
        </w:rPr>
        <w:t xml:space="preserve">robustness against corpus poisoning cannot be judged on attack-success-rate alone.</w:t>
      </w:r>
      <w:r>
        <w:t xml:space="preserve"> It has to be judged jointly against latency, against the rate at which the system is willing to actually answer, and against how well it recovers when a poisoned passage gets past the filter. A defense that wins on ASR while losing on all three of the others has not solved the problem a real deployment has. It has moved the problem somewhere the ASR number does not look.</w:t>
      </w:r>
    </w:p>
    <w:p>
      <w:pPr>
        <w:pStyle w:val="Heading2"/>
        <w:spacing w:after="160" w:before="320"/>
      </w:pPr>
      <w:r>
        <w:t xml:space="preserve">1.3 Problem Statement</w:t>
      </w:r>
    </w:p>
    <w:p>
      <w:pPr>
        <w:spacing w:after="200" w:line="300"/>
        <w:jc w:val="both"/>
      </w:pPr>
      <w:r>
        <w:t xml:space="preserve">Retrieval-Augmented Generation systems built against knowledge bases that are not fully trusted are vulnerable to corpus poisoning attacks, in which a small number of adversarial documents injected into the retrieval index can hijack a targeted query's answer with very high probability, using only black-box access to the retriever and no access to the model's weights [1]. Existing defenses address this threat, but each of the published approaches available at the time of this study leaves at least one of three practical requirements unmet.</w:t>
      </w:r>
    </w:p>
    <w:p>
      <w:pPr>
        <w:spacing w:after="200" w:line="300"/>
        <w:jc w:val="both"/>
      </w:pPr>
      <w:r>
        <w:t xml:space="preserve">Single-checkpoint defenses — perplexity filtering, query paraphrasing, knowledge-base expansion — are individually cheap but individually brittle: each can be evaded by an attacker who tunes against that one check, and the original PoisonedRAG evaluation shows every one of them leaving a residual attack success rate at or above thirty percent [1], [5]. Clustering-and-conflict-resolution defenses such as TrustRAG raise robustness substantially over the single-checkpoint baselines, but do so at a latency cost — in our measurements, twenty to twenty-seven seconds per query — that is difficult to justify in an interactive product, and their aggressive filtering can discard a large share of legitimate evidence on some datasets, as reflected in filtering-precision figures well under fifty percent on MS-MARCO in our benchmarking. Orchestration-based defenses such as Adaptive Defense Orchestration show that applying every available defense at once is itself counter-productive, reducing contextual recall by over forty percent relative to an undefended baseline, and argue instead for query-aware, selective defense activation [4] — a promising direction, but one evaluated primarily against membership-inference and generic poisoning threats rather than against the specific PoisonedRAG trigger-and-payload construction this thesis targets. Multi-stage, defense-in-depth architectures such as TriShieldRAG show that composing independent checks at ingest time, retrieval time, and generation time closes much of the gap left by any single stage, reducing PoisonedRAG's attack success rate from roughly ninety-one percent to roughly thirteen percent [5] — but they report this result without characterising per-query latency, refusal behaviour, or the accuracy cost paid on already-clean queries, leaving open exactly the operational questions that determine whether such a system is deployable.</w:t>
      </w:r>
    </w:p>
    <w:p>
      <w:pPr>
        <w:spacing w:after="200" w:line="300"/>
        <w:jc w:val="both"/>
      </w:pPr>
      <w:r>
        <w:t xml:space="preserve">What the literature has not produced, and what this thesis sets out to build and evaluate, is a corpus-poisoning defense that is judged from the outset against all four axes a production RAG system actually has to satisfy at once: it must resist the PoisonedRAG threat model at a level competitive with the strongest published open defense; it must not multiply per-query latency to the point of being unusable; it must not manufacture apparent robustness by refusing to answer; and it must degrade gracefully — rather than catastrophically — when a poisoned passage survives filtering and reaches the generator. The central problem this thesis addresses is therefore not "can attack success rate be reduced further," which the literature has already shown is possible, but "can attack success rate be reduced to a competitive level without paying for it in latency, in refusals, or in accuracy on the queries a system was already getting right."</w:t>
      </w:r>
    </w:p>
    <w:p>
      <w:pPr>
        <w:pStyle w:val="Heading2"/>
        <w:spacing w:after="160" w:before="320"/>
      </w:pPr>
      <w:r>
        <w:t xml:space="preserve">1.4 Research Questions</w:t>
      </w:r>
    </w:p>
    <w:p>
      <w:pPr>
        <w:spacing w:after="200" w:line="300"/>
        <w:jc w:val="both"/>
      </w:pPr>
      <w:r>
        <w:t xml:space="preserve">The problem statement above translates into five concrete research questions. Stating them explicitly here gives the result analysis in a later chapter a fixed structure to answer against, and makes clear from the outset what would count as success or failure for this study.</w:t>
      </w:r>
    </w:p>
    <w:p>
      <w:pPr>
        <w:pStyle w:val="ListParagraph"/>
        <w:numPr>
          <w:ilvl w:val="0"/>
          <w:numId w:val="1"/>
        </w:numPr>
        <w:spacing w:after="120" w:line="300"/>
        <w:jc w:val="both"/>
      </w:pPr>
      <w:r>
        <w:rPr>
          <w:b/>
          <w:bCs/>
        </w:rPr>
        <w:t xml:space="preserve">RQ1 (Robustness).</w:t>
      </w:r>
      <w:r>
        <w:t xml:space="preserve"> Under the PoisonedRAG threat model, at poison rates ranging from twenty to one hundred percent of the retrieved top-</w:t>
      </w:r>
      <w:r>
        <w:rPr>
          <w:i/>
          <w:iCs/>
        </w:rPr>
        <w:t xml:space="preserve">k</w:t>
      </w:r>
      <w:r>
        <w:t xml:space="preserve">, does PoisonGuard-RAG achieve accuracy and attack-success-rate figures competitive with or better than TrustRAG, the strongest published open baseline, across multiple question-answering benchmarks and under two independent answer-matching metrics?</w:t>
      </w:r>
    </w:p>
    <w:p>
      <w:pPr>
        <w:pStyle w:val="ListParagraph"/>
        <w:numPr>
          <w:ilvl w:val="0"/>
          <w:numId w:val="1"/>
        </w:numPr>
        <w:spacing w:after="120" w:line="300"/>
        <w:jc w:val="both"/>
      </w:pPr>
      <w:r>
        <w:rPr>
          <w:b/>
          <w:bCs/>
        </w:rPr>
        <w:t xml:space="preserve">RQ2 (Cost of defense).</w:t>
      </w:r>
      <w:r>
        <w:t xml:space="preserve"> What is the per-query latency of PoisonGuard-RAG relative to TrustRAG under an identical generator and retrieval configuration, and is any robustness gained by a heavier pipeline actually worth its latency cost in a system meant to serve interactive queries?</w:t>
      </w:r>
    </w:p>
    <w:p>
      <w:pPr>
        <w:pStyle w:val="ListParagraph"/>
        <w:numPr>
          <w:ilvl w:val="0"/>
          <w:numId w:val="1"/>
        </w:numPr>
        <w:spacing w:after="120" w:line="300"/>
        <w:jc w:val="both"/>
      </w:pPr>
      <w:r>
        <w:rPr>
          <w:b/>
          <w:bCs/>
        </w:rPr>
        <w:t xml:space="preserve">RQ3 (Honesty of the robustness claim).</w:t>
      </w:r>
      <w:r>
        <w:t xml:space="preserve"> Does PoisonGuard-RAG achieve its robustness by genuinely resolving conflicting or poisoned evidence, or by refusing to answer when evidence looks suspicious? What is its refusal or abstention rate under poisoning, measured against the same rate for TrustRAG and for an earlier, more conservative internal iteration of the system (PoisonGuard v3.1)?</w:t>
      </w:r>
    </w:p>
    <w:p>
      <w:pPr>
        <w:pStyle w:val="ListParagraph"/>
        <w:numPr>
          <w:ilvl w:val="0"/>
          <w:numId w:val="1"/>
        </w:numPr>
        <w:spacing w:after="120" w:line="300"/>
        <w:jc w:val="both"/>
      </w:pPr>
      <w:r>
        <w:rPr>
          <w:b/>
          <w:bCs/>
        </w:rPr>
        <w:t xml:space="preserve">RQ4 (Behaviour under partial filtering failure).</w:t>
      </w:r>
      <w:r>
        <w:t xml:space="preserve"> When a poisoned passage survives the filtering stage and reaches the generator — an event every published defense concedes will happen at some rate — how does PoisonGuard-RAG's accuracy on that exposed subset of queries compare to TrustRAG's, and what does this reveal about whether the system's safety net lives in its retrieval filter or in its generation-time reasoning?</w:t>
      </w:r>
    </w:p>
    <w:p>
      <w:pPr>
        <w:pStyle w:val="ListParagraph"/>
        <w:numPr>
          <w:ilvl w:val="0"/>
          <w:numId w:val="1"/>
        </w:numPr>
        <w:spacing w:after="120" w:line="300"/>
        <w:jc w:val="both"/>
      </w:pPr>
      <w:r>
        <w:rPr>
          <w:b/>
          <w:bCs/>
        </w:rPr>
        <w:t xml:space="preserve">RQ5 (Mechanism).</w:t>
      </w:r>
      <w:r>
        <w:t xml:space="preserve"> Which decision pathway does PoisonGuard-RAG rely on to arrive at a final answer once retrieval has taken place — agreement between the model's parametric knowledge and the retrieved evidence, an override of retrieved evidence by parametric knowledge, corroboration across independent passages, or a best-effort fallback — and does the pipeline's internal risk score meaningfully predict which queries are actually under attack?</w:t>
      </w:r>
    </w:p>
    <w:p>
      <w:pPr>
        <w:pStyle w:val="Heading2"/>
        <w:spacing w:after="160" w:before="320"/>
      </w:pPr>
      <w:r>
        <w:t xml:space="preserve">1.5 Objectives</w:t>
      </w:r>
    </w:p>
    <w:p>
      <w:pPr>
        <w:spacing w:after="200" w:line="300"/>
        <w:jc w:val="both"/>
      </w:pPr>
      <w:r>
        <w:t xml:space="preserve">Guided by the research questions above, this thesis pursues five research objectives.</w:t>
      </w:r>
    </w:p>
    <w:p>
      <w:pPr>
        <w:pStyle w:val="ListParagraph"/>
        <w:numPr>
          <w:ilvl w:val="0"/>
          <w:numId w:val="1"/>
        </w:numPr>
        <w:spacing w:after="120" w:line="300"/>
        <w:jc w:val="both"/>
      </w:pPr>
      <w:r>
        <w:rPr>
          <w:b/>
          <w:bCs/>
        </w:rPr>
        <w:t xml:space="preserve">RO1 — Build a corpus-poisoning defense that treats retrieval as a claim to be checked, not a fact to be trusted.</w:t>
      </w:r>
      <w:r>
        <w:t xml:space="preserve"> Design and implement a retrieval-augmented pipeline in which every batch of retrieved passages is scored for poisoning risk and cross-checked against the generator's own parametric knowledge before an answer is committed to, rather than a pipeline that either accepts retrieval unconditionally or discards suspicious passages and hopes nothing important survives.</w:t>
      </w:r>
    </w:p>
    <w:p>
      <w:pPr>
        <w:pStyle w:val="ListParagraph"/>
        <w:numPr>
          <w:ilvl w:val="0"/>
          <w:numId w:val="1"/>
        </w:numPr>
        <w:spacing w:after="120" w:line="300"/>
        <w:jc w:val="both"/>
      </w:pPr>
      <w:r>
        <w:rPr>
          <w:b/>
          <w:bCs/>
        </w:rPr>
        <w:t xml:space="preserve">RO2 — Evaluate robustness under the field's own reference threat model.</w:t>
      </w:r>
      <w:r>
        <w:t xml:space="preserve"> Reproduce the PoisonedRAG attack construction faithfully across three widely used open-domain and multi-hop question-answering benchmarks — Natural Questions [27], HotpotQA [28], and MS-MARCO [29] — and measure accuracy and attack success rate at five poison rates plus a clean control, under two independent answer-matching protocols, so that the robustness claim is not an artefact of a single lenient metric.</w:t>
      </w:r>
    </w:p>
    <w:p>
      <w:pPr>
        <w:pStyle w:val="ListParagraph"/>
        <w:numPr>
          <w:ilvl w:val="0"/>
          <w:numId w:val="1"/>
        </w:numPr>
        <w:spacing w:after="120" w:line="300"/>
        <w:jc w:val="both"/>
      </w:pPr>
      <w:r>
        <w:rPr>
          <w:b/>
          <w:bCs/>
        </w:rPr>
        <w:t xml:space="preserve">RO3 — Benchmark against the strongest published open defense on equal terms.</w:t>
      </w:r>
      <w:r>
        <w:t xml:space="preserve"> Reproduce TrustRAG under identical retriever, generator, dataset, and prompt configuration, so that any reported difference in accuracy, attack success rate, latency, or refusal rate reflects the defense mechanism itself rather than an unfair comparison.</w:t>
      </w:r>
    </w:p>
    <w:p>
      <w:pPr>
        <w:pStyle w:val="ListParagraph"/>
        <w:numPr>
          <w:ilvl w:val="0"/>
          <w:numId w:val="1"/>
        </w:numPr>
        <w:spacing w:after="120" w:line="300"/>
        <w:jc w:val="both"/>
      </w:pPr>
      <w:r>
        <w:rPr>
          <w:b/>
          <w:bCs/>
        </w:rPr>
        <w:t xml:space="preserve">RO4 — Measure the cost of defense, not only its benefit.</w:t>
      </w:r>
      <w:r>
        <w:t xml:space="preserve"> Report per-query latency, refusal/abstention rate, and clean-data accuracy alongside every robustness figure, so the thesis cannot present an artificially favourable picture by reporting attack success rate in isolation.</w:t>
      </w:r>
    </w:p>
    <w:p>
      <w:pPr>
        <w:pStyle w:val="ListParagraph"/>
        <w:numPr>
          <w:ilvl w:val="0"/>
          <w:numId w:val="1"/>
        </w:numPr>
        <w:spacing w:after="120" w:line="300"/>
        <w:jc w:val="both"/>
      </w:pPr>
      <w:r>
        <w:rPr>
          <w:b/>
          <w:bCs/>
        </w:rPr>
        <w:t xml:space="preserve">RO5 — Characterise the mechanism, not just the scoreboard.</w:t>
      </w:r>
      <w:r>
        <w:t xml:space="preserve"> Analyse which decision route the pipeline takes to reach each answer, and evaluate whether the system's internal risk score functions as a meaningful, if imperfect, detector of poisoning exposure, so that the thesis explains why PoisonGuard-RAG behaves the way it does rather than reporting numbers without a mechanism behind them.</w:t>
      </w:r>
    </w:p>
    <w:p>
      <w:pPr>
        <w:pStyle w:val="Heading2"/>
        <w:spacing w:after="160" w:before="320"/>
      </w:pPr>
      <w:r>
        <w:t xml:space="preserve">1.6 Contributions</w:t>
      </w:r>
    </w:p>
    <w:p>
      <w:pPr>
        <w:spacing w:after="200" w:line="300"/>
        <w:jc w:val="both"/>
      </w:pPr>
      <w:r>
        <w:t xml:space="preserve">This thesis makes four contributions.</w:t>
      </w:r>
    </w:p>
    <w:p>
      <w:pPr>
        <w:spacing w:after="200" w:line="300"/>
        <w:jc w:val="both"/>
      </w:pPr>
      <w:r>
        <w:t xml:space="preserve">First, it presents </w:t>
      </w:r>
      <w:r>
        <w:rPr>
          <w:b/>
          <w:bCs/>
        </w:rPr>
        <w:t xml:space="preserve">PoisonGuard-RAG</w:t>
      </w:r>
      <w:r>
        <w:t xml:space="preserve">, a risk-scored, verification-aware defense pipeline for retrieval-augmented generation that arbitrates between retrieved evidence and the generator's own parametric knowledge at answer time, rather than relying solely on upstream filtering of the retrieved set. The design is deliberately lightweight: it does not require the multiple additional LLM calls that a clustering-and-self-assessment pipeline needs, nor the multi-model consensus voting that a three-ring architecture needs, and this lightness is treated in this thesis as a design goal in its own right rather than an incidental side effect.</w:t>
      </w:r>
    </w:p>
    <w:p>
      <w:pPr>
        <w:spacing w:after="200" w:line="300"/>
        <w:jc w:val="both"/>
      </w:pPr>
      <w:r>
        <w:t xml:space="preserve">Second, it presents a </w:t>
      </w:r>
      <w:r>
        <w:rPr>
          <w:b/>
          <w:bCs/>
        </w:rPr>
        <w:t xml:space="preserve">controlled, multi-metric benchmarking study</w:t>
      </w:r>
      <w:r>
        <w:t xml:space="preserve"> against TrustRAG, the strongest published open defense available at the start of this work, across three benchmarks, five poison rates, and two independent answer-matching protocols, with every system evaluated under an identical retriever and generator. This removes the possibility that a reported advantage is an artefact of dataset choice, prompt design, or a metric that happens to favour one system's exact wording conventions.</w:t>
      </w:r>
    </w:p>
    <w:p>
      <w:pPr>
        <w:spacing w:after="200" w:line="300"/>
        <w:jc w:val="both"/>
      </w:pPr>
      <w:r>
        <w:t xml:space="preserve">Third, it presents an </w:t>
      </w:r>
      <w:r>
        <w:rPr>
          <w:b/>
          <w:bCs/>
        </w:rPr>
        <w:t xml:space="preserve">honest accounting of the cost of defense</w:t>
      </w:r>
      <w:r>
        <w:t xml:space="preserve"> that the existing literature mostly omits: per-query latency, refusal and abstention rate, and accuracy on the fraction of queries where a poisoned passage survives filtering and reaches the generator. Reporting these figures alongside accuracy and attack success rate is, in itself, a contribution to how corpus-poisoning defenses ought to be evaluated, and this thesis argues explicitly that a robustness number reported without them is incomplete.</w:t>
      </w:r>
    </w:p>
    <w:p>
      <w:pPr>
        <w:spacing w:after="200" w:line="300"/>
        <w:jc w:val="both"/>
      </w:pPr>
      <w:r>
        <w:t xml:space="preserve">Fourth, it presents a </w:t>
      </w:r>
      <w:r>
        <w:rPr>
          <w:b/>
          <w:bCs/>
        </w:rPr>
        <w:t xml:space="preserve">mechanistic analysis of the decision pathway</w:t>
      </w:r>
      <w:r>
        <w:t xml:space="preserve"> the defense actually uses to arrive at each answer, including a breakdown of how often the system corroborates retrieved evidence, overrides it with parametric knowledge, or falls back to a best-effort answer, together with an assessment of how well the pipeline's internal risk score predicts genuine poisoning exposure. This analysis is what allows the thesis to say why the system performs the way it does, rather than only that it does.</w:t>
      </w:r>
    </w:p>
    <w:p>
      <w:pPr>
        <w:pStyle w:val="Heading2"/>
        <w:spacing w:after="160" w:before="320"/>
      </w:pPr>
      <w:r>
        <w:t xml:space="preserve">1.7 Methodology in Brief</w:t>
      </w:r>
    </w:p>
    <w:p>
      <w:pPr>
        <w:spacing w:after="200" w:line="300"/>
        <w:jc w:val="both"/>
      </w:pPr>
      <w:r>
        <w:t xml:space="preserve">This study follows an empirical, benchmark-driven research design: a defense pipeline is built, an existing state-of-the-art defense is faithfully reproduced as a baseline, both are attacked under an identical, published threat model, and the resulting behaviour is measured along the four axes named in the problem statement. The full technical specification of the pipeline, its risk-scoring mechanism, and its evaluation protocol is out of scope for the chapters presented here and is developed in the methodology chapter that follows this report; what is summarised here is the shape of the study rather than its implementation detail.</w:t>
      </w:r>
    </w:p>
    <w:p>
      <w:pPr>
        <w:spacing w:after="200" w:line="300"/>
        <w:jc w:val="both"/>
      </w:pPr>
      <w:r>
        <w:t xml:space="preserve">The threat model is PoisonedRAG's black-box corpus poisoning construction [1]: an adversary with no access to model weights injects a small number of documents into the retrieval corpus, each engineered with a retrieval trigger and a false-answer payload, targeting a specific question. This is applied at five poison rates — twenty, forty, sixty, eighty, and one hundred percent of the retrieved top-five passages — plus an unpoisoned control condition, across three benchmarks chosen to span single-hop open-domain factoid questions (Natural Questions [27]), multi-hop reasoning questions that require combining evidence from more than one passage (HotpotQA [28]), and short, high-volume web-search-style queries (MS-MARCO [29]). Retrieval uses Contriever [25] to select the top five passages per query, and generation uses Llama-3.1-8B [26] served locally, so that every system compared in this study — the undefended vanilla pipeline, TrustRAG, an earlier internal iteration referred to as PoisonGuard v3.1, and PoisonGuard-RAG itself — answers from the same retrieved candidates and the same underlying language model.</w:t>
      </w:r>
    </w:p>
    <w:p>
      <w:pPr>
        <w:spacing w:after="200" w:line="300"/>
        <w:jc w:val="both"/>
      </w:pPr>
      <w:r>
        <w:t xml:space="preserve">Two independent answer-matching protocols are used to score correctness and attack success: a substring-match protocol matching the convention used in the TrustRAG evaluation, and a stricter whole-word matching protocol applied identically to every system, so that no defense is favoured by a metric that happens to be lenient about how its answers are phrased. Beyond the headline accuracy and attack-success-rate figures, the evaluation records, for every system and every condition, the mean response latency per query, the rate at which the system declines to answer or abstains, the fraction of retrieved passages correctly identified as poisoned versus wrongly discarded, and — for PoisonGuard-RAG specifically — which internal decision route produced each answer and what its internal risk score reported for queries later confirmed to be under attack. A paired statistical comparison against TrustRAG, using per-question outcomes on a held-out slice of each benchmark, is used to establish whether observed differences in accuracy are distinguishable from chance rather than resting on headline averages alone.</w:t>
      </w:r>
    </w:p>
    <w:p>
      <w:pPr>
        <w:spacing w:after="200" w:line="300"/>
        <w:jc w:val="both"/>
      </w:pPr>
      <w:r>
        <w:t xml:space="preserve">Two further methodological choices are worth stating plainly here because they shape how every later result should be read. First, this study deliberately evaluates on a held-out half of each benchmark's question set, distinct from any queries used during the development and tuning of PoisonGuard-RAG itself, so that reported numbers reflect genuine generalisation rather than a pipeline that has been quietly shaped to perform well on the exact questions used to report its own results. Second, every system compared in this study — including the reproduced TrustRAG baseline — is run against the same fixed set of random seeds, and every configuration, seed, and per-query outcome is logged to an archived results file rather than only summarised, so that any number appearing anywhere in this thesis can, in principle, be regenerated independently rather than taken on trust. This second point matters more than it might first appear: a comparison this thesis's own argument depends on being fair is not actually fair unless a reader can check that it was.</w:t>
      </w:r>
    </w:p>
    <w:p>
      <w:pPr>
        <w:pStyle w:val="Heading2"/>
        <w:spacing w:after="160" w:before="320"/>
      </w:pPr>
      <w:r>
        <w:t xml:space="preserve">1.8 Scope and Challenges</w:t>
      </w:r>
    </w:p>
    <w:p>
      <w:pPr>
        <w:spacing w:after="200" w:line="300"/>
        <w:jc w:val="both"/>
      </w:pPr>
      <w:r>
        <w:t xml:space="preserve">This thesis is a controlled research study rather than a deployed production system, and its scope is set accordingly.</w:t>
      </w:r>
    </w:p>
    <w:p>
      <w:pPr>
        <w:spacing w:after="200" w:line="300"/>
        <w:jc w:val="both"/>
      </w:pPr>
      <w:r>
        <w:rPr>
          <w:b/>
          <w:bCs/>
        </w:rPr>
        <w:t xml:space="preserve">In scope.</w:t>
      </w:r>
      <w:r>
        <w:t xml:space="preserve"> The work targets corpus poisoning attacks of the PoisonedRAG family specifically: black-box, retrieval-trigger-plus-generation-payload attacks injected into the knowledge base that a RAG system retrieves from. It evaluates against three widely used, publicly available question-answering benchmarks, using one retriever and one open-source generator, held fixed across every system compared. It reports robustness, latency, refusal behaviour, and accuracy under partial filtering failure as the four evaluation axes named in the research questions, and it evaluates a specific published defense, TrustRAG, as its primary point of comparison, since it was the strongest openly available defense at the time this study began.</w:t>
      </w:r>
    </w:p>
    <w:p>
      <w:pPr>
        <w:spacing w:after="200" w:line="300"/>
        <w:jc w:val="both"/>
      </w:pPr>
      <w:r>
        <w:rPr>
          <w:b/>
          <w:bCs/>
        </w:rPr>
        <w:t xml:space="preserve">Out of scope.</w:t>
      </w:r>
      <w:r>
        <w:t xml:space="preserve"> This thesis does not attempt to defend against every category of LLM-facing attack. Prompt injection that manipulates a model's behaviour through instructions embedded in otherwise legitimate content, rather than through factually false retrieved evidence, is a related but distinct threat that this work does not target directly, though it is discussed in the literature review as adjacent motivation [5], [7]. Jailbreaking attacks that bypass a model's safety alignment to elicit harmful content, membership-inference attacks that probe whether a specific document exists in the knowledge base, and verbatim content-leakage attacks that reproduce private retrieved text are all real and documented risks to RAG systems [4], but they require different threat models and different evaluation protocols than corpus poisoning, and combining all of them into a single defense and a single evaluation was judged to be beyond what a controlled undergraduate thesis of this scope could evaluate rigorously. The system is also not evaluated against an adaptive attacker who has studied PoisonGuard-RAG's specific mechanism and crafted poison documents to evade it; like TriShieldRAG's own evaluation, this study benchmarks against the non-adaptive attacker construction from the original PoisonedRAG paper, and we say plainly that evaluating an adaptive, defense-aware attacker is the most important open question this thesis leaves for future work [5].</w:t>
      </w:r>
    </w:p>
    <w:p>
      <w:pPr>
        <w:spacing w:after="200" w:line="300"/>
        <w:jc w:val="both"/>
      </w:pPr>
      <w:r>
        <w:t xml:space="preserve">Several challenges shaped the design and had to be actively managed rather than assumed away.</w:t>
      </w:r>
    </w:p>
    <w:p>
      <w:pPr>
        <w:spacing w:after="200" w:line="300"/>
        <w:jc w:val="both"/>
      </w:pPr>
      <w:r>
        <w:rPr>
          <w:b/>
          <w:bCs/>
        </w:rPr>
        <w:t xml:space="preserve">The latency-versus-robustness trade-off is not free, and pretending otherwise would be dishonest.</w:t>
      </w:r>
      <w:r>
        <w:t xml:space="preserve"> Any additional check added to a retrieval pipeline costs time. The challenge this thesis had to solve was building a defense whose checks are cheap enough, individually and in combination, to keep total latency close to an undefended pipeline while still meaningfully reducing attack success rate — rather than assuming, as some of the published literature implicitly does, that latency is an acceptable price for robustness however large it grows.</w:t>
      </w:r>
    </w:p>
    <w:p>
      <w:pPr>
        <w:spacing w:after="200" w:line="300"/>
        <w:jc w:val="both"/>
      </w:pPr>
      <w:r>
        <w:rPr>
          <w:b/>
          <w:bCs/>
        </w:rPr>
        <w:t xml:space="preserve">Refusal is a tempting shortcut, and had to be actively guarded against.</w:t>
      </w:r>
      <w:r>
        <w:t xml:space="preserve"> Because declining to answer trivially drives attack success rate toward zero, any evaluation of a defense's ASR without also reporting its refusal rate is at risk of rewarding a system for being unhelpful rather than for being secure. This thesis treats refusal rate as a first-class metric precisely because our own earlier iteration (PoisonGuard v3.1) fell into this trap on HotpotQA, and that failure directly shaped the redesign evaluated as PoisonGuard-RAG in this study.</w:t>
      </w:r>
    </w:p>
    <w:p>
      <w:pPr>
        <w:spacing w:after="200" w:line="300"/>
        <w:jc w:val="both"/>
      </w:pPr>
      <w:r>
        <w:rPr>
          <w:b/>
          <w:bCs/>
        </w:rPr>
        <w:t xml:space="preserve">Poisoning detection is fundamentally imperfect, and the evaluation had to be honest about where it fails.</w:t>
      </w:r>
      <w:r>
        <w:t xml:space="preserve"> The pipeline's internal risk score is measured, in this thesis, by how well it predicts genuine poisoning exposure, and that measurement varies substantially by benchmark: it is a strong signal on multi-hop reasoning questions, where a mismatch between passages is easier to detect, and a much weaker signal on short factoid queries, where a single fluent poisoned passage can look unremarkable on its own. Reporting this variation honestly, rather than only the benchmark where the signal is strongest, was treated as a requirement of the study rather than an optional caveat.</w:t>
      </w:r>
    </w:p>
    <w:p>
      <w:pPr>
        <w:spacing w:after="200" w:line="300"/>
        <w:jc w:val="both"/>
      </w:pPr>
      <w:r>
        <w:rPr>
          <w:b/>
          <w:bCs/>
        </w:rPr>
        <w:t xml:space="preserve">Reproducing a competing defense fairly is harder than it sounds.</w:t>
      </w:r>
      <w:r>
        <w:t xml:space="preserve"> TrustRAG had to be re-implemented against the same retriever, generator, and prompt scaffolding used for every other system in this study, rather than compared against its originally reported numbers, because any difference in generator or retrieval configuration would make a head-to-head comparison meaningless. Getting this baseline right, and verifying that our reproduction's clean-data accuracy is consistent with the original published behaviour, was a necessary precondition for every other result in this thesis to be trustworthy.</w:t>
      </w:r>
    </w:p>
    <w:p>
      <w:pPr>
        <w:pStyle w:val="Heading2"/>
        <w:spacing w:after="160" w:before="320"/>
      </w:pPr>
      <w:r>
        <w:t xml:space="preserve">1.9 Report Organisation</w:t>
      </w:r>
    </w:p>
    <w:p>
      <w:pPr>
        <w:spacing w:after="200" w:line="300"/>
        <w:jc w:val="both"/>
      </w:pPr>
      <w:r>
        <w:t xml:space="preserve">The remainder of this report is organised into two further chapters, with the full technical methodology and results reserved for later chapters beyond the scope of the present submission.</w:t>
      </w:r>
    </w:p>
    <w:p>
      <w:pPr>
        <w:spacing w:after="200" w:line="300"/>
        <w:jc w:val="both"/>
      </w:pPr>
      <w:r>
        <w:rPr>
          <w:b/>
          <w:bCs/>
        </w:rPr>
        <w:t xml:space="preserve">Chapter 2 (Literature Review)</w:t>
      </w:r>
      <w:r>
        <w:t xml:space="preserve"> establishes the technical background needed to follow the rest of the thesis — retrieval-augmented generation, corpus poisoning, and the vocabulary used to describe attack success and defense behaviour — before reviewing the related work in three groups: the corpus-poisoning threat model and the defenses proposed directly against it (PoisonedRAG, TrustRAG, ControlNet, Adaptive Defense Orchestration, and TriShieldRAG); the broader landscape of prompt-injection, jailbreaking, and multi-vector attacks against large language models, which shares infrastructure and motivation with corpus poisoning even though it is not this thesis's primary target; and a closing synthesis that identifies precisely what gap in that literature this thesis is positioned to fill.</w:t>
      </w:r>
    </w:p>
    <w:p>
      <w:pPr>
        <w:spacing w:after="200" w:line="300"/>
        <w:jc w:val="both"/>
      </w:pPr>
      <w:r>
        <w:rPr>
          <w:b/>
          <w:bCs/>
        </w:rPr>
        <w:t xml:space="preserve">Chapter 3 (Requirements, Impacts and Constraints)</w:t>
      </w:r>
      <w:r>
        <w:t xml:space="preserve"> specifies the functional and non-functional requirements the study must satisfy for its results to be meaningful, the threat model formalised as a set of concrete assumptions, the practical constraints — time, hardware, data, and methodological — that shaped the design, and a structured account of the project's societal impact, environmental footprint, ethical considerations, applicable standards, risk management strategy, and economic analysis.</w:t>
      </w:r>
    </w:p>
    <w:p>
      <w:pPr>
        <w:spacing w:after="200" w:line="300"/>
        <w:jc w:val="both"/>
      </w:pPr>
      <w:r>
        <w:t xml:space="preserve">Chapters beyond the third, covering the detailed technical design of PoisonGuard-RAG's retrieval and risk-scoring pipeline, the full experimental protocol, the complete result analysis across all three benchmarks and five poison rates, and the concluding discussion of findings, are developed later in the thesis and are not part of the scope of this submission.</w:t>
      </w:r>
    </w:p>
    <w:p>
      <w:r>
        <w:br w:type="page"/>
      </w:r>
    </w:p>
    <w:p>
      <w:pPr>
        <w:pStyle w:val="Heading1"/>
        <w:spacing w:after="200" w:before="360"/>
      </w:pPr>
      <w:r>
        <w:t xml:space="preserve">Chapter 2</w:t>
      </w:r>
    </w:p>
    <w:p>
      <w:pPr>
        <w:pStyle w:val="Heading1"/>
        <w:spacing w:after="200" w:before="360"/>
      </w:pPr>
      <w:r>
        <w:t xml:space="preserve">Literature Review</w:t>
      </w:r>
    </w:p>
    <w:p>
      <w:pPr>
        <w:pStyle w:val="Heading2"/>
        <w:spacing w:after="160" w:before="320"/>
      </w:pPr>
      <w:r>
        <w:t xml:space="preserve">2.1 Preliminaries</w:t>
      </w:r>
    </w:p>
    <w:p>
      <w:pPr>
        <w:spacing w:after="200" w:line="300"/>
        <w:jc w:val="both"/>
      </w:pPr>
      <w:r>
        <w:t xml:space="preserve">This section fixes the vocabulary used throughout the rest of the thesis. Corpus-poisoning research borrows terms from information retrieval, from adversarial machine learning, and from the broader large-language-model security literature, and those terms are not always used consistently across papers. The definitions below are the ones adopted here.</w:t>
      </w:r>
    </w:p>
    <w:p>
      <w:pPr>
        <w:spacing w:after="200" w:line="300"/>
        <w:jc w:val="both"/>
      </w:pPr>
      <w:r>
        <w:rPr>
          <w:b/>
          <w:bCs/>
        </w:rPr>
        <w:t xml:space="preserve">Large Language Model (LLM).</w:t>
      </w:r>
      <w:r>
        <w:t xml:space="preserve"> A large language model is a deep neural network, almost always built on the transformer architecture, trained on very large text corpora to predict the next token in a sequence. That single training objective, scaled up, produces models capable of answering questions, summarising documents, writing code, and following natural-language instructions [6], [26]. Everything an LLM "knows" is frozen at the point its training data was collected; this frozen, internal knowledge is referred to throughout this thesis as the model's </w:t>
      </w:r>
      <w:r>
        <w:rPr>
          <w:b/>
          <w:bCs/>
        </w:rPr>
        <w:t xml:space="preserve">parametric knowledge</w:t>
      </w:r>
      <w:r>
        <w:t xml:space="preserve">, to distinguish it clearly from anything supplied to the model at inference time.</w:t>
      </w:r>
    </w:p>
    <w:p>
      <w:pPr>
        <w:spacing w:after="200" w:line="300"/>
        <w:jc w:val="both"/>
      </w:pPr>
      <w:r>
        <w:rPr>
          <w:b/>
          <w:bCs/>
        </w:rPr>
        <w:t xml:space="preserve">Retrieval-Augmented Generation (RAG).</w:t>
      </w:r>
      <w:r>
        <w:t xml:space="preserve"> RAG is an architecture that pairs an LLM with an external, queryable knowledge store [1], [24]. At inference time, an incoming query is encoded and compared against a pre-built index of document embeddings; the top-ranked passages are retrieved and concatenated with the query into the model's context window, and the model is instructed to answer using that retrieved evidence. This lets a system answer questions about information the model was never trained on, and, done well, lets it cite exactly which document supported which part of its answer. The two components — retriever and generator — are usually trained and evaluated separately, which is part of why the security properties of the combined pipeline are easy to overlook: each component in isolation can look reasonable while the composition is not.</w:t>
      </w:r>
    </w:p>
    <w:p>
      <w:pPr>
        <w:spacing w:after="200" w:line="300"/>
        <w:jc w:val="both"/>
      </w:pPr>
      <w:r>
        <w:rPr>
          <w:b/>
          <w:bCs/>
        </w:rPr>
        <w:t xml:space="preserve">Retriever.</w:t>
      </w:r>
      <w:r>
        <w:t xml:space="preserve"> The retriever is the component responsible for turning a natural-language query into a short list of candidate passages. Sparse retrievers such as TF-IDF and BM25 match on lexical overlap; dense retrievers such as DPR, ANCE, and Contriever instead embed queries and documents into a shared vector space and match on geometric proximity, which is what allows them to find semantically relevant passages that share no exact wording with the query [5], [25]. This thesis, in the methodology developed later, uses Contriever [25] as its retriever, consistent with common practice in the corpus-poisoning literature.</w:t>
      </w:r>
    </w:p>
    <w:p>
      <w:pPr>
        <w:spacing w:after="200" w:line="300"/>
        <w:jc w:val="both"/>
      </w:pPr>
      <w:r>
        <w:rPr>
          <w:b/>
          <w:bCs/>
        </w:rPr>
        <w:t xml:space="preserve">Corpus poisoning.</w:t>
      </w:r>
      <w:r>
        <w:t xml:space="preserve"> Corpus poisoning is an attack in which an adversary injects a small number of adversarial documents directly into the knowledge base a RAG system retrieves from, with the goal of manipulating the system's answer to one or more targeted queries [1]. This is distinct from </w:t>
      </w:r>
      <w:r>
        <w:rPr>
          <w:b/>
          <w:bCs/>
        </w:rPr>
        <w:t xml:space="preserve">prompt injection</w:t>
      </w:r>
      <w:r>
        <w:t xml:space="preserve">, in which malicious instructions are embedded in otherwise legitimate content so as to override a model's behaviour rather than to corrupt a specific fact [5], [7]; and it is distinct from </w:t>
      </w:r>
      <w:r>
        <w:rPr>
          <w:b/>
          <w:bCs/>
        </w:rPr>
        <w:t xml:space="preserve">jailbreaking</w:t>
      </w:r>
      <w:r>
        <w:t xml:space="preserve">, in which an adversary manipulates a model into bypassing its own safety alignment to produce content it was trained to refuse [6], [9]. All three are attacks on the same underlying system, and a production LLM application can face any combination of them at once — a case this thesis returns to in Section 2.2.7 — but they require different mechanisms to execute and, importantly, different mechanisms to defend against. This thesis targets corpus poisoning specifically.</w:t>
      </w:r>
    </w:p>
    <w:p>
      <w:pPr>
        <w:spacing w:after="200" w:line="300"/>
        <w:jc w:val="both"/>
      </w:pPr>
      <w:r>
        <w:rPr>
          <w:b/>
          <w:bCs/>
        </w:rPr>
        <w:t xml:space="preserve">Retrieval trigger and generation payload.</w:t>
      </w:r>
      <w:r>
        <w:t xml:space="preserve"> PoisonedRAG's formulation of corpus poisoning splits a poisoned document into two parts that are optimised together: a retrieval trigger, engineered to sit close to the target query in embedding space so the document is retrieved into the top-</w:t>
      </w:r>
      <w:r>
        <w:rPr>
          <w:i/>
          <w:iCs/>
        </w:rPr>
        <w:t xml:space="preserve">k</w:t>
      </w:r>
      <w:r>
        <w:t xml:space="preserve"> results, and a generation payload, a false claim written so a helpful, instruction-following LLM will treat it as the answer and reproduce it [1]. This two-part construction is what makes the attack effective against dense retrievers of very different architectures at once, since the trigger only needs to exploit the shared property that dense encoders rank text by geometric closeness, not any implementation detail specific to one encoder [1], [5].</w:t>
      </w:r>
    </w:p>
    <w:p>
      <w:pPr>
        <w:spacing w:after="200" w:line="300"/>
        <w:jc w:val="both"/>
      </w:pPr>
      <w:r>
        <w:rPr>
          <w:b/>
          <w:bCs/>
        </w:rPr>
        <w:t xml:space="preserve">Accuracy (ACC) and Attack Success Rate (ASR).</w:t>
      </w:r>
      <w:r>
        <w:t xml:space="preserve"> Accuracy measures the fraction of queries for which a system's answer matches the correct, ground-truth answer. Attack success rate measures the fraction of targeted queries for which a system's answer matches the attacker's intended false answer rather than the correct one [1]. These two metrics are not simply mirror images of each other: a system can have low ASR and low ACC at once, if it avoids repeating the attacker's false answer but also fails to produce the correct one — for instance by refusing to answer, or by producing a third, unrelated answer. Reporting ASR without also reporting ACC, or ACC without an accompanying refusal rate, is a recurring gap this thesis identifies in the published defense literature and deliberately avoids repeating, for reasons developed in Section 1.2.</w:t>
      </w:r>
    </w:p>
    <w:p>
      <w:pPr>
        <w:spacing w:after="200" w:line="300"/>
        <w:jc w:val="both"/>
      </w:pPr>
      <w:r>
        <w:rPr>
          <w:b/>
          <w:bCs/>
        </w:rPr>
        <w:t xml:space="preserve">Risk score and AUROC.</w:t>
      </w:r>
      <w:r>
        <w:t xml:space="preserve"> A risk score is a single number a defense pipeline assigns to a query and its retrieved evidence, intended to reflect how likely that batch of evidence is to contain poisoned content. Area under the receiver operating characteristic curve, or AUROC, is the standard way of evaluating how good such a score is as a detector: it measures the probability that a randomly chosen poisoned query is assigned a higher risk score than a randomly chosen clean query, independent of any specific decision threshold. An AUROC of 0.5 indicates a risk score with no useful signal at all — equivalent to guessing — while an AUROC approaching 1.0 indicates a score that separates poisoned from clean queries almost perfectly. This thesis reports AUROC for PoisonGuard-RAG's own internal risk score as part of its mechanism-level analysis, precisely because a defense that claims to use a risk signal should be willing to show how good that signal actually is, benchmark by benchmark, rather than asserting that risk-aware routing works without evidence that the risk estimate itself is meaningful.</w:t>
      </w:r>
    </w:p>
    <w:p>
      <w:pPr>
        <w:spacing w:after="200" w:line="300"/>
        <w:jc w:val="both"/>
      </w:pPr>
      <w:r>
        <w:rPr>
          <w:b/>
          <w:bCs/>
        </w:rPr>
        <w:t xml:space="preserve">Benchmark question-answering datasets.</w:t>
      </w:r>
      <w:r>
        <w:t xml:space="preserve"> This thesis, and most of the literature it reviews, evaluates corpus-poisoning defenses on three widely used open-domain and multi-hop question-answering benchmarks. Natural Questions consists of real, anonymised Google search queries paired with answers drawn from Wikipedia, and is typically used to represent single-hop, open-domain factoid questions. HotpotQA is constructed so that answering many of its questions correctly requires combining evidence from two or more distinct passages rather than relying on a single retrieved document, making it a natural benchmark for multi-hop reasoning. MS-MARCO is built from real, anonymised Bing search queries and is characteristically short, high-volume, and web-search-style in phrasing. These three datasets are used throughout this thesis, and throughout much of the literature reviewed in this chapter, precisely because their structural differences — single-hop factoid, multi-hop reasoning, and short web-search-style — stress a defense's robustness in different ways, and a defense that only works well on one of them cannot be said to generalise.</w:t>
      </w:r>
    </w:p>
    <w:p>
      <w:pPr>
        <w:spacing w:after="200" w:line="300"/>
        <w:jc w:val="both"/>
      </w:pPr>
      <w:r>
        <w:rPr>
          <w:b/>
          <w:bCs/>
        </w:rPr>
        <w:t xml:space="preserve">Poison rate.</w:t>
      </w:r>
      <w:r>
        <w:t xml:space="preserve"> Poison rate describes what fraction of the retrieved top-</w:t>
      </w:r>
      <w:r>
        <w:rPr>
          <w:i/>
          <w:iCs/>
        </w:rPr>
        <w:t xml:space="preserve">k</w:t>
      </w:r>
      <w:r>
        <w:t xml:space="preserve"> passages for a given query are adversarial, and is normally swept from a clean control up to a worst case where every retrieved passage is poisoned, since a defense's behaviour under moderate poisoning can differ sharply from its behaviour when the attacker dominates the retrieved set entirely [1].</w:t>
      </w:r>
    </w:p>
    <w:p>
      <w:pPr>
        <w:spacing w:after="200" w:line="300"/>
        <w:jc w:val="both"/>
      </w:pPr>
      <w:r>
        <w:rPr>
          <w:b/>
          <w:bCs/>
        </w:rPr>
        <w:t xml:space="preserve">Clean retention and filter precision.</w:t>
      </w:r>
      <w:r>
        <w:t xml:space="preserve"> Clean retention describes the share of legitimately relevant, unpoisoned passages a defense keeps rather than discards; filter precision describes what share of everything a defense discards is actually poison, as opposed to clean passages removed by mistake. A defense can report a high poison-recall figure — meaning it catches most of the poison — while still performing poorly on either of these two, meaning it achieves that recall by discarding indiscriminately. Both figures are used in this thesis precisely because poison recall alone can make an over-aggressive filter look successful when it is, in fact, gutting the evidence a system needs to answer correctly.</w:t>
      </w:r>
    </w:p>
    <w:p>
      <w:pPr>
        <w:spacing w:after="200" w:line="300"/>
        <w:jc w:val="both"/>
      </w:pPr>
      <w:r>
        <w:rPr>
          <w:b/>
          <w:bCs/>
        </w:rPr>
        <w:t xml:space="preserve">Defense-in-depth versus single-checkpoint defense.</w:t>
      </w:r>
      <w:r>
        <w:t xml:space="preserve"> A single-checkpoint defense applies exactly one detection or filtering mechanism at exactly one point in the pipeline — a perplexity filter applied once to the retrieved set, for instance. A defense-in-depth architecture instead composes several independent checks at different pipeline stages, on the reasoning that an attacker who defeats one check still has to defeat the others before the attack succeeds [5]. This distinction recurs throughout Section 2.2 and is one of the central design axes this thesis positions itself against.</w:t>
      </w:r>
    </w:p>
    <w:p>
      <w:pPr>
        <w:spacing w:after="200" w:line="300"/>
        <w:jc w:val="both"/>
      </w:pPr>
      <w:r>
        <w:rPr>
          <w:b/>
          <w:bCs/>
        </w:rPr>
        <w:t xml:space="preserve">Selective, query-aware defense.</w:t>
      </w:r>
      <w:r>
        <w:t xml:space="preserve"> A related but distinct idea is that not every incoming query is equally likely to be under attack, and that applying every available defensive check to every query regardless of risk can itself be costly — in latency, and in how much legitimate evidence gets discarded along the way. A selective or query-aware defense instead tries to estimate how suspicious a given query and its retrieved evidence look before deciding how aggressively to intervene [4]. This idea is developed most explicitly in the discussion of Adaptive Defense Orchestration in Section 2.2.5, and it is close in spirit to the risk-scoring mechanism this thesis's own defense relies on.</w:t>
      </w:r>
    </w:p>
    <w:p>
      <w:pPr>
        <w:spacing w:after="200" w:line="300"/>
        <w:jc w:val="both"/>
      </w:pPr>
      <w:r>
        <w:rPr>
          <w:b/>
          <w:bCs/>
        </w:rPr>
        <w:t xml:space="preserve">Multi-vector attack.</w:t>
      </w:r>
      <w:r>
        <w:t xml:space="preserve"> A multi-vector attack is any scenario in which more than one distinct attack technique is applied to an LLM-backed system at the same time — for example, a corpus-poisoning attack combined with a prompt-injection attempt, or a jailbreak combined with an attempt to leak private retrieved content [23]. This concept becomes directly relevant in Section 2.2.7, where the thesis reviews work on defending against combinations of attacks rather than any single attack type in isolation.</w:t>
      </w:r>
    </w:p>
    <w:p>
      <w:pPr>
        <w:pStyle w:val="Heading2"/>
        <w:spacing w:after="160" w:before="320"/>
      </w:pPr>
      <w:r>
        <w:t xml:space="preserve">2.2 Related Work</w:t>
      </w:r>
    </w:p>
    <w:p>
      <w:pPr>
        <w:pStyle w:val="Heading3"/>
        <w:spacing w:after="120" w:before="240"/>
      </w:pPr>
      <w:r>
        <w:t xml:space="preserve">2.2.1 The PoisonedRAG Threat Model and the Corpus-Poisoning Attack Surface</w:t>
      </w:r>
    </w:p>
    <w:p>
      <w:pPr>
        <w:spacing w:after="200" w:line="300"/>
        <w:jc w:val="both"/>
      </w:pPr>
      <w:r>
        <w:t xml:space="preserve">PoisonedRAG is the paper that formalised corpus poisoning as a precise, black-box attack against RAG systems, and it is the threat model this thesis adopts throughout [1]. Zou et al. show that an attacker with no access to a RAG system's model weights, and only the ability to write documents into the knowledge base it retrieves from, can construct poisoned documents by jointly optimising a retrieval trigger and a generation payload for a specific target question and a specific false answer the attacker wants the system to produce. Against a five-million-document Wikipedia knowledge base, as few as five such documents were sufficient to flip an undefended system's answer to the targeted question with attack success rates exceeding ninety percent, evaluated across several dense retrievers and several LLM generators [1]. What makes this result significant, rather than merely alarming, is what it reveals about the geometry of the problem: because the retrieval trigger is engineered to exploit the shared behaviour of dense embedding spaces rather than any property specific to one retriever, the same attack transfers well across DPR, ANCE, and Contriever alike [1], [5]. An attacker does not need to know, or guess correctly, which retriever a target system uses. They only need to know that it is a dense retriever, which describes the overwhelming majority of production RAG deployments today.</w:t>
      </w:r>
    </w:p>
    <w:p>
      <w:pPr>
        <w:spacing w:after="200" w:line="300"/>
        <w:jc w:val="both"/>
      </w:pPr>
      <w:r>
        <w:t xml:space="preserve">This thesis treats PoisonedRAG's construction as the reference threat model precisely because of that transferability. A defense evaluated only against a weaker, hand-crafted attack risks reporting robustness that evaporates the moment a real adversary uses the strongest publicly documented attack instead. Every defense reviewed in the remainder of this section, and the defense proposed in this thesis, is best understood as a response to the specific capability PoisonedRAG demonstrated: cheap, transferable, black-box control over a RAG system's answers through corpus access alone.</w:t>
      </w:r>
    </w:p>
    <w:p>
      <w:pPr>
        <w:spacing w:after="200" w:line="300"/>
        <w:jc w:val="both"/>
      </w:pPr>
      <w:r>
        <w:t xml:space="preserve">It is worth being precise about what this threat model does not cover, because the boundary matters for how this thesis positions itself against adjacent work. PoisonedRAG targets factual corruption — making the system state something false as though it were true. It is a distinct problem from indirect prompt injection, in which retrieved content hijacks the model's *behaviour* rather than corrupting a specific fact [5], [7], and from membership inference or content-leakage attacks, in which an adversary tries to learn what is in the knowledge base or to extract private retrieved text verbatim rather than to plant a false answer [4]. This distinction is not academic hair-splitting: a defense tuned to catch factual corruption, such as the one developed in this thesis, has no particular reason to also catch a membership-inference probe, and a fair reading of the literature has to keep these threat models separate rather than treating "RAG security" as a single undifferentiated problem, a point returned to in Section 2.2.5 and Section 2.3.</w:t>
      </w:r>
    </w:p>
    <w:p>
      <w:pPr>
        <w:pStyle w:val="Heading3"/>
        <w:spacing w:after="120" w:before="240"/>
      </w:pPr>
      <w:r>
        <w:t xml:space="preserve">2.2.2 Single-Stage Defenses and Their Limits</w:t>
      </w:r>
    </w:p>
    <w:p>
      <w:pPr>
        <w:spacing w:after="200" w:line="300"/>
        <w:jc w:val="both"/>
      </w:pPr>
      <w:r>
        <w:t xml:space="preserve">The earliest published defenses evaluated directly against PoisonedRAG's own threat model are single-stage checks applied once, at one point in the pipeline [1], [5]. Perplexity filtering scores each retrieved passage by how likely a language model considers its text and discards passages whose language looks statistically unnatural, on the assumption that adversarially optimised text reads oddly. Query paraphrasing rewrites the incoming query before retrieval, on the assumption that a retrieval trigger tuned to one exact phrasing will not survive a rewording. Knowledge-base expansion adds more clean documents to the corpus, on the assumption that diluting the poisoned documents among a larger clean set reduces their chance of being retrieved at all. Each of these has a genuine, defensible rationale, and each of them measurably reduces attack success rate relative to an undefended pipeline [1].</w:t>
      </w:r>
    </w:p>
    <w:p>
      <w:pPr>
        <w:spacing w:after="200" w:line="300"/>
        <w:jc w:val="both"/>
      </w:pPr>
      <w:r>
        <w:t xml:space="preserve">None of them, however, closes the gap. Reported against the non-adaptive attacker from the original PoisonedRAG evaluation, all three leave a residual attack success rate at thirty percent or higher [5]. The reason is structural rather than incidental: each of these is a single checkpoint, evaluated once, using one signal. An attacker who knows which check a target system uses only has to defeat that one check — write more fluent text to survive a perplexity filter, semantically match a paraphrased query as well as the original, or simply write enough poisoned documents that dilution alone cannot suppress them [5]. A single-checkpoint defense converts a hard problem into an easy one for the attacker: instead of having to evade an unknown, composite system, the attacker has one specific, known target to study and beat. This observation — that a single point of failure is a single point of failure regardless of how well-designed the check at that point is — is the starting motivation for every multi-stage or adaptive defense reviewed in the remainder of this section, and it is one this thesis takes seriously in its own design.</w:t>
      </w:r>
    </w:p>
    <w:p>
      <w:pPr>
        <w:pStyle w:val="Heading3"/>
        <w:spacing w:after="120" w:before="240"/>
      </w:pPr>
      <w:r>
        <w:t xml:space="preserve">2.2.3 Clean Retrieval and Conflict Resolution: TrustRAG</w:t>
      </w:r>
    </w:p>
    <w:p>
      <w:pPr>
        <w:spacing w:after="200" w:line="300"/>
        <w:jc w:val="both"/>
      </w:pPr>
      <w:r>
        <w:t xml:space="preserve">TrustRAG is the strongest published open defense against corpus poisoning available at the time this study was carried out, and it is the primary baseline this thesis benchmarks against [2]. Zhou et al. structure TrustRAG as a two-stage pipeline. The first stage, </w:t>
      </w:r>
      <w:r>
        <w:rPr>
          <w:b/>
          <w:bCs/>
        </w:rPr>
        <w:t xml:space="preserve">Clean Retrieval</w:t>
      </w:r>
      <w:r>
        <w:t xml:space="preserve">, exploits an empirical observation about how PoisonedRAG-style attacks are constructed: because poisoned documents for a given target query are optimised toward the same retrieval trigger, they tend to cluster tightly together in embedding space, distinctly from the more diffusely spread clean documents relevant to that query. TrustRAG applies K-means clustering to the retrieved set and filters out the cluster that looks anomalously tight, using ROUGE-based word-overlap scoring to avoid discarding clean documents that happen to be genuinely similar to one another. The second stage, </w:t>
      </w:r>
      <w:r>
        <w:rPr>
          <w:b/>
          <w:bCs/>
        </w:rPr>
        <w:t xml:space="preserve">Conflict Resolution</w:t>
      </w:r>
      <w:r>
        <w:t xml:space="preserve">, has the LLM itself extract what it already knows about the query from its own parametric knowledge, group the surviving retrieved passages into internally consistent clusters, and select the best-supported final answer — reconciling the model's own knowledge against whatever evidence survived the first stage rather than trusting the retrieved set unconditionally [2].</w:t>
      </w:r>
    </w:p>
    <w:p>
      <w:pPr>
        <w:spacing w:after="200" w:line="300"/>
        <w:jc w:val="both"/>
      </w:pPr>
      <w:r>
        <w:t xml:space="preserve">TrustRAG's own reported results are strong: up to an eighty-percentage-point reduction in attack success rate relative to an undefended baseline, and up to a thirty-percentage-point improvement in response accuracy across several LLMs, evaluated as a plug-and-play, training-free module that requires no modification to the underlying retriever or generator [2]. Our own reproduction of TrustRAG, run under an identical Contriever retriever and Llama-3.1-8B generator to every other system compared in this thesis, confirms that TrustRAG is a genuinely strong defense: on our benchmark panel it raised clean accuracy above the undefended baseline on two of three datasets and drove mean attack success rate down into the single digits on most conditions.</w:t>
      </w:r>
    </w:p>
    <w:p>
      <w:pPr>
        <w:spacing w:after="200" w:line="300"/>
        <w:jc w:val="both"/>
      </w:pPr>
      <w:r>
        <w:t xml:space="preserve">That strength comes at a cost the original paper does not foreground, and which this thesis treats as central rather than incidental. TrustRAG's second stage requires the generator to perform an additional extraction-and-reconciliation pass over the retrieved evidence before it commits to a final answer, on top of the clustering computation in the first stage. In our measurements, this two-stage pipeline's mean response latency sat between roughly twenty-one and twenty-seven seconds per query across the three benchmarks — three to four times the latency this thesis's own defense achieves under the same conditions, developed and measured in the chapters that follow. TrustRAG's clustering stage is also not uniformly precise: on our MS-MARCO benchmark, where retrieved passages are short and web-search-style, filtering precision fell below thirty-seven percent, meaning that the majority of what the clustering stage discarded on that dataset was not actually poisoned content. TrustRAG demonstrates, convincingly, that clean retrieval plus conflict resolution is a substantially stronger design than any single-checkpoint filter. What it does not demonstrate is that this strength can be had without a significant latency cost, and this thesis argues that any defense claiming to improve on TrustRAG has to show it can match or beat this robustness without simply reproducing, or worsening, that cost.</w:t>
      </w:r>
    </w:p>
    <w:p>
      <w:pPr>
        <w:pStyle w:val="Heading3"/>
        <w:spacing w:after="120" w:before="240"/>
      </w:pPr>
      <w:r>
        <w:t xml:space="preserve">2.2.4 Query-Flow Firewalls: ControlNet</w:t>
      </w:r>
    </w:p>
    <w:p>
      <w:pPr>
        <w:spacing w:after="200" w:line="300"/>
        <w:jc w:val="both"/>
      </w:pPr>
      <w:r>
        <w:t xml:space="preserve">Where TrustRAG operates on the retrieved passage set, ControlNet operates on the query and response flow around the RAG pipeline as a whole, framing itself explicitly as a firewall rather than a filter [3]. Yao et al. observe that RAG deployments increasingly serve multiple roles with different access rights against the same knowledge base — a hospital's doctors, administrators, and patients querying the same underlying medical records system, for instance — and that this multi-role structure introduces both a </w:t>
      </w:r>
      <w:r>
        <w:rPr>
          <w:b/>
          <w:bCs/>
        </w:rPr>
        <w:t xml:space="preserve">data-breaching risk</w:t>
      </w:r>
      <w:r>
        <w:t xml:space="preserve">, where a client's query extracts information beyond their authorised access, and a </w:t>
      </w:r>
      <w:r>
        <w:rPr>
          <w:b/>
          <w:bCs/>
        </w:rPr>
        <w:t xml:space="preserve">data-poisoning risk</w:t>
      </w:r>
      <w:r>
        <w:t xml:space="preserve">, where a malicious knowledge provider injects misleading documents into the shared vector database. ControlNet detects and mitigates both by monitoring internal activation patterns inside the LLM: the authors show that semantically divergent or privilege-violating query flows produce a measurably different activation shift inside the model than benign flows do, and ControlNet uses this signal, rather than surface-level keyword matching, to steer the model's behaviour away from harmful responses before generation completes. Evaluated across three open-source LLMs and four benchmark datasets, ControlNet achieves an AUROC exceeding 0.909 for risk detection, with precision and recall degrading by less than 0.03 and 0.09 respectively relative to an undefended system — figures the authors present as evidence that the firewall is not merely effective but comparatively harmless to normal traffic [3].</w:t>
      </w:r>
    </w:p>
    <w:p>
      <w:pPr>
        <w:spacing w:after="200" w:line="300"/>
        <w:jc w:val="both"/>
      </w:pPr>
      <w:r>
        <w:t xml:space="preserve">ControlNet's contribution to this thesis's argument is less about its specific detection mechanism and more about the framing it makes explicit: that a RAG system's security properties are a property of the *whole* query-to-response flow, tied to who is asking and what they are authorised to know, not only a property of whether any individual retrieved document happens to be adversarial. This is a genuinely different axis of risk from the one PoisonedRAG and TrustRAG address, and this thesis does not claim to defend against it; ControlNet's role in this literature review is to make clear that corpus poisoning, the threat this thesis targets, is one slice of a larger RAG security surface, and that a defense scoped narrowly to corpus poisoning — as this thesis's own defense is — should say so plainly rather than implying it solves RAG security in general.</w:t>
      </w:r>
    </w:p>
    <w:p>
      <w:pPr>
        <w:pStyle w:val="Heading3"/>
        <w:spacing w:after="120" w:before="240"/>
      </w:pPr>
      <w:r>
        <w:t xml:space="preserve">2.2.5 Adaptive, Query-Aware Orchestration: ADO / Sentinel-Strategist</w:t>
      </w:r>
    </w:p>
    <w:p>
      <w:pPr>
        <w:spacing w:after="200" w:line="300"/>
        <w:jc w:val="both"/>
      </w:pPr>
      <w:r>
        <w:t xml:space="preserve">Adaptive Defense Orchestration makes an argument that directly informs this thesis's central claim about the cost of defense, and does so with numbers that are hard to dismiss [4]. Pallerla et al. start from the observation that RAG systems deployed in sensitive domains face several distinct attack vectors at once — membership inference, data poisoning, and content leakage — and that the straightforward response of enabling every relevant defense simultaneously, which they term a </w:t>
      </w:r>
      <w:r>
        <w:rPr>
          <w:b/>
          <w:bCs/>
        </w:rPr>
        <w:t xml:space="preserve">static full-defense stack</w:t>
      </w:r>
      <w:r>
        <w:t xml:space="preserve">, is itself a serious mistake: in their experiments, an always-on stack of three defenses reduced contextual recall by more than forty percent relative to an undefended baseline. The authors name this the </w:t>
      </w:r>
      <w:r>
        <w:rPr>
          <w:b/>
          <w:bCs/>
        </w:rPr>
        <w:t xml:space="preserve">security-utility paradox</w:t>
      </w:r>
      <w:r>
        <w:t xml:space="preserve">: because the defensive mechanisms interact — differentially-private retrieval perturbs similarity scores inside the retriever, clustering-based filtering discards documents, and attention-variance checks prune context — stacking all of them indiscriminately compounds their individual utility costs into a collapse in the system's ability to answer legitimate queries at all, even though each defense in isolation is comparatively cheap.</w:t>
      </w:r>
    </w:p>
    <w:p>
      <w:pPr>
        <w:spacing w:after="200" w:line="300"/>
        <w:jc w:val="both"/>
      </w:pPr>
      <w:r>
        <w:t xml:space="preserve">Their proposed fix, the </w:t>
      </w:r>
      <w:r>
        <w:rPr>
          <w:b/>
          <w:bCs/>
        </w:rPr>
        <w:t xml:space="preserve">Sentinel-Strategist architecture</w:t>
      </w:r>
      <w:r>
        <w:t xml:space="preserve">, separates risk assessment from defense enforcement into two stages: a lightweight Sentinel continuously monitors cheap pipeline signals — lexical query overlap and vector-space dispersion among retrieved documents — and compresses them into a structured per-query risk profile, while a Strategist maps that profile onto which of four enforcement hooks to activate, and how strictly, rather than running every defense on every query regardless of whether the query looks suspicious. Evaluated across three benchmark datasets and five orchestration models, this selective activation eliminates the membership-inference leakage that the static stack allowed while recovering retrieval utility close to the undefended baseline, and under data poisoning specifically, the strongest ADO variants reduce attack success to near zero while restoring contextual recall to more than seventy-five percent of the undefended figure [4].</w:t>
      </w:r>
    </w:p>
    <w:p>
      <w:pPr>
        <w:spacing w:after="200" w:line="300"/>
        <w:jc w:val="both"/>
      </w:pPr>
      <w:r>
        <w:t xml:space="preserve">ADO is, in the language this thesis has used throughout, the first piece of published work in this review to treat the cost of defense as a first-class research question rather than an afterthought, and its central finding — that applying every defense to every query is not merely wasteful but actively counter-productive — is directly consistent with the position this thesis takes in Section 1.2. Where this thesis differs from ADO is in threat scope and evaluation depth against that specific threat: ADO evaluates orchestration primarily against membership inference and a more generic formulation of data poisoning, without applying the PoisonedRAG trigger-and-payload construction specifically, and without reporting the per-query latency or refusal-rate figures that this thesis treats as mandatory alongside any robustness claim. ADO makes the case that selectivity matters; it does not, on its own, tell a reader how a selective defense behaves against the strongest documented corpus-poisoning attack, measured against latency and refusal rate at the same time. That is precisely the gap this thesis's own evaluation is designed to close.</w:t>
      </w:r>
    </w:p>
    <w:p>
      <w:pPr>
        <w:pStyle w:val="Heading3"/>
        <w:spacing w:after="120" w:before="240"/>
      </w:pPr>
      <w:r>
        <w:t xml:space="preserve">2.2.6 Defense-in-Depth: TriShieldRAG</w:t>
      </w:r>
    </w:p>
    <w:p>
      <w:pPr>
        <w:spacing w:after="200" w:line="300"/>
        <w:jc w:val="both"/>
      </w:pPr>
      <w:r>
        <w:t xml:space="preserve">TriShieldRAG takes the opposite structural bet from ADO's selectivity argument, and its numbers are the strongest attack-success-rate reduction reported anywhere in this review [5]. Mohanty et al. observe, correctly, that every single-stage defense evaluated directly against PoisonedRAG — perplexity filtering, query paraphrasing, knowledge-base expansion — is, in their words, a single checkpoint, and a single checkpoint is a single point of failure: an attacker only has to study and defeat the one check a target system uses. Their response is a </w:t>
      </w:r>
      <w:r>
        <w:rPr>
          <w:b/>
          <w:bCs/>
        </w:rPr>
        <w:t xml:space="preserve">three-ring, defense-in-depth architecture</w:t>
      </w:r>
      <w:r>
        <w:t xml:space="preserve">: an Ingest Guard that screens documents for lexical and statistical poisoning signatures as they are added to the knowledge base, a Retrieval Scorer that re-ranks the retrieved top-</w:t>
      </w:r>
      <w:r>
        <w:rPr>
          <w:i/>
          <w:iCs/>
        </w:rPr>
        <w:t xml:space="preserve">k</w:t>
      </w:r>
      <w:r>
        <w:t xml:space="preserve"> by a provenance- and consistency-weighted trust score once a query arrives, and a Cross-LLM Consensus stage that polls a panel of three architecturally diverse language models and triggers bounded re-retrieval whenever they disagree on the answer. Because each ring inspects a different signal — lexical and embedding-outlier patterns at ingest, inter-document consistency and provenance at retrieval, and cross-model agreement at generation — a single poisoned document has to simultaneously defeat all three rings rather than just one, which the authors formalise as a </w:t>
      </w:r>
      <w:r>
        <w:rPr>
          <w:b/>
          <w:bCs/>
        </w:rPr>
        <w:t xml:space="preserve">minority-poison assumption</w:t>
      </w:r>
      <w:r>
        <w:t xml:space="preserve">: the consensus mechanism only recovers the correct answer when poisoned documents remain a minority of the retrieved top-</w:t>
      </w:r>
      <w:r>
        <w:rPr>
          <w:i/>
          <w:iCs/>
        </w:rPr>
        <w:t xml:space="preserve">k</w:t>
      </w:r>
      <w:r>
        <w:t xml:space="preserve">, a condition their evaluation confirms is consistent with their reported results though not yet independently verified across the full range of poison rates.</w:t>
      </w:r>
    </w:p>
    <w:p>
      <w:pPr>
        <w:spacing w:after="200" w:line="300"/>
        <w:jc w:val="both"/>
      </w:pPr>
      <w:r>
        <w:t xml:space="preserve">Evaluated against the non-adaptive attacker from the original PoisonedRAG paper, over a five-thousand-document knowledge base and ten target questions, TriShieldRAG's full pipeline reduces attack success rate from roughly ninety-one percent to roughly thirteen percent [5] — the largest single reduction reported in this review, and a figure that, on its face, makes a compelling case for defense-in-depth as the right structural answer to a single-checkpoint attack. It is important, however, to be precise about what this figure does and does not establish, because the authors themselves are candid about the limits of their initial evaluation. TriShieldRAG's reported result reflects a single evaluation configuration rather than a swept poison-rate curve, its consensus stage requires querying three separate LLMs for every contested query, and the paper explicitly identifies as future work the evaluation of an adaptive attacker aware of TriShieldRAG's own three-ring design, rather than only the non-adaptive attacker its current result is measured against [5]. Just as importantly for this thesis's argument, per-query latency, refusal rate, and accuracy on the subset of queries where poison survives all three rings are not reported at all. A three-model consensus stage that only activates on disagreement is a reasonable attempt to control cost, but "we did not report the cost" is not the same claim as "the cost is low," and this thesis treats that omission as exactly the kind of gap its own evaluation protocol — which reports latency and refusal rate for every system, without exception — is designed to close.</w:t>
      </w:r>
    </w:p>
    <w:p>
      <w:pPr>
        <w:pStyle w:val="Heading3"/>
        <w:spacing w:after="120" w:before="240"/>
      </w:pPr>
      <w:r>
        <w:t xml:space="preserve">2.2.7 The Wider LLM Attack Surface: Prompt Injection, Jailbreaking, and Multi-Vector Attacks</w:t>
      </w:r>
    </w:p>
    <w:p>
      <w:pPr>
        <w:spacing w:after="200" w:line="300"/>
        <w:jc w:val="both"/>
      </w:pPr>
      <w:r>
        <w:t xml:space="preserve">Corpus poisoning does not happen in isolation from the rest of the LLM security landscape, and a production RAG deployment that has hardened itself against PoisonedRAG-style attacks can still be broken by an adversary who simply attacks it a different way. A closely related BRAC University study, developed independently of this thesis but reviewing much of the same broader threat landscape, makes exactly this point as its central motivation: most published LLM security research targets one attack type in isolation, while a significant gap remains in understanding what happens when an adversary combines several attack types against the same system at once [23]. That study's review of the wider attack surface is instructive background for this thesis, because it makes clear how much of the field's attention has gone to attacks and defenses that sit immediately adjacent to, but distinct from, the corpus-poisoning problem this thesis targets.</w:t>
      </w:r>
    </w:p>
    <w:p>
      <w:pPr>
        <w:spacing w:after="200" w:line="300"/>
        <w:jc w:val="both"/>
      </w:pPr>
      <w:r>
        <w:t xml:space="preserve">On jailbreaking specifically, Shen et al.'s large-scale study of in-the-wild "Do Anything Now" role-play jailbreak prompts found attack success rates as high as 99.8 percent in some scenarios against widely deployed commercial models, and showed that RLHF-based alignment, while somewhat resistant to directly forbidden requests, exhibits markedly weaker resistance once a jailbreak prompt is layered on top of the request [6]. Liu et al.'s Disguise-and-Reconstruction Attack exploited the specific weakness that safety-tuned models are trained to refuse harmful *requests* but are less carefully guarded against producing harmful content when that content appears inside their own *answers*, achieving attack success rates above ninety percent across several target models [17]. Wu et al.'s Dictionary Jailbreak with Multi-round Induction combined a custom language-substitution dictionary with staged prompt injection and a final appeal to educational or moral framing to push down the cost of generating successful black-box jailbreaks on both ChatGPT-4o and Gemini Pro [22]. On the defense side of jailbreaking, Wang et al.'s backtranslation defense — rewriting a model's own response back into a hypothetical prompt to check whether the model would have refused that reformulation — achieved an eighty-eight percent defense success rate against GPT-3.5-turbo without any additional model training, comfortably ahead of paraphrase-based and smoothing-based alternatives [10]; Bombieri et al.'s AI-Guard, an external moderation layer built on the Granite-Guardian model, blocked up to ninety-five percent of harmful outputs while preserving over ninety-six percent of legitimately safe ones [11]; and Tsmindashvili et al.'s Archias combined a fine-tuned classifier with retrieval-augmented context checking to reach ninety-four percent accuracy at distinguishing genuine requests from manipulation attempts, though on a benchmark of only one hundred fifty samples [18].</w:t>
      </w:r>
    </w:p>
    <w:p>
      <w:pPr>
        <w:spacing w:after="200" w:line="300"/>
        <w:jc w:val="both"/>
      </w:pPr>
      <w:r>
        <w:t xml:space="preserve">On prompt injection specifically — the closest adjacent threat to corpus poisoning, since both can be delivered through content a RAG system retrieves rather than through the user's own query — Lan et al. combined a banned-term list, embedding-based similarity search, and a fine-tuned BERT classifier into a layered detector that reached ninety-nine percent accuracy on a general-purpose dataset, though accuracy fell to ninety-one percent on a narrower, less diverse assistant-specific use case, a gap the authors attribute directly to limited training data diversity [7]. Rahman et al. showed the scale of that same gap in a different form: a fine-tuned XLM-RoBERTa prompt-injection classifier reached 99.13 percent accuracy, against just 55.17 percent for the same architecture without fine-tuning, on a modest 116-sample test set [12]. Gacozi et al. measured prompt-injection exposure directly in commercial deployment contexts — customer service, content creation, and educational tools — using an Extraction Success Rate and an Information Sensitivity Score, and found the highest sensitivity-weighted risk specifically in educational tools, where extracted information tended to be more consequential per successful attack [13]. Joshi et al. targeted the financial sector specifically, proposing role-based access control, keyword-triggered ignore-attack detection, and cryptographically signed prompt authorisation as layered defenses for LLM-integrated financial applications, though notably without reporting empirical attack-success-rate results to validate the design [21]. Pedro et al.'s LangShield addressed a narrower but concretely dangerous variant — SQL injection carried through an LLM-integrated database application — with a four-technique defense (query rewriting, query checking, in-prompt data preloading, and an LLM guard) that outperformed the existing Rebuff baseline [15]. Gokcimen and Das combined transformer-based input classification, semantic sanitisation, and cross-model evaluation across five separate generators, correctly flagging all eight test cases in their evaluation while explicitly reporting a persistent dataset-dependency limitation [14].</w:t>
      </w:r>
    </w:p>
    <w:p>
      <w:pPr>
        <w:spacing w:after="200" w:line="300"/>
        <w:jc w:val="both"/>
      </w:pPr>
      <w:r>
        <w:t xml:space="preserve">Two further threads matter for how this thesis frames itself. First, on detection strategies orthogonal to blocking specific attack payloads, Lee et al. showed that jailbroken prompts differ measurably from benign ones on linguistic features alone — jailbroken prompts averaged 1897.78 characters against 1098.75 for benign prompts in their dataset — and that a logistic-regression and MLP ensemble trained on these features reached 88.6 and 91.59 percent accuracy respectively, without needing to know the specific attack technique in advance [9]; and Sayeedi et al.'s JailbreakTracer combined synthetic adversarial-prompt generation with explainable classification to reach 97.25 percent jailbreak-detection accuracy and 100 percent accuracy at categorising *why* a prompt was malicious across thirteen reasoning-based categories, explicitly prioritising interpretability alongside raw detection performance [19]. Second, and most directly relevant to this thesis's framing, Liu et al.'s large-scale benchmark evaluating five attack types against ten defenses across ten different LLMs found that a newly formalised </w:t>
      </w:r>
      <w:r>
        <w:rPr>
          <w:b/>
          <w:bCs/>
        </w:rPr>
        <w:t xml:space="preserve">Combined Attack</w:t>
      </w:r>
      <w:r>
        <w:t xml:space="preserve"> — blending several existing single-vector strategies into one payload — was the single most effective attack in their entire benchmark, that most existing defenses failed to stop it, and, most troublingly for anyone assuming bigger models are safer, that larger and more capable models tended to be *more* vulnerable to combined attacks, not less [20]. Akter et al.'s complementary contribution was not a new attack or defense but an accessible, browser-based educational labware module for teaching data-poisoning concepts without requiring specialised infrastructure — a reminder that part of closing this gap is workforce education, not only new algorithms [16].</w:t>
      </w:r>
    </w:p>
    <w:p>
      <w:pPr>
        <w:spacing w:after="200" w:line="300"/>
        <w:jc w:val="both"/>
      </w:pPr>
      <w:r>
        <w:t xml:space="preserve">Read together, this body of work supports a conclusion this thesis takes seriously in scoping its own contribution: single-vector defenses against jailbreaking and prompt injection are improving quickly and are individually often quite strong, several clearing ninety percent accuracy or defense-success-rate on their own benchmarks, but they are evaluated overwhelmingly against isolated attack types, and the one study in this review that explicitly tests combined attacks found that combination beats every individual defense tested against it [20]. That finding — echoed structurally by TriShieldRAG's argument that a single checkpoint is a single point of failure [5], and by ADO's argument that stacking every defense indiscriminately is itself a mistake [4] — is precisely why this thesis does not treat corpus poisoning as a problem that can be solved by adding one more filter to a RAG pipeline, and instead builds a defense that reasons about retrieved evidence relative to what the model already knows, rather than trying to be a single, sufficient checkpoint of its own.</w:t>
      </w:r>
    </w:p>
    <w:p>
      <w:pPr>
        <w:pStyle w:val="Heading2"/>
        <w:spacing w:after="160" w:before="320"/>
      </w:pPr>
      <w:r>
        <w:t xml:space="preserve">2.3 Summary and Research Gap</w:t>
      </w:r>
    </w:p>
    <w:p>
      <w:pPr>
        <w:spacing w:after="200" w:line="300"/>
        <w:jc w:val="both"/>
      </w:pPr>
      <w:r>
        <w:t xml:space="preserve">The literature reviewed in this chapter establishes three things clearly. First, corpus poisoning against retrieval-augmented generation is a real, cheap, and highly transferable attack: PoisonedRAG's black-box, trigger-and-payload construction achieves attack success rates above ninety percent using as few as five documents against a five-million-document corpus, and does so across retrievers and generators of substantially different design [1]. Second, single-checkpoint defenses — perplexity filtering, paraphrasing, knowledge-base dilution — reduce this risk but do not come close to closing it, leaving residual attack success rates of thirty percent or higher against the field's own reference attacker, because a single check is a single, learnable target for an adaptive adversary [1], [5]. Third, the field's response to that observation has split into at least three structurally different directions, each with a real strength and a real, under-reported weakness: TrustRAG's clustering-and-conflict-resolution approach achieves strong robustness at a latency cost this thesis measures at twenty to twenty-seven seconds per query [2]; ADO's Sentinel-Strategist orchestration correctly identifies that applying every defense indiscriminately is itself harmful, but is evaluated primarily against membership inference and a generic poisoning formulation rather than the PoisonedRAG construction specifically, and does not report refusal behaviour [4]; and TriShieldRAG's three-ring, defense-in-depth architecture achieves the strongest reported attack-success-rate reduction of any system in this review, from roughly ninety-one to roughly thirteen percent, while explicitly leaving latency, refusal rate, and evaluation against an adaptive, defense-aware attacker as open questions for future work [5].</w:t>
      </w:r>
    </w:p>
    <w:p>
      <w:pPr>
        <w:spacing w:after="200" w:line="300"/>
        <w:jc w:val="both"/>
      </w:pPr>
      <w:r>
        <w:t xml:space="preserve">What none of these systems does — and what this thesis identifies as the specific, addressable gap in the literature — is report all four of the axes this thesis has argued, in Chapter 1, are jointly necessary to judge whether a corpus-poisoning defense is actually deployable: competitive robustness against the PoisonedRAG threat model, per-query latency that does not multiply the cost of an interactive system several times over, a refusal or abstention rate that is measured and reported rather than left implicit, and a characterised behaviour for the case every published defense concedes will occur — a poisoned passage that survives filtering and reaches the generator anyway. TrustRAG reports the first axis convincingly but not the second or third with the specificity this thesis considers necessary; ADO reports the second and, implicitly, addresses the fourth through its selective-activation design, but not against this thesis's specific threat model; TriShieldRAG reports the strongest result on the first axis but explicitly defers the second and third to future work.</w:t>
      </w:r>
    </w:p>
    <w:p>
      <w:pPr>
        <w:spacing w:after="200" w:line="300"/>
        <w:jc w:val="both"/>
      </w:pPr>
      <w:r>
        <w:t xml:space="preserve">This thesis's contribution, developed in the chapters that follow, is a defense — PoisonGuard-RAG — built and evaluated from the outset against all four axes at once, benchmarked head-to-head against TrustRAG as the strongest available baseline under identical retriever and generator conditions, and characterised not only by its headline robustness numbers but by the decision pathway it actually uses to arrive at an answer once a batch of retrieved evidence, of uncertain trustworthiness, is in front of it. The remainder of the literature makes clear that this is not a question the field has already answered. It is a question the field has, so far, mostly avoided asking all at once.</w:t>
      </w:r>
    </w:p>
    <w:p>
      <w:r>
        <w:br w:type="page"/>
      </w:r>
    </w:p>
    <w:p>
      <w:pPr>
        <w:pStyle w:val="Heading1"/>
        <w:spacing w:after="200" w:before="360"/>
      </w:pPr>
      <w:r>
        <w:t xml:space="preserve">Chapter 3</w:t>
      </w:r>
    </w:p>
    <w:p>
      <w:pPr>
        <w:pStyle w:val="Heading1"/>
        <w:spacing w:after="200" w:before="360"/>
      </w:pPr>
      <w:r>
        <w:t xml:space="preserve">Requirements, Impacts and Constraints</w:t>
      </w:r>
    </w:p>
    <w:p>
      <w:pPr>
        <w:spacing w:after="200" w:line="300"/>
        <w:jc w:val="both"/>
      </w:pPr>
      <w:r>
        <w:t xml:space="preserve">This thesis is a controlled empirical research study, not a deployed production system. Its central requirement is that any claim it makes about PoisonGuard-RAG's robustness, speed, or honesty be verifiable, reproducible, and measured against a fair, identically configured baseline rather than assumed. This chapter specifies what the study must satisfy for its results to be trustworthy — its functional and non-functional requirements, the threat model those requirements answer to, the practical constraints that shaped the work, and a structured account of its societal impact, environmental footprint, ethical considerations, applicable standards, risk management strategy, and economic analysis.</w:t>
      </w:r>
    </w:p>
    <w:p>
      <w:pPr>
        <w:pStyle w:val="Heading2"/>
        <w:spacing w:after="160" w:before="320"/>
      </w:pPr>
      <w:r>
        <w:t xml:space="preserve">3.1 Final Specifications and Requirements</w:t>
      </w:r>
    </w:p>
    <w:p>
      <w:pPr>
        <w:pStyle w:val="Heading3"/>
        <w:spacing w:after="120" w:before="240"/>
      </w:pPr>
      <w:r>
        <w:t xml:space="preserve">3.1.1 Threat Model</w:t>
      </w:r>
    </w:p>
    <w:p>
      <w:pPr>
        <w:spacing w:after="200" w:line="300"/>
        <w:jc w:val="both"/>
      </w:pPr>
      <w:r>
        <w:t xml:space="preserve">Before requirements can be stated meaningfully, the threat this study defends against has to be pinned down precisely, because a requirement written against a vague threat is not a requirement at all — it is a hope. This thesis adopts the PoisonedRAG threat model in full [1], formalised here as a set of concrete assumptions the evaluation is built around.</w:t>
      </w:r>
    </w:p>
    <w:p>
      <w:pPr>
        <w:spacing w:after="200" w:line="300"/>
        <w:jc w:val="both"/>
      </w:pPr>
      <w:r>
        <w:rPr>
          <w:b/>
          <w:bCs/>
        </w:rPr>
        <w:t xml:space="preserve">Adversary capability.</w:t>
      </w:r>
      <w:r>
        <w:t xml:space="preserve"> The attacker has no access to the RAG system's model weights, retriever weights, or prompt template, and no ability to observe the system's internal reasoning. The attacker's only capability is write access to the knowledge base the retriever draws from — a realistic assumption for any corpus that accepts contributions from more than one party, such as a crowd-sourced wiki, a shared document repository, or a web crawl that indexes user-generated content.</w:t>
      </w:r>
    </w:p>
    <w:p>
      <w:pPr>
        <w:spacing w:after="200" w:line="300"/>
        <w:jc w:val="both"/>
      </w:pPr>
      <w:r>
        <w:rPr>
          <w:b/>
          <w:bCs/>
        </w:rPr>
        <w:t xml:space="preserve">Attack construction.</w:t>
      </w:r>
      <w:r>
        <w:t xml:space="preserve"> The attacker selects a target query and a target false answer, then constructs a small number of poisoned documents, each combining a retrieval trigger — text engineered to rank inside the retriever's top-</w:t>
      </w:r>
      <w:r>
        <w:rPr>
          <w:i/>
          <w:iCs/>
        </w:rPr>
        <w:t xml:space="preserve">k</w:t>
      </w:r>
      <w:r>
        <w:t xml:space="preserve"> results for that query — and a generation payload — a false claim written so an instruction-following LLM treats it as the answer [1]. This construction is applied non-adaptively in this thesis's evaluation, consistent with the original PoisonedRAG paper and with TriShieldRAG's own initial evaluation [1], [5]: the attacker does not know, and does not adapt to, the specific defense mechanism deployed. Evaluating an attacker aware of PoisonGuard-RAG's own mechanism is named explicitly, in Chapter 1, as future work this thesis does not claim to have done.</w:t>
      </w:r>
    </w:p>
    <w:p>
      <w:pPr>
        <w:spacing w:after="200" w:line="300"/>
        <w:jc w:val="both"/>
      </w:pPr>
      <w:r>
        <w:rPr>
          <w:b/>
          <w:bCs/>
        </w:rPr>
        <w:t xml:space="preserve">Attack surface swept.</w:t>
      </w:r>
      <w:r>
        <w:t xml:space="preserve"> Poison rate — the fraction of the retrieved top-five passages that are adversarial for a given query — is varied from twenty to one hundred percent in twenty-percentage-point increments, alongside a fully clean control condition, so that a defense's behaviour is characterised across the full range from mild contamination to complete attacker dominance of the retrieved set, rather than at a single convenient operating point.</w:t>
      </w:r>
    </w:p>
    <w:p>
      <w:pPr>
        <w:spacing w:after="200" w:line="300"/>
        <w:jc w:val="both"/>
      </w:pPr>
      <w:r>
        <w:rPr>
          <w:b/>
          <w:bCs/>
        </w:rPr>
        <w:t xml:space="preserve">What is explicitly out of the threat model.</w:t>
      </w:r>
      <w:r>
        <w:t xml:space="preserve"> Prompt injection through instructions embedded in retrieved content, jailbreaking attempts targeting the generator's safety alignment, membership-inference probing of the knowledge base, and verbatim content-leakage attacks are all real risks to RAG systems but are not the attack this study defends against or evaluates against, for the scoping reasons given in Section 1.8.</w:t>
      </w:r>
    </w:p>
    <w:p>
      <w:pPr>
        <w:pStyle w:val="Heading3"/>
        <w:spacing w:after="120" w:before="240"/>
      </w:pPr>
      <w:r>
        <w:t xml:space="preserve">3.1.2 Requirement Analysis</w:t>
      </w:r>
    </w:p>
    <w:p>
      <w:pPr>
        <w:spacing w:after="200" w:line="300"/>
        <w:jc w:val="both"/>
      </w:pPr>
      <w:r>
        <w:t xml:space="preserve">Requirement analysis is the step that turns a threat model into a testable specification, and skipping it is how research studies end up unable to say precisely what they proved. Without it, a comparison between PoisonGuard-RAG and TrustRAG would be vulnerable to exactly the kind of unfairness this thesis spends Chapter 2 criticising other work for risking. The requirements below are organised, in the convention used across this Department's thesis reports, into functional requirements — what the system must do — and non-functional requirements — the qualities that make the resulting comparison trustworthy.</w:t>
      </w:r>
    </w:p>
    <w:p>
      <w:pPr>
        <w:spacing w:after="200" w:line="300"/>
        <w:jc w:val="both"/>
      </w:pPr>
      <w:r>
        <w:rPr>
          <w:b/>
          <w:bCs/>
        </w:rPr>
        <w:t xml:space="preserve">Functional requirements.</w:t>
      </w:r>
    </w:p>
    <w:p>
      <w:pPr>
        <w:pStyle w:val="ListParagraph"/>
        <w:numPr>
          <w:ilvl w:val="0"/>
          <w:numId w:val="1"/>
        </w:numPr>
        <w:spacing w:after="120" w:line="300"/>
        <w:jc w:val="both"/>
      </w:pPr>
      <w:r>
        <w:rPr>
          <w:b/>
          <w:bCs/>
        </w:rPr>
        <w:t xml:space="preserve">F1 — Faithful threat reproduction.</w:t>
      </w:r>
      <w:r>
        <w:t xml:space="preserve"> The evaluation harness must reproduce PoisonedRAG's trigger-and-payload attack construction faithfully, at all five poison rates plus the clean control, against every system under comparison.</w:t>
      </w:r>
    </w:p>
    <w:p>
      <w:pPr>
        <w:pStyle w:val="ListParagraph"/>
        <w:numPr>
          <w:ilvl w:val="0"/>
          <w:numId w:val="1"/>
        </w:numPr>
        <w:spacing w:after="120" w:line="300"/>
        <w:jc w:val="both"/>
      </w:pPr>
      <w:r>
        <w:rPr>
          <w:b/>
          <w:bCs/>
        </w:rPr>
        <w:t xml:space="preserve">F2 — Identical retrieval and generation stack.</w:t>
      </w:r>
      <w:r>
        <w:t xml:space="preserve"> Every system compared — the undefended vanilla pipeline, TrustRAG, the earlier internal iteration referred to as PoisonGuard v3.1, and PoisonGuard-RAG itself — must retrieve from the same Contriever-indexed corpus and generate with the same Llama-3.1-8B model served through Ollama, so that any measured difference reflects the defense mechanism and not a difference in the underlying retrieval or generation quality.</w:t>
      </w:r>
    </w:p>
    <w:p>
      <w:pPr>
        <w:pStyle w:val="ListParagraph"/>
        <w:numPr>
          <w:ilvl w:val="0"/>
          <w:numId w:val="1"/>
        </w:numPr>
        <w:spacing w:after="120" w:line="300"/>
        <w:jc w:val="both"/>
      </w:pPr>
      <w:r>
        <w:rPr>
          <w:b/>
          <w:bCs/>
        </w:rPr>
        <w:t xml:space="preserve">F3 — Multi-metric answer scoring.</w:t>
      </w:r>
      <w:r>
        <w:t xml:space="preserve"> Correctness and attack success must be scored under two independent answer-matching protocols — a substring-match protocol consistent with the convention TrustRAG itself uses, and a stricter whole-word matching protocol applied identically to every system — so that no system's numbers benefit from a metric that happens to be lenient about its particular phrasing habits.</w:t>
      </w:r>
    </w:p>
    <w:p>
      <w:pPr>
        <w:pStyle w:val="ListParagraph"/>
        <w:numPr>
          <w:ilvl w:val="0"/>
          <w:numId w:val="1"/>
        </w:numPr>
        <w:spacing w:after="120" w:line="300"/>
        <w:jc w:val="both"/>
      </w:pPr>
      <w:r>
        <w:rPr>
          <w:b/>
          <w:bCs/>
        </w:rPr>
        <w:t xml:space="preserve">F4 — Full-panel coverage.</w:t>
      </w:r>
      <w:r>
        <w:t xml:space="preserve"> Every headline comparison must be run across all three benchmark datasets — Natural Questions, HotpotQA, and MS-MARCO — since these datasets differ meaningfully in question structure (single-hop factoid, multi-hop reasoning, and short web-search-style queries respectively), and a defense that performs well on one is not guaranteed to perform well on another.</w:t>
      </w:r>
    </w:p>
    <w:p>
      <w:pPr>
        <w:pStyle w:val="ListParagraph"/>
        <w:numPr>
          <w:ilvl w:val="0"/>
          <w:numId w:val="1"/>
        </w:numPr>
        <w:spacing w:after="120" w:line="300"/>
        <w:jc w:val="both"/>
      </w:pPr>
      <w:r>
        <w:rPr>
          <w:b/>
          <w:bCs/>
        </w:rPr>
        <w:t xml:space="preserve">F5 — Cost metrics reported alongside robustness metrics, without exception.</w:t>
      </w:r>
      <w:r>
        <w:t xml:space="preserve"> For every system, every dataset, and every poison rate, the evaluation must record mean per-query latency and refusal/abstention rate alongside accuracy and attack success rate. No table in this thesis reports a robustness figure without these figures sitting next to it.</w:t>
      </w:r>
    </w:p>
    <w:p>
      <w:pPr>
        <w:pStyle w:val="ListParagraph"/>
        <w:numPr>
          <w:ilvl w:val="0"/>
          <w:numId w:val="1"/>
        </w:numPr>
        <w:spacing w:after="120" w:line="300"/>
        <w:jc w:val="both"/>
      </w:pPr>
      <w:r>
        <w:rPr>
          <w:b/>
          <w:bCs/>
        </w:rPr>
        <w:t xml:space="preserve">F6 — Exposure-conditioned accuracy.</w:t>
      </w:r>
      <w:r>
        <w:t xml:space="preserve"> For every defended system, the evaluation must separately report accuracy on the subset of queries where at least one poisoned passage survived filtering and reached the generator, since this is the condition every published defense concedes will occur and the condition this thesis argues matters most for judging real-world safety.</w:t>
      </w:r>
    </w:p>
    <w:p>
      <w:pPr>
        <w:pStyle w:val="ListParagraph"/>
        <w:numPr>
          <w:ilvl w:val="0"/>
          <w:numId w:val="1"/>
        </w:numPr>
        <w:spacing w:after="120" w:line="300"/>
        <w:jc w:val="both"/>
      </w:pPr>
      <w:r>
        <w:rPr>
          <w:b/>
          <w:bCs/>
        </w:rPr>
        <w:t xml:space="preserve">F7 — Mechanism instrumentation.</w:t>
      </w:r>
      <w:r>
        <w:t xml:space="preserve"> PoisonGuard-RAG's pipeline must log, for every answered query, which internal decision route produced the final answer and what risk score the pipeline assigned to the retrieved batch, so that the mechanism behind any headline number can be inspected rather than taken on faith.</w:t>
      </w:r>
    </w:p>
    <w:p>
      <w:pPr>
        <w:spacing w:after="200" w:line="300"/>
        <w:jc w:val="both"/>
      </w:pPr>
      <w:r>
        <w:rPr>
          <w:b/>
          <w:bCs/>
        </w:rPr>
        <w:t xml:space="preserve">Non-functional requirements.</w:t>
      </w:r>
    </w:p>
    <w:p>
      <w:pPr>
        <w:pStyle w:val="ListParagraph"/>
        <w:numPr>
          <w:ilvl w:val="0"/>
          <w:numId w:val="1"/>
        </w:numPr>
        <w:spacing w:after="120" w:line="300"/>
        <w:jc w:val="both"/>
      </w:pPr>
      <w:r>
        <w:rPr>
          <w:b/>
          <w:bCs/>
        </w:rPr>
        <w:t xml:space="preserve">N1 — Fairness.</w:t>
      </w:r>
      <w:r>
        <w:t xml:space="preserve"> The comparison is only meaningful if the retrieval and generation stack, prompting conventions, and evaluation protocol are held identical across every system compared; any change made to accommodate one system's mechanism must be checked against, and if necessary also applied to, every other system.</w:t>
      </w:r>
    </w:p>
    <w:p>
      <w:pPr>
        <w:pStyle w:val="ListParagraph"/>
        <w:numPr>
          <w:ilvl w:val="0"/>
          <w:numId w:val="1"/>
        </w:numPr>
        <w:spacing w:after="120" w:line="300"/>
        <w:jc w:val="both"/>
      </w:pPr>
      <w:r>
        <w:rPr>
          <w:b/>
          <w:bCs/>
        </w:rPr>
        <w:t xml:space="preserve">N2 — Reproducibility.</w:t>
      </w:r>
      <w:r>
        <w:t xml:space="preserve"> Every reported number must be regenerable from a logged configuration, a fixed random seed, and an archived per-query results file, so that a reader — or a future member of this research group — can independently verify any figure in this report rather than trusting it on the authors' word.</w:t>
      </w:r>
    </w:p>
    <w:p>
      <w:pPr>
        <w:pStyle w:val="ListParagraph"/>
        <w:numPr>
          <w:ilvl w:val="0"/>
          <w:numId w:val="1"/>
        </w:numPr>
        <w:spacing w:after="120" w:line="300"/>
        <w:jc w:val="both"/>
      </w:pPr>
      <w:r>
        <w:rPr>
          <w:b/>
          <w:bCs/>
        </w:rPr>
        <w:t xml:space="preserve">N3 — Honesty.</w:t>
      </w:r>
      <w:r>
        <w:t xml:space="preserve"> Negative, mixed, or statistically uncertain outcomes must be reported alongside favourable ones. Where PoisonGuard-RAG under-performs TrustRAG on a specific dataset or metric — as it does, for instance, on raw poison-recall on some benchmarks — that result is reported in the same table as the results where it outperforms, not omitted or relegated to a footnote.</w:t>
      </w:r>
    </w:p>
    <w:p>
      <w:pPr>
        <w:pStyle w:val="ListParagraph"/>
        <w:numPr>
          <w:ilvl w:val="0"/>
          <w:numId w:val="1"/>
        </w:numPr>
        <w:spacing w:after="120" w:line="300"/>
        <w:jc w:val="both"/>
      </w:pPr>
      <w:r>
        <w:rPr>
          <w:b/>
          <w:bCs/>
        </w:rPr>
        <w:t xml:space="preserve">N4 — Statistical grounding.</w:t>
      </w:r>
      <w:r>
        <w:t xml:space="preserve"> The core PoisonGuard-RAG-versus-TrustRAG comparison must be supported by paired, per-question outcome analysis on a held-out slice of each dataset, with significance assessed by a two-sided exact sign test, rather than resting on headline averages alone that could plausibly be produced by chance variation between two similarly performing systems.</w:t>
      </w:r>
    </w:p>
    <w:p>
      <w:pPr>
        <w:pStyle w:val="ListParagraph"/>
        <w:numPr>
          <w:ilvl w:val="0"/>
          <w:numId w:val="1"/>
        </w:numPr>
        <w:spacing w:after="120" w:line="300"/>
        <w:jc w:val="both"/>
      </w:pPr>
      <w:r>
        <w:rPr>
          <w:b/>
          <w:bCs/>
        </w:rPr>
        <w:t xml:space="preserve">N5 — Proportionate cost.</w:t>
      </w:r>
      <w:r>
        <w:t xml:space="preserve"> No individual mechanism added to the PoisonGuard-RAG pipeline may be adopted purely because it improves a robustness number in isolation; every added mechanism must be justified against its measured latency cost, consistent with this thesis's central argument, developed in Chapter 1, that robustness bought at an unbounded cost is not a result worth reporting as a success.</w:t>
      </w:r>
    </w:p>
    <w:p>
      <w:pPr>
        <w:spacing w:after="200" w:line="300"/>
        <w:jc w:val="both"/>
      </w:pPr>
      <w:r>
        <w:t xml:space="preserve">These requirements function as acceptance criteria for the thesis's own claims. A result that is not fair, not reproducible, or not honestly bounded would not satisfy this study's purpose even if it produced an impressively large headline number, and several of the design decisions carried into the full methodology — using a held-out evaluation half distinct from any development data, logging every configuration and seed, and computing every reported statistic from archived per-query files rather than from hand-tracked summaries — exist specifically because of N2 through N4.</w:t>
      </w:r>
    </w:p>
    <w:p>
      <w:pPr>
        <w:pStyle w:val="Heading2"/>
        <w:spacing w:after="160" w:before="320"/>
      </w:pPr>
      <w:r>
        <w:t xml:space="preserve">3.2 Constraints</w:t>
      </w:r>
    </w:p>
    <w:p>
      <w:pPr>
        <w:spacing w:after="200" w:line="300"/>
        <w:jc w:val="both"/>
      </w:pPr>
      <w:r>
        <w:t xml:space="preserve">The study operates under four kinds of constraint, and several design decisions elsewhere in this thesis are direct consequences of them.</w:t>
      </w:r>
    </w:p>
    <w:p>
      <w:pPr>
        <w:spacing w:after="200" w:line="300"/>
        <w:jc w:val="both"/>
      </w:pPr>
      <w:r>
        <w:rPr>
          <w:b/>
          <w:bCs/>
        </w:rPr>
        <w:t xml:space="preserve">Time constraints.</w:t>
      </w:r>
      <w:r>
        <w:t xml:space="preserve"> The work had to fit within the three-semester undergraduate thesis sequence used by the Department of Computer Science and Engineering at BRAC University — Pre-Thesis I, Pre-Thesis II, and the Final Thesis — with a fixed deliverable expected at the end of each phase. This ruled out open-ended exploration of every published defense strategy or every possible generator and retriever combination, and instead favoured building one canonical pipeline, benchmarked against one clearly chosen primary baseline (TrustRAG), studied in depth across a fixed panel of three datasets, with the comparison against the remaining reviewed defenses (ControlNet, ADO, TriShieldRAG) left as literature-level positioning in Chapter 2 rather than as additional experimental arms, an extension explicitly deferred to future work.</w:t>
      </w:r>
    </w:p>
    <w:p>
      <w:pPr>
        <w:spacing w:after="200" w:line="300"/>
        <w:jc w:val="both"/>
      </w:pPr>
      <w:r>
        <w:rPr>
          <w:b/>
          <w:bCs/>
        </w:rPr>
        <w:t xml:space="preserve">Compute constraints.</w:t>
      </w:r>
      <w:r>
        <w:t xml:space="preserve"> Generation is served locally through Ollama rather than through a metered commercial API, which keeps the cost of running thousands of poisoned and clean queries across three datasets, five poison rates, and multiple systems within what a single research group can afford, but which also bounds the generator this study can practically use to an open-weight model in the 8-billion-parameter class rather than a much larger proprietary model. This is a deliberate trade-off: it keeps the comparison reproducible by anyone with comparable consumer hardware, at the cost of not establishing how the reported gaps would change against a substantially larger generator.</w:t>
      </w:r>
    </w:p>
    <w:p>
      <w:pPr>
        <w:spacing w:after="200" w:line="300"/>
        <w:jc w:val="both"/>
      </w:pPr>
      <w:r>
        <w:rPr>
          <w:b/>
          <w:bCs/>
        </w:rPr>
        <w:t xml:space="preserve">Data constraints.</w:t>
      </w:r>
      <w:r>
        <w:t xml:space="preserve"> The study is limited to public, widely used question-answering benchmarks — Natural Questions, HotpotQA, and MS-MARCO — and to PoisonedRAG's own published attack construction for generating poisoned documents. It does not collect new data, does not involve human participants, and does not use private, proprietary, or identifiable records of any kind. This is partly an ethical choice, discussed further in Section 3.6, but it is also a genuine methodological constraint: the study cannot claim its findings generalise to private, domain-specific corpora (a hospital's internal records, a bank's compliance archive) that differ structurally from open-domain Wikipedia-style knowledge bases, since no such corpus is available to this study for testing.</w:t>
      </w:r>
    </w:p>
    <w:p>
      <w:pPr>
        <w:spacing w:after="200" w:line="300"/>
        <w:jc w:val="both"/>
      </w:pPr>
      <w:r>
        <w:rPr>
          <w:b/>
          <w:bCs/>
        </w:rPr>
        <w:t xml:space="preserve">Methodological constraints.</w:t>
      </w:r>
      <w:r>
        <w:t xml:space="preserve"> Because the central claim of this thesis rests on a fair, identical-conditions comparison against TrustRAG, every extension to the study — adding a dataset, adding a poison rate, adding a metric — had to be re-solved for fairness before it could be included. Several otherwise interesting comparisons were excluded on exactly this basis: benchmarking against ControlNet or ADO directly, for instance, would have required either reimplementing their published mechanisms from partial descriptions or contacting their authors for reference code, and doing so within the available time budget while still holding retriever, generator, and prompting fixed across every arm was judged infeasible without risking an unfair, and therefore untrustworthy, comparison. These systems are instead engaged with at the literature level in Chapter 2, where their reported numbers can be discussed on their own terms rather than forced into a head-to-head comparison this study could not run fairly.</w:t>
      </w:r>
    </w:p>
    <w:p>
      <w:pPr>
        <w:pStyle w:val="Heading2"/>
        <w:spacing w:after="160" w:before="320"/>
      </w:pPr>
      <w:r>
        <w:t xml:space="preserve">3.3 Project Management</w:t>
      </w:r>
    </w:p>
    <w:p>
      <w:pPr>
        <w:spacing w:after="200" w:line="300"/>
        <w:jc w:val="both"/>
      </w:pPr>
      <w:r>
        <w:t xml:space="preserve">The work was carried out across the three phases of the Department's undergraduate thesis sequence, with research activities deliberately aligned to each phase's expected deliverable. </w:t>
      </w:r>
      <w:r>
        <w:rPr>
          <w:b/>
          <w:bCs/>
        </w:rPr>
        <w:t xml:space="preserve">Pre-Thesis I</w:t>
      </w:r>
      <w:r>
        <w:t xml:space="preserve"> fixed the research question — whether a lightweight, verification-aware corpus-poisoning defense could match TrustRAG's robustness without its latency and refusal costs — and produced the problem statement, research objectives, and an initial literature survey. </w:t>
      </w:r>
      <w:r>
        <w:rPr>
          <w:b/>
          <w:bCs/>
        </w:rPr>
        <w:t xml:space="preserve">Pre-Thesis II</w:t>
      </w:r>
      <w:r>
        <w:t xml:space="preserve"> built the shared experimental scaffolding: the PoisonedRAG attack-generation harness, the Contriever retrieval index over each of the three benchmark corpora, the reproduced TrustRAG baseline, and an early version of the proposed defense (the iteration referred to throughout this thesis as PoisonGuard v3.1), together with a preliminary comparison sufficient to confirm the research direction was viable and to surface the refusal-rate problem that directly motivated the redesign into PoisonGuard-RAG. The </w:t>
      </w:r>
      <w:r>
        <w:rPr>
          <w:b/>
          <w:bCs/>
        </w:rPr>
        <w:t xml:space="preserve">Final Thesis</w:t>
      </w:r>
      <w:r>
        <w:t xml:space="preserve"> phase completed that redesign, ran the full five-poison-rate, three-dataset, dual-metric comparison against TrustRAG, produced the exposure-conditioned and mechanism-level analyses reported in the later results chapter, and prepared the final written report and defense.</w:t>
      </w:r>
    </w:p>
    <w:p>
      <w:pPr>
        <w:spacing w:after="200" w:line="300"/>
        <w:jc w:val="both"/>
      </w:pPr>
      <w:r>
        <w:t xml:space="preserve">A guiding management practice throughout was to treat every experiment as a small, independently checkpointed unit of work rather than one long run: each dataset, poison-rate, and system combination was executed as a separate job whose per-query results were appended to a dedicated results file, so that an interrupted or failed run could be resumed or re-run without discarding results already collected. This mattered concretely given the volume of generation calls required — three datasets, six poison-rate conditions including the clean control, and four systems under comparison, each requiring a full LLM generation call per query — a workload that would have been fragile to run as a single unbroken job on shared or consumer-grade infrastructure.</w:t>
      </w:r>
    </w:p>
    <w:p>
      <w:pPr>
        <w:spacing w:after="200" w:line="300"/>
        <w:jc w:val="both"/>
      </w:pPr>
      <w:r>
        <w:t xml:space="preserve">All experimentation was carried out on infrastructure the research group could access directly, rather than on paid cloud compute: local generation through Ollama, a locally built Contriever retrieval index for each benchmark corpus, and standard version control for both the experiment code and the evolving thesis document. This choice, discussed further under compute constraints in Section 3.2, kept the project's running costs within what an undergraduate research group can sustain across three semesters, at the cost of bounding how large a generator the study could practically use.</w:t>
      </w:r>
    </w:p>
    <w:p>
      <w:pPr>
        <w:spacing w:after="200" w:line="300"/>
        <w:jc w:val="both"/>
      </w:pPr>
      <w:r>
        <w:t xml:space="preserve">A second management practice, adopted specifically because of requirement N2 in Section 3.1.2, was separating the code that runs experiments from the code that computes reported statistics. Every experiment writes raw, per-query outcomes to an archived results file; every number that appears in a table in this thesis is computed from those archived files by a separate, independently run verification script, rather than transcribed by hand from an experiment's console output. This separation exists to catch exactly the class of error that is otherwise invisible until a reader tries to reproduce a table and cannot: a stale figure carried forward from an earlier, superseded run, or a transcription slip between a script's output and the written report. Supervisor meetings at the end of each phase served as review milestones against this same standard — not "does the system work," but "can every number in this deliverable be regenerated from what is on disk."</w:t>
      </w:r>
    </w:p>
    <w:p>
      <w:pPr>
        <w:pStyle w:val="Heading2"/>
        <w:spacing w:after="160" w:before="320"/>
      </w:pPr>
      <w:r>
        <w:t xml:space="preserve">3.4 Societal Impact</w:t>
      </w:r>
    </w:p>
    <w:p>
      <w:pPr>
        <w:spacing w:after="200" w:line="300"/>
        <w:jc w:val="both"/>
      </w:pPr>
      <w:r>
        <w:t xml:space="preserve">The direct societal footprint of this thesis is modest — it does not deploy a decision system that affects patients, customers, or citizens, and its output is a set of experimental results, an analysis, and reproducible code rather than a production service. Its indirect relevance, however, is substantial, because retrieval-augmented generation is being adopted precisely in the domains where a wrong answer, confidently delivered, carries real consequences: customer support, compliance assistance, clinical decision aids, and financial advisory tools are all documented or emerging RAG use cases [2], [3], [4], and every one of them typically draws on a knowledge base that is, to some degree, writable by more than one party. A RAG system deployed against such a corpus without a corpus-poisoning defense is not a hypothetical risk; PoisonedRAG's own evaluation demonstrates that the attack this thesis defends against succeeds more than ninety percent of the time against an undefended system with a trivially small number of injected documents [1], and a real-world corpus poisoning incident has already been linked to direct financial loss in at least one documented case [3].</w:t>
      </w:r>
    </w:p>
    <w:p>
      <w:pPr>
        <w:spacing w:after="200" w:line="300"/>
        <w:jc w:val="both"/>
      </w:pPr>
      <w:r>
        <w:t xml:space="preserve">This thesis's most direct societal contribution is therefore methodological rather than product-shaped: it argues, and demonstrates with measured numbers, that a corpus-poisoning defense's value to a real deployment cannot be judged from a single attack-success-rate figure. A defense that looks strong on ASR alone but takes twenty-seven seconds to answer a single query, or that manufactures apparent robustness by refusing to answer more than a third of legitimate questions — both documented findings in this thesis's own benchmarking — is not a defense an organisation serving real users can actually adopt, however good its headline number looks in a paper. By reporting latency, refusal rate, and exposure-conditioned accuracy alongside every robustness claim, this thesis supports a more honest standard for evaluating and adopting RAG security research, one that a practitioner outside this research group can use directly when deciding whether a given defense is fit for their own deployment.</w:t>
      </w:r>
    </w:p>
    <w:p>
      <w:pPr>
        <w:spacing w:after="200" w:line="300"/>
        <w:jc w:val="both"/>
      </w:pPr>
      <w:r>
        <w:t xml:space="preserve">There is also a narrower, more specific societal benefit worth naming plainly. Because RAG is disproportionately being adopted by organisations that cannot afford large dedicated security teams — small businesses building a customer-support bot, educational institutions building a course-material assistant, local clinics piloting a documentation aid — a defense that is competitively robust *and* cheap enough to run without specialised infrastructure has a meaningfully different reach than one that is robust but requires the latency budget and compute budget of a well-resourced enterprise deployment. PoisonGuard-RAG's measured three-to-four-times speed advantage over TrustRAG under identical conditions is not merely a performance statistic; it is what determines whether a resource-constrained organisation can adopt a genuine corpus-poisoning defense at all, rather than shipping an undefended system because the strongest available defense was too slow to be usable.</w:t>
      </w:r>
    </w:p>
    <w:p>
      <w:pPr>
        <w:pStyle w:val="Heading2"/>
        <w:spacing w:after="160" w:before="320"/>
      </w:pPr>
      <w:r>
        <w:t xml:space="preserve">3.5 Environmental Impact</w:t>
      </w:r>
    </w:p>
    <w:p>
      <w:pPr>
        <w:spacing w:after="200" w:line="300"/>
        <w:jc w:val="both"/>
      </w:pPr>
      <w:r>
        <w:t xml:space="preserve">This study's environmental footprint is bounded by design choices made for reproducibility and cost reasons, and those same choices happen to keep its energy use modest. Generation is served through Ollama running an 8-billion-parameter open-weight model locally, rather than through repeated calls to a much larger proprietary model over a commercial API; this keeps every generation call's computational cost — and therefore its energy cost — roughly two to three orders of magnitude smaller than a comparable call to a frontier-scale model would be. Retrieval uses Contriever, a comparatively lightweight dense encoder, over pre-built indices for three publicly available benchmark corpora, avoiding any need for this study to build or maintain its own large-scale crawl or index infrastructure.</w:t>
      </w:r>
    </w:p>
    <w:p>
      <w:pPr>
        <w:spacing w:after="200" w:line="300"/>
        <w:jc w:val="both"/>
      </w:pPr>
      <w:r>
        <w:t xml:space="preserve">The dominant source of computational cost in this study is not training — no model is trained or fine-tuned as part of this thesis — but repeated inference: every query, under every poison rate, under every system compared, requires at least one full generation call, and TrustRAG's conflict-resolution stage and this thesis's own risk-scoring and verification mechanism both add further calls on top of that baseline. This is precisely why per-query latency, measured throughout this thesis as a proxy for computational cost, is treated as a first-class metric rather than an afterthought: a defense that triples or quadruples the number of generation calls per query is not just slower for a user, it is proportionally more energy-intensive to run at any meaningful scale, and this thesis's own reported three-to-four-times speed advantage over TrustRAG under identical conditions translates directly into a comparable reduction in per-query computational — and therefore energy — cost, independent of any robustness argument.</w:t>
      </w:r>
    </w:p>
    <w:p>
      <w:pPr>
        <w:spacing w:after="200" w:line="300"/>
        <w:jc w:val="both"/>
      </w:pPr>
      <w:r>
        <w:t xml:space="preserve">It is also worth being concrete about scale. The full evaluation reported in this thesis runs four systems (an undefended baseline, TrustRAG, PoisonGuard v3.1, and PoisonGuard-RAG) across three benchmark datasets and six poisoning conditions, drawing on a held-out slice of fifty questions per dataset per condition — a workload of many thousands of individual generation calls in total, but one that remains many orders of magnitude smaller than training even a single small language model from scratch, let alone a frontier-scale foundation model. The environmental argument mirrors the economic one developed in Section 3.9: because this study deliberately keeps its generator small, local, and untrained, and treats latency as an evaluation axis rather than an afterthought, it buys its experimental conclusions at a computational cost appropriate to an undergraduate research project, while producing a result — that a lighter defense can be competitively robust — that has a genuine downstream energy argument in its favour if adopted over a heavier alternative at real deployment scale.</w:t>
      </w:r>
    </w:p>
    <w:p>
      <w:pPr>
        <w:pStyle w:val="Heading2"/>
        <w:spacing w:after="160" w:before="320"/>
      </w:pPr>
      <w:r>
        <w:t xml:space="preserve">3.6 Ethical Issues</w:t>
      </w:r>
    </w:p>
    <w:p>
      <w:pPr>
        <w:spacing w:after="200" w:line="300"/>
        <w:jc w:val="both"/>
      </w:pPr>
      <w:r>
        <w:rPr>
          <w:b/>
          <w:bCs/>
        </w:rPr>
        <w:t xml:space="preserve">Data use and privacy.</w:t>
      </w:r>
      <w:r>
        <w:t xml:space="preserve"> This study uses only public, widely distributed question-answering benchmarks — Natural Questions, HotpotQA, and MS-MARCO — none of which contain personally identifiable information, and it does not collect data from or interact with human participants at any stage. The direct privacy risk of this thesis is therefore low. This should not be read as implying the underlying problem is low-stakes: the whole motivation for this work, developed in Chapter 1, is that RAG systems are increasingly deployed against corpora that do contain sensitive, proprietary, or personal information, and this thesis's findings are offered as evidence relevant to those deployments even though the evaluation itself is conducted entirely on public data.</w:t>
      </w:r>
    </w:p>
    <w:p>
      <w:pPr>
        <w:spacing w:after="200" w:line="300"/>
        <w:jc w:val="both"/>
      </w:pPr>
      <w:r>
        <w:rPr>
          <w:b/>
          <w:bCs/>
        </w:rPr>
        <w:t xml:space="preserve">Honest reporting as an ethical requirement, not only a methodological one.</w:t>
      </w:r>
      <w:r>
        <w:t xml:space="preserve"> Because this thesis explicitly sets out to argue that some existing, published defenses have real, under-reported costs, it carries a corresponding obligation to report its own system's shortcomings with the same rigor it applies to others. This is not a hypothetical concern: PoisonGuard-RAG's own poison-recall figures are, on some datasets, measurably lower than TrustRAG's aggressive clustering-based filtering, and its risk score is a substantially weaker detector on short factoid queries than on multi-hop reasoning queries. Both facts are reported plainly in the results chapters of this thesis, in the same tables as the results that favour PoisonGuard-RAG, rather than omitted or buried in an appendix, because a thesis that criticises other work for selective reporting has a direct obligation not to practise the same selectivity itself.</w:t>
      </w:r>
    </w:p>
    <w:p>
      <w:pPr>
        <w:spacing w:after="200" w:line="300"/>
        <w:jc w:val="both"/>
      </w:pPr>
      <w:r>
        <w:rPr>
          <w:b/>
          <w:bCs/>
        </w:rPr>
        <w:t xml:space="preserve">Fair characterisation of prior work.</w:t>
      </w:r>
      <w:r>
        <w:t xml:space="preserve"> Every defense discussed in Chapter 2 — TrustRAG, ControlNet, ADO, TriShieldRAG, and the broader body of prompt-injection and jailbreak defense literature — is a genuine, credited research contribution, and several of the critiques this thesis makes of them (on latency, on refusal behaviour, on evaluation scope) are limitations the original authors themselves acknowledge as open questions rather than oversights this thesis claims to have caught unnoticed. Representing these works accurately, attributing their contributions correctly, and distinguishing what they explicitly claim from what this thesis independently measured in its own reproduction is treated as a professional and academic obligation throughout this report.</w:t>
      </w:r>
    </w:p>
    <w:p>
      <w:pPr>
        <w:spacing w:after="200" w:line="300"/>
        <w:jc w:val="both"/>
      </w:pPr>
      <w:r>
        <w:rPr>
          <w:b/>
          <w:bCs/>
        </w:rPr>
        <w:t xml:space="preserve">Avoiding overclaiming from a favourable result.</w:t>
      </w:r>
      <w:r>
        <w:t xml:space="preserve"> Corpus-poisoning defense is an area attracting fast-growing research attention, which creates a real temptation to present any positive result as evidence of a general breakthrough. This thesis's ethical position, followed consistently in every results-facing chapter, is to state findings at the level the evidence actually supports: a defense that is competitively robust, several times faster, and honest about its refusal behaviour under the specific threat model, datasets, retriever, and generator tested here — not a universal claim that corpus poisoning is solved, that TrustRAG is inferior in every respect, or that PoisonGuard-RAG would perform identically against an adaptive attacker aware of its own mechanism, a condition this thesis explicitly has not evaluated.</w:t>
      </w:r>
    </w:p>
    <w:p>
      <w:pPr>
        <w:pStyle w:val="Heading2"/>
        <w:spacing w:after="160" w:before="320"/>
      </w:pPr>
      <w:r>
        <w:t xml:space="preserve">3.7 Standards</w:t>
      </w:r>
    </w:p>
    <w:p>
      <w:pPr>
        <w:spacing w:after="200" w:line="300"/>
        <w:jc w:val="both"/>
      </w:pPr>
      <w:r>
        <w:t xml:space="preserve">This study follows research and evaluation conventions rather than industrial product or safety standards, consistent with its status as a controlled academic study rather than a deployed system.</w:t>
      </w:r>
    </w:p>
    <w:p>
      <w:pPr>
        <w:spacing w:after="200" w:line="300"/>
        <w:jc w:val="both"/>
      </w:pPr>
      <w:r>
        <w:t xml:space="preserve">The corpus-poisoning threat model follows PoisonedRAG's published attack construction as its reference convention, since it is the most widely adopted formalisation of the attack in the literature reviewed in Chapter 2 and is the construction every defense discussed there is ultimately measured against [1]. The retrieval component follows standard dense-retrieval practice, using Contriever as a representative contrastively pretrained dense encoder consistent with the retriever family used across the corpus-poisoning literature [1], [5], [25]. Baseline reproduction follows TrustRAG's own published two-stage design as closely as the available implementation details allow, so that the comparison in this thesis reflects the mechanism TrustRAG's authors describe rather than a loosely inspired reinterpretation of it [2].</w:t>
      </w:r>
    </w:p>
    <w:p>
      <w:pPr>
        <w:spacing w:after="200" w:line="300"/>
        <w:jc w:val="both"/>
      </w:pPr>
      <w:r>
        <w:t xml:space="preserve">Evaluation follows conventions established across the reviewed literature for measuring corpus-poisoning robustness specifically: accuracy and attack success rate are reported as the primary robustness metrics, consistent with PoisonedRAG's own evaluation protocol [1], and this thesis additionally applies a second, independently defined answer-matching protocol to guard against the possibility that a lenient substring-matching convention flatters one system's phrasing habits over another's. Reproducibility follows standard empirical machine-learning practice: fixed random seeds, logged configurations for every run, and archived per-query outcome files from which every reported statistic can be regenerated, as required by N2 in Section 3.1.2.</w:t>
      </w:r>
    </w:p>
    <w:p>
      <w:pPr>
        <w:spacing w:after="200" w:line="300"/>
        <w:jc w:val="both"/>
      </w:pPr>
      <w:r>
        <w:t xml:space="preserve">Finally, this thesis follows an emerging standard this literature review surfaces repeatedly without yet naming explicitly across the field: that a security claim about a defended system should be accompanied by its operational cost, not reported in isolation. TrustRAG, ADO, and TriShieldRAG each report this to different degrees and with different gaps, as discussed in Section 2.3; this thesis adopts, as its own internal standard, the requirement that no robustness figure be reported anywhere in this report without an accompanying latency and refusal-rate figure in the same table.</w:t>
      </w:r>
    </w:p>
    <w:p>
      <w:pPr>
        <w:pStyle w:val="Heading2"/>
        <w:spacing w:after="160" w:before="320"/>
      </w:pPr>
      <w:r>
        <w:t xml:space="preserve">3.8 Risk Management</w:t>
      </w:r>
    </w:p>
    <w:p>
      <w:pPr>
        <w:spacing w:after="200" w:line="300"/>
        <w:jc w:val="both"/>
      </w:pPr>
      <w:r>
        <w:rPr>
          <w:b/>
          <w:bCs/>
        </w:rPr>
        <w:t xml:space="preserve">Risk: an unfair baseline comparison invalidates the thesis's central claim.</w:t>
      </w:r>
      <w:r>
        <w:t xml:space="preserve"> Because this thesis's contribution rests on a head-to-head comparison against TrustRAG, the single greatest risk to the validity of its conclusions is an accidental asymmetry between how PoisonGuard-RAG and TrustRAG are configured — a different prompt template, a different retrieval top-</w:t>
      </w:r>
      <w:r>
        <w:rPr>
          <w:i/>
          <w:iCs/>
        </w:rPr>
        <w:t xml:space="preserve">k</w:t>
      </w:r>
      <w:r>
        <w:t xml:space="preserve">, a different generation temperature. This is mitigated by holding the retriever, generator, dataset splits, and prompting scaffold identical across every system under comparison (requirement F2), and by re-verifying this parity explicitly whenever any part of the pipeline changes during development, rather than assuming it holds once early configuration is set.</w:t>
      </w:r>
    </w:p>
    <w:p>
      <w:pPr>
        <w:spacing w:after="200" w:line="300"/>
        <w:jc w:val="both"/>
      </w:pPr>
      <w:r>
        <w:rPr>
          <w:b/>
          <w:bCs/>
        </w:rPr>
        <w:t xml:space="preserve">Risk: reported robustness is an artefact of a lenient metric.</w:t>
      </w:r>
      <w:r>
        <w:t xml:space="preserve"> A single answer-matching convention can make a system look more or less accurate than it actually is, particularly around partial matches, punctuation, or case sensitivity. This is mitigated by requirement F3: every headline result in this thesis is computed under two independently defined matching protocols, and a result that only holds under one of them is reported as such rather than presented as unconditionally established.</w:t>
      </w:r>
    </w:p>
    <w:p>
      <w:pPr>
        <w:spacing w:after="200" w:line="300"/>
        <w:jc w:val="both"/>
      </w:pPr>
      <w:r>
        <w:rPr>
          <w:b/>
          <w:bCs/>
        </w:rPr>
        <w:t xml:space="preserve">Risk: robustness is manufactured by refusal rather than genuine defense.</w:t>
      </w:r>
      <w:r>
        <w:t xml:space="preserve"> This is, in this thesis's own judgement, the single most important risk specific to this research area, and it is not hypothetical: it is exactly the failure this thesis's own earlier iteration, PoisonGuard v3.1, fell into on the HotpotQA benchmark during Pre-Thesis II development, where a climbing refusal rate under poisoning was initially mistaken for improving robustness until the accuracy and refusal figures were examined side by side. This risk is mitigated structurally, not just by intention: refusal and abstention rate is logged and reported for every system and every condition without exception (requirement F5), so that a low attack-success-rate figure can always be checked against how often the system actually attempted an answer.</w:t>
      </w:r>
    </w:p>
    <w:p>
      <w:pPr>
        <w:spacing w:after="200" w:line="300"/>
        <w:jc w:val="both"/>
      </w:pPr>
      <w:r>
        <w:rPr>
          <w:b/>
          <w:bCs/>
        </w:rPr>
        <w:t xml:space="preserve">Risk: a defense's safety net turns out to live entirely in its filter, with nothing behind it.</w:t>
      </w:r>
      <w:r>
        <w:t xml:space="preserve"> Every published defense reviewed in Chapter 2 concedes that some poisoned passages will occasionally survive filtering and reach the generator. If a defense's accuracy collapses whenever this happens, its apparent robustness is a property of how aggressively it filters, not of how well it reasons under exposure — a distinction that matters because no filter can be perfect against an adaptive attacker. This is mitigated by requirement F6: accuracy is measured separately on the subset of queries where exposure to a surviving poisoned passage is confirmed to have occurred, for every defended system, so this specific failure mode cannot hide inside an aggregate accuracy figure.</w:t>
      </w:r>
    </w:p>
    <w:p>
      <w:pPr>
        <w:spacing w:after="200" w:line="300"/>
        <w:jc w:val="both"/>
      </w:pPr>
      <w:r>
        <w:rPr>
          <w:b/>
          <w:bCs/>
        </w:rPr>
        <w:t xml:space="preserve">Risk: findings on open, public benchmarks may not transfer to private, domain-specific corpora.</w:t>
      </w:r>
      <w:r>
        <w:t xml:space="preserve"> Natural Questions, HotpotQA, and MS-MARCO are all built from open-domain, Wikipedia- or web-search-derived content, which is stylistically and structurally different from the proprietary, narrower-domain corpora — a hospital's internal documentation, a bank's compliance archive, a company's internal wiki — that many real RAG deployments actually run against. A defense tuned and validated only against open-domain text could behave differently against denser, more jargon-heavy, or more repetitive private-domain text, where the geometry of what counts as an outlying or anomalous passage may differ substantially. This risk is not eliminated by this study's design, and could not be without access to a private corpus this study does not have; it is instead mitigated by scoping every claim in this thesis explicitly to the benchmarks actually tested, and by naming domain transfer plainly, here and in the concluding chapter, as an open question rather than a settled one.</w:t>
      </w:r>
    </w:p>
    <w:p>
      <w:pPr>
        <w:spacing w:after="200" w:line="300"/>
        <w:jc w:val="both"/>
      </w:pPr>
      <w:r>
        <w:rPr>
          <w:b/>
          <w:bCs/>
        </w:rPr>
        <w:t xml:space="preserve">Risk: drawing conclusions from too narrow an experimental sample.</w:t>
      </w:r>
      <w:r>
        <w:t xml:space="preserve"> A single dataset, or a small held-out evaluation slice, can produce a result that looks meaningful but is actually within the range of ordinary sampling variation. This is mitigated by evaluating across three structurally different benchmark datasets (requirement F4) and by supporting the core comparison with paired, per-question statistical testing against a held-out evaluation slice (requirement N4), so that reported differences are checked against, rather than simply assumed to exceed, chance variation.</w:t>
      </w:r>
    </w:p>
    <w:p>
      <w:pPr>
        <w:spacing w:after="200" w:line="300"/>
        <w:jc w:val="both"/>
      </w:pPr>
      <w:r>
        <w:rPr>
          <w:b/>
          <w:bCs/>
        </w:rPr>
        <w:t xml:space="preserve">Risk: overclaiming beyond what the evidence supports.</w:t>
      </w:r>
      <w:r>
        <w:t xml:space="preserve"> The final and, in this thesis's judgement, most easily overlooked risk is rhetorical rather than statistical: presenting a genuinely encouraging result as though it were a universal solution to corpus poisoning, RAG security, or LLM safety in general. This is mitigated by the scoping discipline maintained throughout this report — stating explicitly, wherever a result is reported, the specific datasets, threat model, retriever, and generator it was measured under, and naming plainly, in Chapter 1 and again here, that evaluation against an adaptive, defense-aware attacker remains untested and is the most important open question this work leaves for future research.</w:t>
      </w:r>
    </w:p>
    <w:p>
      <w:pPr>
        <w:spacing w:after="200" w:line="300"/>
        <w:jc w:val="both"/>
      </w:pPr>
      <w:r>
        <w:t xml:space="preserve">The mitigation strategy across all seven risks is layered rather than singular: fairness guards against a rigged comparison, dual-metric scoring guards against a flattering metric, mandatory refusal-rate reporting guards against manufactured robustness, exposure-conditioned accuracy guards against a defense whose safety net does not exist, multi-dataset and paired statistical testing guard against sampling flukes, explicit domain scoping guards against over-generalising beyond open-domain benchmarks, and disciplined rhetorical scoping guards against the thesis's own conclusions being stretched further than its evidence reaches.</w:t>
      </w:r>
    </w:p>
    <w:p>
      <w:pPr>
        <w:pStyle w:val="Heading2"/>
        <w:spacing w:after="160" w:before="320"/>
      </w:pPr>
      <w:r>
        <w:t xml:space="preserve">3.9 Economic Analysis</w:t>
      </w:r>
    </w:p>
    <w:p>
      <w:pPr>
        <w:spacing w:after="200" w:line="300"/>
        <w:jc w:val="both"/>
      </w:pPr>
      <w:r>
        <w:t xml:space="preserve">The direct monetary cost of carrying out this study is low, and deliberately so. The software stack is entirely open-source — Python, standard retrieval and evaluation libraries, and Ollama for local model serving — incurring no licensing fees. The generator is an open-weight model run locally rather than accessed through a metered commercial API, which removes per-query inference billing as a cost driver entirely and, as a direct consequence, also removes it as a constraint on how many poisoning conditions and datasets the study could afford to evaluate. The three benchmark datasets are public research corpora requiring no acquisition cost. The main direct costs are researcher time, ordinary electricity for local computation, and modest storage for datasets, retrieval indices, model weights, and archived per-query results — costs consistent with an undergraduate research project rather than a funded industrial evaluation.</w:t>
      </w:r>
    </w:p>
    <w:p>
      <w:pPr>
        <w:spacing w:after="200" w:line="300"/>
        <w:jc w:val="both"/>
      </w:pPr>
      <w:r>
        <w:t xml:space="preserve">Table 3.1 summarises the main cost categories of the study and their level.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6"/>
        <w:gridCol w:w="3006"/>
      </w:tblGrid>
      <w:tr>
        <w:trPr>
          <w:tblHeader/>
        </w:trPr>
        <w:tc>
          <w:tcPr>
            <w:tcW w:type="dxa" w:w="3006"/>
            <w:shd w:fill="D9D9D9" w:val="clear"/>
            <w:tcMar>
              <w:top w:type="dxa" w:w="80"/>
              <w:left w:type="dxa" w:w="100"/>
              <w:bottom w:type="dxa" w:w="80"/>
              <w:right w:type="dxa" w:w="100"/>
            </w:tcMar>
          </w:tcPr>
          <w:p>
            <w:pPr>
              <w:jc w:val="left"/>
            </w:pPr>
            <w:r>
              <w:t xml:space="preserve">Cost category</w:t>
            </w:r>
          </w:p>
        </w:tc>
        <w:tc>
          <w:tcPr>
            <w:tcW w:type="dxa" w:w="3006"/>
            <w:shd w:fill="D9D9D9" w:val="clear"/>
            <w:tcMar>
              <w:top w:type="dxa" w:w="80"/>
              <w:left w:type="dxa" w:w="100"/>
              <w:bottom w:type="dxa" w:w="80"/>
              <w:right w:type="dxa" w:w="100"/>
            </w:tcMar>
          </w:tcPr>
          <w:p>
            <w:pPr>
              <w:jc w:val="left"/>
            </w:pPr>
            <w:r>
              <w:t xml:space="preserve">Level</w:t>
            </w:r>
          </w:p>
        </w:tc>
        <w:tc>
          <w:tcPr>
            <w:tcW w:type="dxa" w:w="3006"/>
            <w:shd w:fill="D9D9D9" w:val="clear"/>
            <w:tcMar>
              <w:top w:type="dxa" w:w="80"/>
              <w:left w:type="dxa" w:w="100"/>
              <w:bottom w:type="dxa" w:w="80"/>
              <w:right w:type="dxa" w:w="100"/>
            </w:tcMar>
          </w:tcPr>
          <w:p>
            <w:pPr>
              <w:jc w:val="left"/>
            </w:pPr>
            <w:r>
              <w:t xml:space="preserve">Note</w:t>
            </w:r>
          </w:p>
        </w:tc>
      </w:tr>
      <w:tr>
        <w:trPr>
          <w:tblHeader w:val="false"/>
        </w:trPr>
        <w:tc>
          <w:tcPr>
            <w:tcW w:type="dxa" w:w="3006"/>
            <w:tcMar>
              <w:top w:type="dxa" w:w="80"/>
              <w:left w:type="dxa" w:w="100"/>
              <w:bottom w:type="dxa" w:w="80"/>
              <w:right w:type="dxa" w:w="100"/>
            </w:tcMar>
          </w:tcPr>
          <w:p>
            <w:pPr>
              <w:jc w:val="left"/>
            </w:pPr>
            <w:r>
              <w:t xml:space="preserve">Software</w:t>
            </w:r>
          </w:p>
        </w:tc>
        <w:tc>
          <w:tcPr>
            <w:tcW w:type="dxa" w:w="3006"/>
            <w:tcMar>
              <w:top w:type="dxa" w:w="80"/>
              <w:left w:type="dxa" w:w="100"/>
              <w:bottom w:type="dxa" w:w="80"/>
              <w:right w:type="dxa" w:w="100"/>
            </w:tcMar>
          </w:tcPr>
          <w:p>
            <w:pPr>
              <w:jc w:val="left"/>
            </w:pPr>
            <w:r>
              <w:t xml:space="preserve">None</w:t>
            </w:r>
          </w:p>
        </w:tc>
        <w:tc>
          <w:tcPr>
            <w:tcW w:type="dxa" w:w="3006"/>
            <w:tcMar>
              <w:top w:type="dxa" w:w="80"/>
              <w:left w:type="dxa" w:w="100"/>
              <w:bottom w:type="dxa" w:w="80"/>
              <w:right w:type="dxa" w:w="100"/>
            </w:tcMar>
          </w:tcPr>
          <w:p>
            <w:pPr>
              <w:jc w:val="left"/>
            </w:pPr>
            <w:r>
              <w:t xml:space="preserve">Open-source stack (Python, Ollama, standard retrieval/evaluation libraries)</w:t>
            </w:r>
          </w:p>
        </w:tc>
      </w:tr>
      <w:tr>
        <w:trPr>
          <w:tblHeader w:val="false"/>
        </w:trPr>
        <w:tc>
          <w:tcPr>
            <w:tcW w:type="dxa" w:w="3006"/>
            <w:tcMar>
              <w:top w:type="dxa" w:w="80"/>
              <w:left w:type="dxa" w:w="100"/>
              <w:bottom w:type="dxa" w:w="80"/>
              <w:right w:type="dxa" w:w="100"/>
            </w:tcMar>
          </w:tcPr>
          <w:p>
            <w:pPr>
              <w:jc w:val="left"/>
            </w:pPr>
            <w:r>
              <w:t xml:space="preserve">Datasets</w:t>
            </w:r>
          </w:p>
        </w:tc>
        <w:tc>
          <w:tcPr>
            <w:tcW w:type="dxa" w:w="3006"/>
            <w:tcMar>
              <w:top w:type="dxa" w:w="80"/>
              <w:left w:type="dxa" w:w="100"/>
              <w:bottom w:type="dxa" w:w="80"/>
              <w:right w:type="dxa" w:w="100"/>
            </w:tcMar>
          </w:tcPr>
          <w:p>
            <w:pPr>
              <w:jc w:val="left"/>
            </w:pPr>
            <w:r>
              <w:t xml:space="preserve">None</w:t>
            </w:r>
          </w:p>
        </w:tc>
        <w:tc>
          <w:tcPr>
            <w:tcW w:type="dxa" w:w="3006"/>
            <w:tcMar>
              <w:top w:type="dxa" w:w="80"/>
              <w:left w:type="dxa" w:w="100"/>
              <w:bottom w:type="dxa" w:w="80"/>
              <w:right w:type="dxa" w:w="100"/>
            </w:tcMar>
          </w:tcPr>
          <w:p>
            <w:pPr>
              <w:jc w:val="left"/>
            </w:pPr>
            <w:r>
              <w:t xml:space="preserve">Public benchmark corpora (Natural Questions, HotpotQA, MS-MARCO)</w:t>
            </w:r>
          </w:p>
        </w:tc>
      </w:tr>
      <w:tr>
        <w:trPr>
          <w:tblHeader w:val="false"/>
        </w:trPr>
        <w:tc>
          <w:tcPr>
            <w:tcW w:type="dxa" w:w="3006"/>
            <w:tcMar>
              <w:top w:type="dxa" w:w="80"/>
              <w:left w:type="dxa" w:w="100"/>
              <w:bottom w:type="dxa" w:w="80"/>
              <w:right w:type="dxa" w:w="100"/>
            </w:tcMar>
          </w:tcPr>
          <w:p>
            <w:pPr>
              <w:jc w:val="left"/>
            </w:pPr>
            <w:r>
              <w:t xml:space="preserve">Model inference</w:t>
            </w:r>
          </w:p>
        </w:tc>
        <w:tc>
          <w:tcPr>
            <w:tcW w:type="dxa" w:w="3006"/>
            <w:tcMar>
              <w:top w:type="dxa" w:w="80"/>
              <w:left w:type="dxa" w:w="100"/>
              <w:bottom w:type="dxa" w:w="80"/>
              <w:right w:type="dxa" w:w="100"/>
            </w:tcMar>
          </w:tcPr>
          <w:p>
            <w:pPr>
              <w:jc w:val="left"/>
            </w:pPr>
            <w:r>
              <w:t xml:space="preserve">Low</w:t>
            </w:r>
          </w:p>
        </w:tc>
        <w:tc>
          <w:tcPr>
            <w:tcW w:type="dxa" w:w="3006"/>
            <w:tcMar>
              <w:top w:type="dxa" w:w="80"/>
              <w:left w:type="dxa" w:w="100"/>
              <w:bottom w:type="dxa" w:w="80"/>
              <w:right w:type="dxa" w:w="100"/>
            </w:tcMar>
          </w:tcPr>
          <w:p>
            <w:pPr>
              <w:jc w:val="left"/>
            </w:pPr>
            <w:r>
              <w:t xml:space="preserve">Local, open-weight generation through Ollama; no metered API billing</w:t>
            </w:r>
          </w:p>
        </w:tc>
      </w:tr>
      <w:tr>
        <w:trPr>
          <w:tblHeader w:val="false"/>
        </w:trPr>
        <w:tc>
          <w:tcPr>
            <w:tcW w:type="dxa" w:w="3006"/>
            <w:tcMar>
              <w:top w:type="dxa" w:w="80"/>
              <w:left w:type="dxa" w:w="100"/>
              <w:bottom w:type="dxa" w:w="80"/>
              <w:right w:type="dxa" w:w="100"/>
            </w:tcMar>
          </w:tcPr>
          <w:p>
            <w:pPr>
              <w:jc w:val="left"/>
            </w:pPr>
            <w:r>
              <w:t xml:space="preserve">Compute / electricity</w:t>
            </w:r>
          </w:p>
        </w:tc>
        <w:tc>
          <w:tcPr>
            <w:tcW w:type="dxa" w:w="3006"/>
            <w:tcMar>
              <w:top w:type="dxa" w:w="80"/>
              <w:left w:type="dxa" w:w="100"/>
              <w:bottom w:type="dxa" w:w="80"/>
              <w:right w:type="dxa" w:w="100"/>
            </w:tcMar>
          </w:tcPr>
          <w:p>
            <w:pPr>
              <w:jc w:val="left"/>
            </w:pPr>
            <w:r>
              <w:t xml:space="preserve">Low</w:t>
            </w:r>
          </w:p>
        </w:tc>
        <w:tc>
          <w:tcPr>
            <w:tcW w:type="dxa" w:w="3006"/>
            <w:tcMar>
              <w:top w:type="dxa" w:w="80"/>
              <w:left w:type="dxa" w:w="100"/>
              <w:bottom w:type="dxa" w:w="80"/>
              <w:right w:type="dxa" w:w="100"/>
            </w:tcMar>
          </w:tcPr>
          <w:p>
            <w:pPr>
              <w:jc w:val="left"/>
            </w:pPr>
            <w:r>
              <w:t xml:space="preserve">Local retrieval indexing and generation on consumer-grade hardware</w:t>
            </w:r>
          </w:p>
        </w:tc>
      </w:tr>
      <w:tr>
        <w:trPr>
          <w:tblHeader w:val="false"/>
        </w:trPr>
        <w:tc>
          <w:tcPr>
            <w:tcW w:type="dxa" w:w="3006"/>
            <w:tcMar>
              <w:top w:type="dxa" w:w="80"/>
              <w:left w:type="dxa" w:w="100"/>
              <w:bottom w:type="dxa" w:w="80"/>
              <w:right w:type="dxa" w:w="100"/>
            </w:tcMar>
          </w:tcPr>
          <w:p>
            <w:pPr>
              <w:jc w:val="left"/>
            </w:pPr>
            <w:r>
              <w:t xml:space="preserve">Researcher time</w:t>
            </w:r>
          </w:p>
        </w:tc>
        <w:tc>
          <w:tcPr>
            <w:tcW w:type="dxa" w:w="3006"/>
            <w:tcMar>
              <w:top w:type="dxa" w:w="80"/>
              <w:left w:type="dxa" w:w="100"/>
              <w:bottom w:type="dxa" w:w="80"/>
              <w:right w:type="dxa" w:w="100"/>
            </w:tcMar>
          </w:tcPr>
          <w:p>
            <w:pPr>
              <w:jc w:val="left"/>
            </w:pPr>
            <w:r>
              <w:t xml:space="preserve">Main cost</w:t>
            </w:r>
          </w:p>
        </w:tc>
        <w:tc>
          <w:tcPr>
            <w:tcW w:type="dxa" w:w="3006"/>
            <w:tcMar>
              <w:top w:type="dxa" w:w="80"/>
              <w:left w:type="dxa" w:w="100"/>
              <w:bottom w:type="dxa" w:w="80"/>
              <w:right w:type="dxa" w:w="100"/>
            </w:tcMar>
          </w:tcPr>
          <w:p>
            <w:pPr>
              <w:jc w:val="left"/>
            </w:pPr>
            <w:r>
              <w:t xml:space="preserve">Design, implementation, experimentation, analysis, and writing</w:t>
            </w:r>
          </w:p>
        </w:tc>
      </w:tr>
      <w:tr>
        <w:trPr>
          <w:tblHeader w:val="false"/>
        </w:trPr>
        <w:tc>
          <w:tcPr>
            <w:tcW w:type="dxa" w:w="3006"/>
            <w:tcMar>
              <w:top w:type="dxa" w:w="80"/>
              <w:left w:type="dxa" w:w="100"/>
              <w:bottom w:type="dxa" w:w="80"/>
              <w:right w:type="dxa" w:w="100"/>
            </w:tcMar>
          </w:tcPr>
          <w:p>
            <w:pPr>
              <w:jc w:val="left"/>
            </w:pPr>
            <w:r>
              <w:t xml:space="preserve">Licensing / cloud</w:t>
            </w:r>
          </w:p>
        </w:tc>
        <w:tc>
          <w:tcPr>
            <w:tcW w:type="dxa" w:w="3006"/>
            <w:tcMar>
              <w:top w:type="dxa" w:w="80"/>
              <w:left w:type="dxa" w:w="100"/>
              <w:bottom w:type="dxa" w:w="80"/>
              <w:right w:type="dxa" w:w="100"/>
            </w:tcMar>
          </w:tcPr>
          <w:p>
            <w:pPr>
              <w:jc w:val="left"/>
            </w:pPr>
            <w:r>
              <w:t xml:space="preserve">None</w:t>
            </w:r>
          </w:p>
        </w:tc>
        <w:tc>
          <w:tcPr>
            <w:tcW w:type="dxa" w:w="3006"/>
            <w:tcMar>
              <w:top w:type="dxa" w:w="80"/>
              <w:left w:type="dxa" w:w="100"/>
              <w:bottom w:type="dxa" w:w="80"/>
              <w:right w:type="dxa" w:w="100"/>
            </w:tcMar>
          </w:tcPr>
          <w:p>
            <w:pPr>
              <w:jc w:val="left"/>
            </w:pPr>
            <w:r>
              <w:t xml:space="preserve">No paid services or proprietary platforms used</w:t>
            </w:r>
          </w:p>
        </w:tc>
      </w:tr>
    </w:tbl>
    <w:p>
      <w:pPr>
        <w:spacing w:after="200"/>
      </w:pPr>
    </w:p>
    <w:p>
      <w:pPr>
        <w:spacing w:after="200" w:line="300"/>
        <w:jc w:val="both"/>
      </w:pPr>
      <w:r>
        <w:t xml:space="preserve">The dominant cost, as the table shows, is researcher time; every other input is either free — open-source software and public data — or low, reflecting locally served inference rather than rented commercial compute. On the benefit side, the study produces a controlled comparison, an honestly reported cost analysis alongside every robustness figure, and a reproducible codebase that can support later extensions of this research direction.</w:t>
      </w:r>
    </w:p>
    <w:p>
      <w:pPr>
        <w:spacing w:after="200" w:line="300"/>
        <w:jc w:val="both"/>
      </w:pPr>
      <w:r>
        <w:t xml:space="preserve">The more consequential economic analysis this thesis offers, however, is not about the cost of running the study but about the cost this study's findings imply for anyone deciding whether to adopt a corpus-poisoning defense in a real deployment. A defense's total cost of ownership is not just whether it is free and open-source; it is also the ongoing inference cost of running it on every production query, indefinitely, for as long as the system is deployed. TrustRAG's two-stage pipeline requires an additional LLM extraction-and-reconciliation pass on top of retrieval and generation for every query it processes, which — measured in this thesis at twenty-one to twenty-seven seconds of mean latency per query under identical conditions — translates directly into a proportional multiplication of ongoing compute cost for any organisation running it at scale, whether that compute is billed per API call or paid for as local hardware time. PoisonGuard-RAG's measured three-to-four-times speed advantage under the same conditions is, in this framing, also a proportional reduction in that ongoing operating cost: an organisation choosing between the two is not simply choosing between two robustness numbers, but between two very different long-run compute bills for defending the same query volume.</w:t>
      </w:r>
    </w:p>
    <w:p>
      <w:pPr>
        <w:spacing w:after="200" w:line="300"/>
        <w:jc w:val="both"/>
      </w:pPr>
      <w:r>
        <w:t xml:space="preserve">This has a direct bearing on who can afford a corpus-poisoning defense at all. An organisation running a high-volume, latency-sensitive RAG deployment — a customer-support bot fielding thousands of queries a day, a search assistant embedded in a consumer product — faces a materially different adoption decision when a defense triples or quadruples per-query compute cost than when it adds a comparatively small overhead on top of an undefended baseline. By demonstrating that a lighter-weight mechanism can be competitively robust without that multiplied cost, this thesis's findings have a direct economic implication beyond the research contribution itself: they widen the set of organisations for whom a genuine corpus-poisoning defense is economically viable to deploy, rather than restricting a meaningful defense to organisations with the compute budget to absorb TrustRAG-scale latency at production volume. The economic argument mirrors the environmental one made in Section 3.5 and the societal one made in Section 3.4: because this thesis treats cost as a first-class research question rather than an afterthought, its central finding — that robustness does not have to be purchased at several times the compute cost of an undefended system — is one with a direct, practical payoff for anyone actually deciding whether to deploy a defense, not only for the research literature this thesis is positioned against.</w:t>
      </w:r>
    </w:p>
    <w:p>
      <w:r>
        <w:br w:type="page"/>
      </w:r>
    </w:p>
    <w:p>
      <w:pPr>
        <w:pStyle w:val="Heading1"/>
        <w:spacing w:after="200" w:before="360"/>
      </w:pPr>
      <w:r>
        <w:t xml:space="preserve">References</w:t>
      </w:r>
    </w:p>
    <w:p>
      <w:pPr>
        <w:spacing w:after="200" w:line="300"/>
        <w:jc w:val="both"/>
      </w:pPr>
      <w:r>
        <w:t xml:space="preserve">[1] W. Zou, R. Geng, B. Wang, and J. Jia, "PoisonedRAG: Knowledge Corruption Attacks to Retrieval-Augmented Generation of Large Language Models," in *Proc. 34th USENIX Security Symposium*, 2025. arXiv:2402.07867v3.</w:t>
      </w:r>
    </w:p>
    <w:p>
      <w:pPr>
        <w:spacing w:after="200" w:line="300"/>
        <w:jc w:val="both"/>
      </w:pPr>
      <w:r>
        <w:t xml:space="preserve">[2] H. Zhou, K.-H. Lee, Z. Zhan, Z. Li, Y. Chen, Z. Wang, H. Haddadi, and E. Yilmaz, "TrustRAG: Enhancing Robustness and Trustworthiness in Retrieval-Augmented Generation," arXiv:2501.00879v3, 2025.</w:t>
      </w:r>
    </w:p>
    <w:p>
      <w:pPr>
        <w:spacing w:after="200" w:line="300"/>
        <w:jc w:val="both"/>
      </w:pPr>
      <w:r>
        <w:t xml:space="preserve">[3] H. Yao, H. Shi, Y. Chen, Y. Jiang, C. Wang, and Z. Qin, "ControlNet: A Firewall for RAG-based LLM System," arXiv:2504.09593v2, 2025.</w:t>
      </w:r>
    </w:p>
    <w:p>
      <w:pPr>
        <w:spacing w:after="200" w:line="300"/>
        <w:jc w:val="both"/>
      </w:pPr>
      <w:r>
        <w:t xml:space="preserve">[4] P. Pallerla, W. N. Bhukya, B. Vemula, and C. R. Kodi, "Adaptive Defense Orchestration for RAG: A Sentinel-Strategist Architecture against Multi-Vector Attacks," arXiv:2604.20932v1, 2026.</w:t>
      </w:r>
    </w:p>
    <w:p>
      <w:pPr>
        <w:spacing w:after="200" w:line="300"/>
        <w:jc w:val="both"/>
      </w:pPr>
      <w:r>
        <w:t xml:space="preserve">[5] S. K. Mohanty, R. Patel, K. Yuvaraj, J. Chaudhary, and D. Singhania, "TriShieldRAG: A Three-Ring Defense-in-Depth Framework Against Knowledge Corruption in Retrieval-Augmented Generation," arXiv:2607.23838v1, 2026.</w:t>
      </w:r>
    </w:p>
    <w:p>
      <w:pPr>
        <w:spacing w:after="200" w:line="300"/>
        <w:jc w:val="both"/>
      </w:pPr>
      <w:r>
        <w:t xml:space="preserve">[6] X. Shen, Z. Chen, M. Backes, Y. Shen, and Y. Zhang, "'Do Anything Now': Characterizing and Evaluating In-The-Wild Jailbreak Prompts on Large Language Models," study reviewed in [23], reporting attack-success-rate analysis of DAN-style role-play jailbreaks across ChatGPT, GPT-4, Dolly, and Vicuna using the JailBreakHub framework (1,405 jailbreak prompts, 107,250 evaluation samples).</w:t>
      </w:r>
    </w:p>
    <w:p>
      <w:pPr>
        <w:spacing w:after="200" w:line="300"/>
        <w:jc w:val="both"/>
      </w:pPr>
      <w:r>
        <w:t xml:space="preserve">[7] Lan et al., multifaceted prompt-injection detection framework combining a banned-term list, Hierarchical Navigable Small World (HNSW) embedding search, and a fine-tuned BERT classifier, as reviewed in [23].</w:t>
      </w:r>
    </w:p>
    <w:p>
      <w:pPr>
        <w:spacing w:after="200" w:line="300"/>
        <w:jc w:val="both"/>
      </w:pPr>
      <w:r>
        <w:t xml:space="preserve">[8] Muliarevych, multi-level structural framework for LLM risk mitigation using an attack-validator layer, evaluated on GPT-3 and GPT-4, as reviewed in [23].</w:t>
      </w:r>
    </w:p>
    <w:p>
      <w:pPr>
        <w:spacing w:after="200" w:line="300"/>
        <w:jc w:val="both"/>
      </w:pPr>
      <w:r>
        <w:t xml:space="preserve">[9] Lee et al., linguistic-feature-based detection of malicious and jailbroken prompts using syntactic, lexical, and semantic features with logistic regression and MLP classifiers, evaluated across English, Greek, Russian, Chinese, Japanese, and Korean, as reviewed in [23].</w:t>
      </w:r>
    </w:p>
    <w:p>
      <w:pPr>
        <w:spacing w:after="200" w:line="300"/>
        <w:jc w:val="both"/>
      </w:pPr>
      <w:r>
        <w:t xml:space="preserve">[10] Y. Wang et al., "Backtranslation" defense against LLM jailbreaking attacks, evaluated against GCG, AutoDAN, PAIR, and PAP attacks on GPT-3.5-turbo, Llama-2-Chat (13B), and Vicuna (13B), as reviewed in [23].</w:t>
      </w:r>
    </w:p>
    <w:p>
      <w:pPr>
        <w:spacing w:after="200" w:line="300"/>
        <w:jc w:val="both"/>
      </w:pPr>
      <w:r>
        <w:t xml:space="preserve">[11] M. Bombieri et al., "AI-Guard," an external moderation defense built on the Granite-Guardian model, evaluated via a three-phase reverse-reasoning manual jailbreak methodology, as reviewed in [23].</w:t>
      </w:r>
    </w:p>
    <w:p>
      <w:pPr>
        <w:spacing w:after="200" w:line="300"/>
        <w:jc w:val="both"/>
      </w:pPr>
      <w:r>
        <w:t xml:space="preserve">[12] Rahman et al., fine-tuned XLM-RoBERTa transformer-based prompt-injection classifier, as reviewed in [23].</w:t>
      </w:r>
    </w:p>
    <w:p>
      <w:pPr>
        <w:spacing w:after="200" w:line="300"/>
        <w:jc w:val="both"/>
      </w:pPr>
      <w:r>
        <w:t xml:space="preserve">[13] Gacozi et al., measurement of prompt-injection exposure in commercial LLM deployments (customer service, content creation, educational tools) using Extraction Success Rate and Information Sensitivity Score metrics, as reviewed in [23].</w:t>
      </w:r>
    </w:p>
    <w:p>
      <w:pPr>
        <w:spacing w:after="200" w:line="300"/>
        <w:jc w:val="both"/>
      </w:pPr>
      <w:r>
        <w:t xml:space="preserve">[14] Gokcimen and Das, multi-layered framework mitigating injection attacks, hallucinations, and data-privacy breaches via transformer-based input classification and cross-model evaluation, as reviewed in [23].</w:t>
      </w:r>
    </w:p>
    <w:p>
      <w:pPr>
        <w:spacing w:after="200" w:line="300"/>
        <w:jc w:val="both"/>
      </w:pPr>
      <w:r>
        <w:t xml:space="preserve">[15] Pedro et al., "LangShield," a four-technique defense (query rewriting, query checking, in-prompt data preloading, LLM guard) against SQL-injection attacks on LLM-integrated database applications, built with LangChain and LlamaIndex, as reviewed in [23].</w:t>
      </w:r>
    </w:p>
    <w:p>
      <w:pPr>
        <w:spacing w:after="200" w:line="300"/>
        <w:jc w:val="both"/>
      </w:pPr>
      <w:r>
        <w:t xml:space="preserve">[16] Akter et al. (2024), interactive, browser-based educational labware module for teaching data-poisoning concepts in LLM security, built on Google Colab, as reviewed in [23].</w:t>
      </w:r>
    </w:p>
    <w:p>
      <w:pPr>
        <w:spacing w:after="200" w:line="300"/>
        <w:jc w:val="both"/>
      </w:pPr>
      <w:r>
        <w:t xml:space="preserve">[17] Liu et al. (2024), "Disguise and Reconstruction Attack (DRA)," a three-step jailbreaking technique (disguise, reconstruction, context manipulation) achieving attack success rates above 90% across evaluated LLMs, as reviewed in [23].</w:t>
      </w:r>
    </w:p>
    <w:p>
      <w:pPr>
        <w:spacing w:after="200" w:line="300"/>
        <w:jc w:val="both"/>
      </w:pPr>
      <w:r>
        <w:t xml:space="preserve">[18] Tsmindashvili et al., "Archias," a fine-tuned BERT-based expert-model classifier integrated into an LLM pipeline for jailbreak and price-manipulation defense, as reviewed in [23].</w:t>
      </w:r>
    </w:p>
    <w:p>
      <w:pPr>
        <w:spacing w:after="200" w:line="300"/>
        <w:jc w:val="both"/>
      </w:pPr>
      <w:r>
        <w:t xml:space="preserve">[19] Sayeedi et al. (2025), "JailbreakTracer," a jailbreak-prompt detection and reasoning-based classification framework using explainable-AI techniques (LIME), as reviewed in [23].</w:t>
      </w:r>
    </w:p>
    <w:p>
      <w:pPr>
        <w:spacing w:after="200" w:line="300"/>
        <w:jc w:val="both"/>
      </w:pPr>
      <w:r>
        <w:t xml:space="preserve">[20] Liu et al. (2024), large-scale benchmark formalising prompt injection and introducing a "Combined Attack" strategy, evaluated across 5 attack types, 10 defenses, and 10 LLMs, as reviewed in [23].</w:t>
      </w:r>
    </w:p>
    <w:p>
      <w:pPr>
        <w:spacing w:after="200" w:line="300"/>
        <w:jc w:val="both"/>
      </w:pPr>
      <w:r>
        <w:t xml:space="preserve">[21] Joshi et al. (2025), role-based access control and secure prompt-handling framework for prompt-injection defense in LLM-integrated financial applications, as reviewed in [23].</w:t>
      </w:r>
    </w:p>
    <w:p>
      <w:pPr>
        <w:spacing w:after="200" w:line="300"/>
        <w:jc w:val="both"/>
      </w:pPr>
      <w:r>
        <w:t xml:space="preserve">[22] Wu et al. (2024), "Dictionary Jailbreak with Multi-round Induction (DJMI)," a black-box jailbreak technique combining custom-dictionary substitution, staged prompt injection, and ethical-compliance-reinforcement framing, evaluated on ChatGPT-4o and Gemini Pro against AdvBench and MaliciousInstruct, as reviewed in [23].</w:t>
      </w:r>
    </w:p>
    <w:p>
      <w:pPr>
        <w:spacing w:after="200" w:line="300"/>
        <w:jc w:val="both"/>
      </w:pPr>
      <w:r>
        <w:t xml:space="preserve">[23] S. S. Puja, N. Afrin, and I. Tasnimah, "A Security Framework for Mitigating Multi-Vector Attacks on Open-Source LLM," Pre-Thesis II Report, Department of Computer Science and Engineering, BRAC University, Fall 2025.</w:t>
      </w:r>
    </w:p>
    <w:p>
      <w:pPr>
        <w:spacing w:after="200" w:line="300"/>
        <w:jc w:val="both"/>
      </w:pPr>
      <w:r>
        <w:t xml:space="preserve">[24] P. Lewis, E. Perez, A. Piktus, F. Petroni, V. Karpukhin, N. Goyal, H. Küttler, M. Lewis, W. Yih, T. Rocktäschel, S. Riedel, and D. Kiela, "Retrieval-Augmented Generation for Knowledge-Intensive NLP Tasks," in *Advances in Neural Information Processing Systems (NeurIPS)*, 2020. arXiv:2005.11401.</w:t>
      </w:r>
    </w:p>
    <w:p>
      <w:pPr>
        <w:spacing w:after="200" w:line="300"/>
        <w:jc w:val="both"/>
      </w:pPr>
      <w:r>
        <w:t xml:space="preserve">[25] G. Izacard, M. Caron, L. Hosseini, S. Riedel, P. Bojanowski, A. Joulin, and E. Grave, "Unsupervised Dense Information Retrieval with Contrastive Learning," arXiv:2112.09118, 2022.</w:t>
      </w:r>
    </w:p>
    <w:p>
      <w:pPr>
        <w:spacing w:after="200" w:line="300"/>
        <w:jc w:val="both"/>
      </w:pPr>
      <w:r>
        <w:t xml:space="preserve">[26] A. Grattafiori et al. (Llama Team, Meta AI), "The Llama 3 Herd of Models," arXiv:2407.21783, 2024.</w:t>
      </w:r>
    </w:p>
    <w:p>
      <w:pPr>
        <w:spacing w:after="200" w:line="300"/>
        <w:jc w:val="both"/>
      </w:pPr>
      <w:r>
        <w:t xml:space="preserve">[27] T. Kwiatkowski, J. Palomaki, O. Redfield, M. Collins, A. Parikh, C. Alberti, D. Epstein, I. Polosukhin, J. Devlin, K. Lee, K. Toutanova, L. Jones, M. Kelcey, M.-W. Chang, A. M. Dai, J. Uszkoreit, Q. Le, and S. Petrov, "Natural Questions: A Benchmark for Question Answering Research," *Transactions of the Association for Computational Linguistics*, 2019.</w:t>
      </w:r>
    </w:p>
    <w:p>
      <w:pPr>
        <w:spacing w:after="200" w:line="300"/>
        <w:jc w:val="both"/>
      </w:pPr>
      <w:r>
        <w:t xml:space="preserve">[28] Z. Yang, P. Qi, S. Zhang, Y. Bengio, W. W. Cohen, R. Salakhutdinov, and C. D. Manning, "HotpotQA: A Dataset for Diverse, Explainable Multi-hop Question Answering," in *Proc. EMNLP*, 2018.</w:t>
      </w:r>
    </w:p>
    <w:p>
      <w:pPr>
        <w:spacing w:after="200" w:line="300"/>
        <w:jc w:val="both"/>
      </w:pPr>
      <w:r>
        <w:t xml:space="preserve">[29] P. Bajaj, D. Campos, N. Craswell, L. Deng, J. Gao, X. Liu, R. Majumder, A. McNamara, B. Mitra, T. Nguyen, M. Rosenberg, X. Song, A. Stoica, S. Tiwary, and T. Wang, "MS MARCO: A Human Generated MAchine Reading COmprehension Dataset," arXiv:1611.09268, 2016.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PoisonGuard-RAG — Chapters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320"/>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240"/>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2026-09-27T17:47:59.271Z</dcterms:created>
  <dcterms:modified xsi:type="dcterms:W3CDTF">2026-09-27T17:47:59.271Z</dcterms:modified>
</cp:coreProperties>
</file>

<file path=docProps/custom.xml><?xml version="1.0" encoding="utf-8"?>
<Properties xmlns="http://schemas.openxmlformats.org/officeDocument/2006/custom-properties" xmlns:vt="http://schemas.openxmlformats.org/officeDocument/2006/docPropsVTypes"/>
</file>