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D1D9" w14:textId="77777777" w:rsidR="00AF5707" w:rsidRDefault="00000000">
      <w:pPr>
        <w:pStyle w:val="Title"/>
        <w:bidi/>
      </w:pPr>
      <w:bookmarkStart w:id="0" w:name="_242rdqe1bw2i" w:colFirst="0" w:colLast="0"/>
      <w:bookmarkEnd w:id="0"/>
      <w:r>
        <w:rPr>
          <w:rtl/>
        </w:rPr>
        <w:t xml:space="preserve">الدليل التنفيذي الشامل لتصميم وتطوير موقع شركة </w:t>
      </w:r>
      <w:r>
        <w:t>BAIT PAIT</w:t>
      </w:r>
    </w:p>
    <w:p w14:paraId="70041E1D" w14:textId="77777777" w:rsidR="00AF5707" w:rsidRDefault="00000000">
      <w:pPr>
        <w:pStyle w:val="Heading1"/>
        <w:bidi/>
      </w:pPr>
      <w:bookmarkStart w:id="1" w:name="_rhxrxap0sr4e" w:colFirst="0" w:colLast="0"/>
      <w:bookmarkEnd w:id="1"/>
      <w:r>
        <w:rPr>
          <w:rtl/>
        </w:rPr>
        <w:t>شركة البستنجي للحلول البرمجية والتدريب (</w:t>
      </w:r>
      <w:r>
        <w:t>Al-</w:t>
      </w:r>
      <w:proofErr w:type="spellStart"/>
      <w:r>
        <w:t>Bastanji</w:t>
      </w:r>
      <w:proofErr w:type="spellEnd"/>
      <w:r>
        <w:t xml:space="preserve"> Software Solutions &amp; Training</w:t>
      </w:r>
      <w:r>
        <w:rPr>
          <w:rtl/>
        </w:rPr>
        <w:t>)</w:t>
      </w:r>
    </w:p>
    <w:p w14:paraId="690425C9" w14:textId="77777777" w:rsidR="00AF5707" w:rsidRDefault="00000000">
      <w:pPr>
        <w:bidi/>
      </w:pPr>
      <w:r>
        <w:rPr>
          <w:b/>
          <w:bCs/>
          <w:rtl/>
        </w:rPr>
        <w:t>توجيه الهوية الرقمية:</w:t>
      </w:r>
      <w:r>
        <w:t xml:space="preserve"> Dark </w:t>
      </w:r>
      <w:proofErr w:type="spellStart"/>
      <w:r>
        <w:t>Neumorphism</w:t>
      </w:r>
      <w:proofErr w:type="spellEnd"/>
      <w:r>
        <w:t xml:space="preserve"> + </w:t>
      </w:r>
      <w:proofErr w:type="spellStart"/>
      <w:r>
        <w:t>Glassmorphism</w:t>
      </w:r>
      <w:proofErr w:type="spellEnd"/>
      <w:r>
        <w:rPr>
          <w:rtl/>
        </w:rPr>
        <w:t xml:space="preserve"> ثلاثي الأبعاد فائق الفخامة (</w:t>
      </w:r>
      <w:r>
        <w:rPr>
          <w:i/>
          <w:iCs/>
        </w:rPr>
        <w:t>Ultra-Luxury Cyber-Tech 3D</w:t>
      </w:r>
      <w:r>
        <w:t>)</w:t>
      </w:r>
    </w:p>
    <w:p w14:paraId="5F2A758C" w14:textId="77777777" w:rsidR="00AF5707" w:rsidRDefault="00AF5707">
      <w:pPr>
        <w:bidi/>
      </w:pPr>
    </w:p>
    <w:p w14:paraId="7AEC5A6A" w14:textId="77777777" w:rsidR="00AF5707" w:rsidRDefault="00000000">
      <w:pPr>
        <w:bidi/>
      </w:pPr>
      <w:r>
        <w:pict w14:anchorId="24C3FA09">
          <v:rect id="_x0000_i1025" style="width:0;height:1.5pt" o:hralign="center" o:hrstd="t" o:hr="t" fillcolor="#a0a0a0" stroked="f"/>
        </w:pict>
      </w:r>
    </w:p>
    <w:p w14:paraId="58559D8D" w14:textId="77777777" w:rsidR="00AF5707" w:rsidRDefault="00000000">
      <w:pPr>
        <w:pStyle w:val="Heading2"/>
        <w:bidi/>
      </w:pPr>
      <w:bookmarkStart w:id="2" w:name="_bw398qv6tdg5" w:colFirst="0" w:colLast="0"/>
      <w:bookmarkEnd w:id="2"/>
      <w:r>
        <w:rPr>
          <w:rtl/>
        </w:rPr>
        <w:t>1. فلسفة الهوية البصرية ونظام التصميم الموحّد (</w:t>
      </w:r>
      <w:r>
        <w:t>Design System</w:t>
      </w:r>
      <w:r>
        <w:rPr>
          <w:rtl/>
        </w:rPr>
        <w:t>)</w:t>
      </w:r>
    </w:p>
    <w:p w14:paraId="678A0C9A" w14:textId="77777777" w:rsidR="00AF5707" w:rsidRDefault="00000000">
      <w:pPr>
        <w:pStyle w:val="Heading3"/>
        <w:bidi/>
      </w:pPr>
      <w:bookmarkStart w:id="3" w:name="_lp08i5w3kawp" w:colFirst="0" w:colLast="0"/>
      <w:bookmarkEnd w:id="3"/>
      <w:r>
        <w:rPr>
          <w:rtl/>
        </w:rPr>
        <w:t>أ. لوحة الألوان الرقمية المعيارية</w:t>
      </w:r>
    </w:p>
    <w:tbl>
      <w:tblPr>
        <w:tblStyle w:val="a"/>
        <w:bidiVisual/>
        <w:tblW w:w="10500" w:type="dxa"/>
        <w:tblInd w:w="0" w:type="dxa"/>
        <w:tblBorders>
          <w:top w:val="single" w:sz="8" w:space="0" w:color="E9D5FF"/>
          <w:left w:val="nil"/>
          <w:bottom w:val="single" w:sz="8" w:space="0" w:color="E9D5FF"/>
          <w:right w:val="nil"/>
          <w:insideH w:val="single" w:sz="8" w:space="0" w:color="F3E8FF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AF5707" w14:paraId="2D43F7FA" w14:textId="77777777" w:rsidTr="00AF5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36125CBE" w14:textId="77777777" w:rsidR="00AF5707" w:rsidRDefault="00000000">
            <w:pPr>
              <w:bidi/>
            </w:pPr>
            <w:r>
              <w:rPr>
                <w:rtl/>
              </w:rPr>
              <w:t>عنصر التصميم</w:t>
            </w:r>
          </w:p>
        </w:tc>
        <w:tc>
          <w:tcPr>
            <w:tcW w:w="3500" w:type="dxa"/>
          </w:tcPr>
          <w:p w14:paraId="797CB4F8" w14:textId="77777777" w:rsidR="00AF5707" w:rsidRDefault="00000000">
            <w:pPr>
              <w:bidi/>
            </w:pPr>
            <w:r>
              <w:rPr>
                <w:rtl/>
              </w:rPr>
              <w:t>القيمة البرمجية (</w:t>
            </w:r>
            <w:r>
              <w:t>HEX</w:t>
            </w:r>
            <w:r>
              <w:rPr>
                <w:rtl/>
              </w:rPr>
              <w:t>)</w:t>
            </w:r>
          </w:p>
        </w:tc>
        <w:tc>
          <w:tcPr>
            <w:tcW w:w="3500" w:type="dxa"/>
          </w:tcPr>
          <w:p w14:paraId="40378707" w14:textId="77777777" w:rsidR="00AF5707" w:rsidRDefault="00000000">
            <w:pPr>
              <w:bidi/>
            </w:pPr>
            <w:r>
              <w:rPr>
                <w:rtl/>
              </w:rPr>
              <w:t>الاستخدام والتطبيق الوظيفي</w:t>
            </w:r>
          </w:p>
        </w:tc>
      </w:tr>
      <w:tr w:rsidR="00AF5707" w14:paraId="3F74D62D" w14:textId="77777777" w:rsidTr="00AF5707">
        <w:tc>
          <w:tcPr>
            <w:tcW w:w="3500" w:type="dxa"/>
          </w:tcPr>
          <w:p w14:paraId="238D02E5" w14:textId="77777777" w:rsidR="00AF5707" w:rsidRDefault="00000000">
            <w:pPr>
              <w:bidi/>
            </w:pPr>
            <w:r>
              <w:rPr>
                <w:b/>
                <w:bCs/>
                <w:rtl/>
              </w:rPr>
              <w:t>خلفية الهيرو العميقة</w:t>
            </w:r>
          </w:p>
        </w:tc>
        <w:tc>
          <w:tcPr>
            <w:tcW w:w="3500" w:type="dxa"/>
          </w:tcPr>
          <w:p w14:paraId="73B4D332" w14:textId="77777777" w:rsidR="00AF5707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#05030A</w:t>
            </w:r>
          </w:p>
        </w:tc>
        <w:tc>
          <w:tcPr>
            <w:tcW w:w="3500" w:type="dxa"/>
          </w:tcPr>
          <w:p w14:paraId="7B17145B" w14:textId="77777777" w:rsidR="00AF5707" w:rsidRDefault="00000000">
            <w:pPr>
              <w:bidi/>
            </w:pPr>
            <w:r>
              <w:rPr>
                <w:rtl/>
              </w:rPr>
              <w:t>خلفية رئيسية فائقة الظلمة لإبراز العناصر المضيئة</w:t>
            </w:r>
          </w:p>
        </w:tc>
      </w:tr>
      <w:tr w:rsidR="00AF5707" w14:paraId="65BD9FD6" w14:textId="77777777" w:rsidTr="00AF5707">
        <w:tc>
          <w:tcPr>
            <w:tcW w:w="3500" w:type="dxa"/>
          </w:tcPr>
          <w:p w14:paraId="00496494" w14:textId="77777777" w:rsidR="00AF5707" w:rsidRDefault="00000000">
            <w:pPr>
              <w:bidi/>
            </w:pPr>
            <w:r>
              <w:rPr>
                <w:b/>
                <w:bCs/>
                <w:rtl/>
              </w:rPr>
              <w:t>خلفية الأقسام الكوزمية</w:t>
            </w:r>
          </w:p>
        </w:tc>
        <w:tc>
          <w:tcPr>
            <w:tcW w:w="3500" w:type="dxa"/>
          </w:tcPr>
          <w:p w14:paraId="1AA42848" w14:textId="77777777" w:rsidR="00AF5707" w:rsidRDefault="00000000">
            <w:pPr>
              <w:bidi/>
            </w:pP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#0A0612</w:t>
            </w:r>
            <w: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#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120924</w:t>
            </w:r>
          </w:p>
        </w:tc>
        <w:tc>
          <w:tcPr>
            <w:tcW w:w="3500" w:type="dxa"/>
          </w:tcPr>
          <w:p w14:paraId="26AA1392" w14:textId="77777777" w:rsidR="00AF5707" w:rsidRDefault="00000000">
            <w:pPr>
              <w:bidi/>
            </w:pPr>
            <w:r>
              <w:rPr>
                <w:rtl/>
              </w:rPr>
              <w:t>تدرجات الخلفيات الثانوية للأقسام المتتابعة</w:t>
            </w:r>
          </w:p>
        </w:tc>
      </w:tr>
      <w:tr w:rsidR="00AF5707" w14:paraId="6D1B25A2" w14:textId="77777777" w:rsidTr="00AF5707">
        <w:tc>
          <w:tcPr>
            <w:tcW w:w="3500" w:type="dxa"/>
          </w:tcPr>
          <w:p w14:paraId="36A9B1F4" w14:textId="77777777" w:rsidR="00AF5707" w:rsidRDefault="00000000">
            <w:pPr>
              <w:bidi/>
            </w:pPr>
            <w:r>
              <w:rPr>
                <w:b/>
                <w:bCs/>
                <w:rtl/>
              </w:rPr>
              <w:lastRenderedPageBreak/>
              <w:t>السطح الليلي الإضافي (</w:t>
            </w:r>
            <w:r>
              <w:rPr>
                <w:b/>
                <w:bCs/>
              </w:rPr>
              <w:t>Surface)</w:t>
            </w:r>
          </w:p>
        </w:tc>
        <w:tc>
          <w:tcPr>
            <w:tcW w:w="3500" w:type="dxa"/>
          </w:tcPr>
          <w:p w14:paraId="271CB5FC" w14:textId="77777777" w:rsidR="00AF5707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#1A0F35</w:t>
            </w:r>
          </w:p>
        </w:tc>
        <w:tc>
          <w:tcPr>
            <w:tcW w:w="3500" w:type="dxa"/>
          </w:tcPr>
          <w:p w14:paraId="137E3DF2" w14:textId="77777777" w:rsidR="00AF5707" w:rsidRDefault="00000000">
            <w:pPr>
              <w:bidi/>
            </w:pPr>
            <w:r>
              <w:rPr>
                <w:rtl/>
              </w:rPr>
              <w:t>خلفية البطاقات والألواح التفاعلية</w:t>
            </w:r>
          </w:p>
        </w:tc>
      </w:tr>
      <w:tr w:rsidR="00AF5707" w14:paraId="0BFCE02C" w14:textId="77777777" w:rsidTr="00AF5707">
        <w:tc>
          <w:tcPr>
            <w:tcW w:w="3500" w:type="dxa"/>
          </w:tcPr>
          <w:p w14:paraId="457FA4F2" w14:textId="77777777" w:rsidR="00AF5707" w:rsidRDefault="00000000">
            <w:pPr>
              <w:bidi/>
            </w:pPr>
            <w:r>
              <w:rPr>
                <w:b/>
                <w:bCs/>
                <w:rtl/>
              </w:rPr>
              <w:t>لون البراند الأساسي</w:t>
            </w:r>
          </w:p>
        </w:tc>
        <w:tc>
          <w:tcPr>
            <w:tcW w:w="3500" w:type="dxa"/>
          </w:tcPr>
          <w:p w14:paraId="4CE7C3BC" w14:textId="77777777" w:rsidR="00AF5707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#6C2BD9</w:t>
            </w:r>
          </w:p>
        </w:tc>
        <w:tc>
          <w:tcPr>
            <w:tcW w:w="3500" w:type="dxa"/>
          </w:tcPr>
          <w:p w14:paraId="724CEBBF" w14:textId="77777777" w:rsidR="00AF5707" w:rsidRDefault="00000000">
            <w:pPr>
              <w:bidi/>
            </w:pPr>
            <w:r>
              <w:rPr>
                <w:rtl/>
              </w:rPr>
              <w:t>الأزرار الرئيسية، حواف التركيز، والعناصر النشطة</w:t>
            </w:r>
          </w:p>
        </w:tc>
      </w:tr>
      <w:tr w:rsidR="00AF5707" w14:paraId="7AE5A95D" w14:textId="77777777" w:rsidTr="00AF5707">
        <w:tc>
          <w:tcPr>
            <w:tcW w:w="3500" w:type="dxa"/>
          </w:tcPr>
          <w:p w14:paraId="7F30AD1B" w14:textId="77777777" w:rsidR="00AF5707" w:rsidRDefault="00000000">
            <w:pPr>
              <w:bidi/>
            </w:pPr>
            <w:r>
              <w:rPr>
                <w:b/>
                <w:bCs/>
                <w:rtl/>
              </w:rPr>
              <w:t>التوهج الليلكي / الوردي</w:t>
            </w:r>
          </w:p>
        </w:tc>
        <w:tc>
          <w:tcPr>
            <w:tcW w:w="3500" w:type="dxa"/>
          </w:tcPr>
          <w:p w14:paraId="096DDCB3" w14:textId="77777777" w:rsidR="00AF5707" w:rsidRDefault="00000000">
            <w:pPr>
              <w:bidi/>
            </w:pP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#C084FC</w:t>
            </w:r>
            <w: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#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EC4899</w:t>
            </w:r>
          </w:p>
        </w:tc>
        <w:tc>
          <w:tcPr>
            <w:tcW w:w="3500" w:type="dxa"/>
          </w:tcPr>
          <w:p w14:paraId="56B8641E" w14:textId="77777777" w:rsidR="00AF5707" w:rsidRDefault="00000000">
            <w:pPr>
              <w:bidi/>
            </w:pPr>
            <w:r>
              <w:rPr>
                <w:rtl/>
              </w:rPr>
              <w:t>التأثيرات المضيئة، الإضاءات الخافتة، والنصوص المميزة</w:t>
            </w:r>
          </w:p>
        </w:tc>
      </w:tr>
      <w:tr w:rsidR="00AF5707" w14:paraId="5076EE49" w14:textId="77777777" w:rsidTr="00AF5707">
        <w:tc>
          <w:tcPr>
            <w:tcW w:w="3500" w:type="dxa"/>
          </w:tcPr>
          <w:p w14:paraId="579F4627" w14:textId="77777777" w:rsidR="00AF5707" w:rsidRDefault="00000000">
            <w:pPr>
              <w:bidi/>
            </w:pPr>
            <w:r>
              <w:rPr>
                <w:b/>
                <w:bCs/>
                <w:rtl/>
              </w:rPr>
              <w:t>التوهج السيان / السماوي</w:t>
            </w:r>
          </w:p>
        </w:tc>
        <w:tc>
          <w:tcPr>
            <w:tcW w:w="3500" w:type="dxa"/>
          </w:tcPr>
          <w:p w14:paraId="14531944" w14:textId="77777777" w:rsidR="00AF5707" w:rsidRDefault="00000000">
            <w:pPr>
              <w:bidi/>
            </w:pP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#06B6D4</w:t>
            </w:r>
            <w: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#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22D3EE</w:t>
            </w:r>
          </w:p>
        </w:tc>
        <w:tc>
          <w:tcPr>
            <w:tcW w:w="3500" w:type="dxa"/>
          </w:tcPr>
          <w:p w14:paraId="52FD0A09" w14:textId="77777777" w:rsidR="00AF5707" w:rsidRDefault="00000000">
            <w:pPr>
              <w:bidi/>
            </w:pPr>
            <w:r>
              <w:rPr>
                <w:rtl/>
              </w:rPr>
              <w:t>مؤشرات الذكاء الاصطناعي والتنبيهات التفاعلية</w:t>
            </w:r>
          </w:p>
        </w:tc>
      </w:tr>
      <w:tr w:rsidR="00AF5707" w14:paraId="25B41A6A" w14:textId="77777777" w:rsidTr="00AF5707">
        <w:tc>
          <w:tcPr>
            <w:tcW w:w="3500" w:type="dxa"/>
          </w:tcPr>
          <w:p w14:paraId="7DA03963" w14:textId="77777777" w:rsidR="00AF5707" w:rsidRDefault="00000000">
            <w:pPr>
              <w:bidi/>
            </w:pPr>
            <w:r>
              <w:rPr>
                <w:b/>
                <w:bCs/>
                <w:rtl/>
              </w:rPr>
              <w:t>النصوص الناصعة والناعمة</w:t>
            </w:r>
          </w:p>
        </w:tc>
        <w:tc>
          <w:tcPr>
            <w:tcW w:w="3500" w:type="dxa"/>
          </w:tcPr>
          <w:p w14:paraId="06C68720" w14:textId="77777777" w:rsidR="00AF5707" w:rsidRDefault="00000000">
            <w:pPr>
              <w:bidi/>
            </w:pP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#FFFFFF</w:t>
            </w:r>
            <w: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#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E2E8F0</w:t>
            </w:r>
          </w:p>
        </w:tc>
        <w:tc>
          <w:tcPr>
            <w:tcW w:w="3500" w:type="dxa"/>
          </w:tcPr>
          <w:p w14:paraId="093A895B" w14:textId="77777777" w:rsidR="00AF5707" w:rsidRDefault="00000000">
            <w:pPr>
              <w:bidi/>
            </w:pPr>
            <w:r>
              <w:rPr>
                <w:rtl/>
              </w:rPr>
              <w:t>العناوين الرئيسية والنصوص الأساسية عالية التباين</w:t>
            </w:r>
          </w:p>
        </w:tc>
      </w:tr>
      <w:tr w:rsidR="00AF5707" w14:paraId="09A64A04" w14:textId="77777777" w:rsidTr="00AF5707">
        <w:tc>
          <w:tcPr>
            <w:tcW w:w="3500" w:type="dxa"/>
          </w:tcPr>
          <w:p w14:paraId="09660A63" w14:textId="77777777" w:rsidR="00AF5707" w:rsidRDefault="00000000">
            <w:pPr>
              <w:bidi/>
            </w:pPr>
            <w:r>
              <w:rPr>
                <w:b/>
                <w:bCs/>
                <w:rtl/>
              </w:rPr>
              <w:t>النصوص الثانوية المتباينة</w:t>
            </w:r>
          </w:p>
        </w:tc>
        <w:tc>
          <w:tcPr>
            <w:tcW w:w="3500" w:type="dxa"/>
          </w:tcPr>
          <w:p w14:paraId="2AA91C15" w14:textId="77777777" w:rsidR="00AF5707" w:rsidRDefault="00000000">
            <w:pPr>
              <w:bidi/>
            </w:pPr>
            <w:r>
              <w:rPr>
                <w:rFonts w:ascii="Roboto Mono" w:eastAsia="Roboto Mono" w:hAnsi="Roboto Mono" w:cs="Roboto Mono"/>
                <w:color w:val="188038"/>
              </w:rPr>
              <w:t>#94A3B8</w:t>
            </w:r>
          </w:p>
        </w:tc>
        <w:tc>
          <w:tcPr>
            <w:tcW w:w="3500" w:type="dxa"/>
          </w:tcPr>
          <w:p w14:paraId="34A71A3C" w14:textId="77777777" w:rsidR="00AF5707" w:rsidRDefault="00000000">
            <w:pPr>
              <w:bidi/>
            </w:pPr>
            <w:r>
              <w:rPr>
                <w:rtl/>
              </w:rPr>
              <w:t>النصوص الفرعية، الوصف، والملاحظات الإضافية</w:t>
            </w:r>
          </w:p>
        </w:tc>
      </w:tr>
    </w:tbl>
    <w:p w14:paraId="4B72233D" w14:textId="77777777" w:rsidR="00AF5707" w:rsidRDefault="00000000">
      <w:pPr>
        <w:pStyle w:val="Heading3"/>
        <w:bidi/>
      </w:pPr>
      <w:bookmarkStart w:id="4" w:name="_xihipwtscc1" w:colFirst="0" w:colLast="0"/>
      <w:bookmarkEnd w:id="4"/>
      <w:r>
        <w:rPr>
          <w:rtl/>
        </w:rPr>
        <w:t>ب. تأثيرات الزجاج والنيون (</w:t>
      </w:r>
      <w:r>
        <w:t>CSS Global Utilities</w:t>
      </w:r>
      <w:r>
        <w:rPr>
          <w:rtl/>
        </w:rPr>
        <w:t>)</w:t>
      </w:r>
    </w:p>
    <w:p w14:paraId="74BEC64E" w14:textId="77777777" w:rsidR="00AF5707" w:rsidRDefault="00000000">
      <w:pPr>
        <w:numPr>
          <w:ilvl w:val="0"/>
          <w:numId w:val="3"/>
        </w:numPr>
        <w:bidi/>
      </w:pPr>
      <w:r>
        <w:rPr>
          <w:b/>
          <w:bCs/>
          <w:rtl/>
        </w:rPr>
        <w:t>تأثير الزجاج الفاخر الفائق (</w:t>
      </w:r>
      <w:r>
        <w:rPr>
          <w:b/>
          <w:bCs/>
        </w:rPr>
        <w:t xml:space="preserve">Ultra </w:t>
      </w:r>
      <w:proofErr w:type="spellStart"/>
      <w:r>
        <w:rPr>
          <w:b/>
          <w:bCs/>
        </w:rPr>
        <w:t>Glassmorphism</w:t>
      </w:r>
      <w:proofErr w:type="spellEnd"/>
      <w:r>
        <w:rPr>
          <w:b/>
          <w:bCs/>
        </w:rPr>
        <w:t>):</w:t>
      </w:r>
      <w:r>
        <w:rPr>
          <w:rtl/>
        </w:rPr>
        <w:t xml:space="preserve"> اعتماد خلفية شفافة بنسبة </w:t>
      </w:r>
      <w:r>
        <w:rPr>
          <w:rFonts w:ascii="Roboto Mono" w:eastAsia="Roboto Mono" w:hAnsi="Roboto Mono" w:cs="Roboto Mono"/>
          <w:color w:val="188038"/>
        </w:rPr>
        <w:t>0.04</w:t>
      </w:r>
      <w:r>
        <w:rPr>
          <w:rtl/>
        </w:rPr>
        <w:t xml:space="preserve"> مع تشتيت خلفي (</w:t>
      </w:r>
      <w:r>
        <w:rPr>
          <w:i/>
          <w:iCs/>
        </w:rPr>
        <w:t>Backdrop Blur</w:t>
      </w:r>
      <w:r>
        <w:rPr>
          <w:rtl/>
        </w:rPr>
        <w:t xml:space="preserve">) بمقدار </w:t>
      </w:r>
      <w:r>
        <w:rPr>
          <w:rFonts w:ascii="Roboto Mono" w:eastAsia="Roboto Mono" w:hAnsi="Roboto Mono" w:cs="Roboto Mono"/>
          <w:color w:val="188038"/>
        </w:rPr>
        <w:t>22px</w:t>
      </w:r>
      <w:r>
        <w:rPr>
          <w:rtl/>
        </w:rPr>
        <w:t>، مدعومة بحدود ضوئية دقيقة وثنائية الأبعاد، وظلال عميقة تضمن استقلالية العنصر المرئي عن الخلفية الكوزمية.</w:t>
      </w:r>
    </w:p>
    <w:p w14:paraId="55CA94CC" w14:textId="77777777" w:rsidR="00AF5707" w:rsidRDefault="00000000">
      <w:pPr>
        <w:numPr>
          <w:ilvl w:val="0"/>
          <w:numId w:val="3"/>
        </w:numPr>
        <w:bidi/>
      </w:pPr>
      <w:r>
        <w:rPr>
          <w:b/>
          <w:bCs/>
          <w:rtl/>
        </w:rPr>
        <w:t>بطاقات التتبع ثلاثية الأبعاد (3</w:t>
      </w:r>
      <w:r>
        <w:rPr>
          <w:b/>
          <w:bCs/>
        </w:rPr>
        <w:t>D Hover Cards):</w:t>
      </w:r>
      <w:r>
        <w:rPr>
          <w:rtl/>
        </w:rPr>
        <w:t xml:space="preserve"> تجهيز حواف نيونية تفاعلية تعتمد على إضاءة التدرج الشفاف، مع تطبيق تأثير الإمالة الحركي (</w:t>
      </w:r>
      <w:r>
        <w:rPr>
          <w:i/>
          <w:iCs/>
        </w:rPr>
        <w:t>Interactive Tilt Effect</w:t>
      </w:r>
      <w:r>
        <w:rPr>
          <w:rtl/>
        </w:rPr>
        <w:t>) عند تحريك المؤشر فوق البطاقة.</w:t>
      </w:r>
    </w:p>
    <w:p w14:paraId="57BB36B1" w14:textId="77777777" w:rsidR="00AF5707" w:rsidRDefault="00000000">
      <w:pPr>
        <w:numPr>
          <w:ilvl w:val="0"/>
          <w:numId w:val="3"/>
        </w:numPr>
        <w:bidi/>
      </w:pPr>
      <w:r>
        <w:rPr>
          <w:b/>
          <w:bCs/>
          <w:rtl/>
        </w:rPr>
        <w:lastRenderedPageBreak/>
        <w:t>توهج العناوين ثلاثية الأبعاد:</w:t>
      </w:r>
      <w:r>
        <w:rPr>
          <w:rtl/>
        </w:rPr>
        <w:t xml:space="preserve"> إضافة طبقات متعددة من الظلال الضوئية (</w:t>
      </w:r>
      <w:r>
        <w:rPr>
          <w:i/>
          <w:iCs/>
        </w:rPr>
        <w:t>Multi-layered Neon Text Shadows</w:t>
      </w:r>
      <w:r>
        <w:rPr>
          <w:rtl/>
        </w:rPr>
        <w:t>) للعناوين الرئيسية لإعطاء بعد عميق ينبض بالتفاعل.</w:t>
      </w:r>
    </w:p>
    <w:p w14:paraId="442E034F" w14:textId="77777777" w:rsidR="00AF5707" w:rsidRDefault="00AF5707">
      <w:pPr>
        <w:bidi/>
      </w:pPr>
    </w:p>
    <w:p w14:paraId="3441D3D4" w14:textId="77777777" w:rsidR="00AF5707" w:rsidRDefault="00000000">
      <w:pPr>
        <w:bidi/>
      </w:pPr>
      <w:r>
        <w:pict w14:anchorId="4D637A9D">
          <v:rect id="_x0000_i1026" style="width:0;height:1.5pt" o:hralign="center" o:hrstd="t" o:hr="t" fillcolor="#a0a0a0" stroked="f"/>
        </w:pict>
      </w:r>
    </w:p>
    <w:p w14:paraId="5C683598" w14:textId="77777777" w:rsidR="00AF5707" w:rsidRDefault="00000000">
      <w:pPr>
        <w:pStyle w:val="Heading2"/>
        <w:bidi/>
      </w:pPr>
      <w:bookmarkStart w:id="5" w:name="_yhbpn5df2562" w:colFirst="0" w:colLast="0"/>
      <w:bookmarkEnd w:id="5"/>
      <w:r>
        <w:rPr>
          <w:rtl/>
        </w:rPr>
        <w:t>2. تفصيل بناء أقسام الموقع (</w:t>
      </w:r>
      <w:r>
        <w:t>Section-by-Section Blueprint</w:t>
      </w:r>
      <w:r>
        <w:rPr>
          <w:rtl/>
        </w:rPr>
        <w:t>)</w:t>
      </w:r>
    </w:p>
    <w:p w14:paraId="24DCF04C" w14:textId="77777777" w:rsidR="00AF5707" w:rsidRDefault="00000000">
      <w:pPr>
        <w:pStyle w:val="Heading3"/>
        <w:bidi/>
      </w:pPr>
      <w:bookmarkStart w:id="6" w:name="_utp991ltds2a" w:colFirst="0" w:colLast="0"/>
      <w:bookmarkEnd w:id="6"/>
      <w:r>
        <w:rPr>
          <w:rtl/>
        </w:rPr>
        <w:t>القسم 1: الشريط العلوي العائم (</w:t>
      </w:r>
      <w:r>
        <w:t>Floating Glass Navbar</w:t>
      </w:r>
      <w:r>
        <w:rPr>
          <w:rtl/>
        </w:rPr>
        <w:t>)</w:t>
      </w:r>
    </w:p>
    <w:p w14:paraId="4AFB528C" w14:textId="77777777" w:rsidR="00AF5707" w:rsidRDefault="00000000">
      <w:pPr>
        <w:bidi/>
      </w:pPr>
      <w:r>
        <w:rPr>
          <w:rtl/>
        </w:rPr>
        <w:t xml:space="preserve">شريط تنقل زجاجي معلق أعلى الشاشة بحواف ضوئية ناعمة وشديدة الدقة. يضم الشعار الرسمي لشركة </w:t>
      </w:r>
      <w:r>
        <w:t>BAIT PAIT</w:t>
      </w:r>
      <w:r>
        <w:rPr>
          <w:rtl/>
        </w:rPr>
        <w:t>، روابط التنقل السلسة بين الأقسام، وزر اتخاذ إجراء (</w:t>
      </w:r>
      <w:r>
        <w:t>CTA</w:t>
      </w:r>
      <w:r>
        <w:rPr>
          <w:rtl/>
        </w:rPr>
        <w:t>) متوهج بنبض نيون ديناميكي للحجز والتواصل الفوري.</w:t>
      </w:r>
    </w:p>
    <w:p w14:paraId="269AB4E1" w14:textId="77777777" w:rsidR="00AF5707" w:rsidRDefault="00000000">
      <w:pPr>
        <w:pStyle w:val="Heading3"/>
        <w:bidi/>
      </w:pPr>
      <w:bookmarkStart w:id="7" w:name="_lvr8oi9ktklw" w:colFirst="0" w:colLast="0"/>
      <w:bookmarkEnd w:id="7"/>
      <w:r>
        <w:rPr>
          <w:rtl/>
        </w:rPr>
        <w:t>القسم 2: استوديو الهيرو ثلاثي الأبعاد (</w:t>
      </w:r>
      <w:r>
        <w:t>Hero 3D Cinematic Studio</w:t>
      </w:r>
      <w:r>
        <w:rPr>
          <w:rtl/>
        </w:rPr>
        <w:t>)</w:t>
      </w:r>
    </w:p>
    <w:p w14:paraId="1819E46C" w14:textId="77777777" w:rsidR="00AF5707" w:rsidRDefault="00000000">
      <w:pPr>
        <w:bidi/>
      </w:pPr>
      <w:r>
        <w:rPr>
          <w:rtl/>
        </w:rPr>
        <w:t>بيئة سينمائية غنية بالتفاعل البصري الهندسي تتكون من:</w:t>
      </w:r>
    </w:p>
    <w:p w14:paraId="345CBE0E" w14:textId="77777777" w:rsidR="00AF5707" w:rsidRDefault="00AF5707">
      <w:pPr>
        <w:bidi/>
      </w:pPr>
    </w:p>
    <w:p w14:paraId="64F3E91D" w14:textId="77777777" w:rsidR="00AF5707" w:rsidRDefault="00000000">
      <w:pPr>
        <w:numPr>
          <w:ilvl w:val="0"/>
          <w:numId w:val="2"/>
        </w:numPr>
        <w:bidi/>
      </w:pPr>
      <w:r>
        <w:rPr>
          <w:b/>
          <w:bCs/>
          <w:rtl/>
        </w:rPr>
        <w:t>نواة الذكاء الاصطناعي (</w:t>
      </w:r>
      <w:r>
        <w:rPr>
          <w:b/>
          <w:bCs/>
        </w:rPr>
        <w:t>AI Core):</w:t>
      </w:r>
      <w:r>
        <w:rPr>
          <w:rtl/>
        </w:rPr>
        <w:t xml:space="preserve"> مجسم كروي مشوه بحركة انسيابية ينبض بالضوء، محاط بثلاثة مدارات نيونية دوارة ومحاط بجزيئات ضوئية عائمة.</w:t>
      </w:r>
    </w:p>
    <w:p w14:paraId="7C42E90E" w14:textId="77777777" w:rsidR="00AF5707" w:rsidRDefault="00000000">
      <w:pPr>
        <w:numPr>
          <w:ilvl w:val="0"/>
          <w:numId w:val="2"/>
        </w:numPr>
        <w:bidi/>
      </w:pPr>
      <w:r>
        <w:rPr>
          <w:b/>
          <w:bCs/>
          <w:rtl/>
        </w:rPr>
        <w:t>الأجهزة التفاعلية ثلاثية الأبعاد:</w:t>
      </w:r>
      <w:r>
        <w:rPr>
          <w:rtl/>
        </w:rPr>
        <w:t xml:space="preserve"> عرض مجسمات حاسوب محمول بشاشة </w:t>
      </w:r>
      <w:r>
        <w:rPr>
          <w:i/>
          <w:iCs/>
        </w:rPr>
        <w:t>Neural Engine</w:t>
      </w:r>
      <w:r>
        <w:rPr>
          <w:rtl/>
        </w:rPr>
        <w:t xml:space="preserve">، جهاز لوحي بواجهة </w:t>
      </w:r>
      <w:r>
        <w:rPr>
          <w:i/>
          <w:iCs/>
        </w:rPr>
        <w:t>Intelligence OS</w:t>
      </w:r>
      <w:r>
        <w:rPr>
          <w:rtl/>
        </w:rPr>
        <w:t>، وهاتف ذكي تفاعلي.</w:t>
      </w:r>
    </w:p>
    <w:p w14:paraId="2DF3B107" w14:textId="77777777" w:rsidR="00AF5707" w:rsidRDefault="00000000">
      <w:pPr>
        <w:numPr>
          <w:ilvl w:val="0"/>
          <w:numId w:val="2"/>
        </w:numPr>
        <w:bidi/>
      </w:pPr>
      <w:r>
        <w:rPr>
          <w:b/>
          <w:bCs/>
          <w:rtl/>
        </w:rPr>
        <w:t>وحدة السيرفرات السحابية:</w:t>
      </w:r>
      <w:r>
        <w:rPr>
          <w:rtl/>
        </w:rPr>
        <w:t xml:space="preserve"> مجسم سيرفر سحابي مكوّن من 4 طبقات مزود بإضاءات </w:t>
      </w:r>
      <w:r>
        <w:rPr>
          <w:i/>
          <w:iCs/>
        </w:rPr>
        <w:t>LED</w:t>
      </w:r>
      <w:r>
        <w:rPr>
          <w:rtl/>
        </w:rPr>
        <w:t xml:space="preserve"> تفاعلية تعكس حالة المعالجة، تعلوه لوحة هولوجرام رقمية تعرض المؤشرات: </w:t>
      </w:r>
      <w:r>
        <w:rPr>
          <w:rFonts w:ascii="Roboto Mono" w:eastAsia="Roboto Mono" w:hAnsi="Roboto Mono" w:cs="Roboto Mono"/>
          <w:color w:val="188038"/>
        </w:rPr>
        <w:t>VISION</w:t>
      </w:r>
      <w:r>
        <w:t xml:space="preserve"> · </w:t>
      </w:r>
      <w:r>
        <w:rPr>
          <w:rFonts w:ascii="Roboto Mono" w:eastAsia="Roboto Mono" w:hAnsi="Roboto Mono" w:cs="Roboto Mono"/>
          <w:color w:val="188038"/>
        </w:rPr>
        <w:t>LLM</w:t>
      </w:r>
      <w:r>
        <w:t xml:space="preserve"> · </w:t>
      </w:r>
      <w:r>
        <w:rPr>
          <w:rFonts w:ascii="Roboto Mono" w:eastAsia="Roboto Mono" w:hAnsi="Roboto Mono" w:cs="Roboto Mono"/>
          <w:color w:val="188038"/>
        </w:rPr>
        <w:t>EDGE</w:t>
      </w:r>
      <w:r>
        <w:t>.</w:t>
      </w:r>
    </w:p>
    <w:p w14:paraId="78DB2598" w14:textId="77777777" w:rsidR="00AF5707" w:rsidRDefault="00000000">
      <w:pPr>
        <w:numPr>
          <w:ilvl w:val="0"/>
          <w:numId w:val="2"/>
        </w:numPr>
        <w:bidi/>
      </w:pPr>
      <w:r>
        <w:rPr>
          <w:b/>
          <w:bCs/>
          <w:rtl/>
        </w:rPr>
        <w:t>محتوى الهيرو:</w:t>
      </w:r>
      <w:r>
        <w:rPr>
          <w:rtl/>
        </w:rPr>
        <w:t xml:space="preserve"> العناوين الرئيسية المعتمدة مدعومة بأزرار الحركة والتحويل المباشر.</w:t>
      </w:r>
    </w:p>
    <w:p w14:paraId="0A3E2013" w14:textId="77777777" w:rsidR="00AF5707" w:rsidRDefault="00000000">
      <w:pPr>
        <w:pStyle w:val="Heading3"/>
        <w:bidi/>
      </w:pPr>
      <w:bookmarkStart w:id="8" w:name="_fagmkvuyclen" w:colFirst="0" w:colLast="0"/>
      <w:bookmarkEnd w:id="8"/>
      <w:r>
        <w:rPr>
          <w:rtl/>
        </w:rPr>
        <w:lastRenderedPageBreak/>
        <w:t>القسم 3: من نحن (</w:t>
      </w:r>
      <w:r>
        <w:t>About BAIT PAIT</w:t>
      </w:r>
      <w:r>
        <w:rPr>
          <w:rtl/>
        </w:rPr>
        <w:t>)</w:t>
      </w:r>
    </w:p>
    <w:p w14:paraId="0C612317" w14:textId="77777777" w:rsidR="00AF5707" w:rsidRDefault="00000000">
      <w:pPr>
        <w:numPr>
          <w:ilvl w:val="0"/>
          <w:numId w:val="2"/>
        </w:numPr>
        <w:bidi/>
      </w:pPr>
      <w:r>
        <w:rPr>
          <w:b/>
          <w:bCs/>
          <w:rtl/>
        </w:rPr>
        <w:t>رسالة القيادة:</w:t>
      </w:r>
      <w:r>
        <w:rPr>
          <w:rtl/>
        </w:rPr>
        <w:t xml:space="preserve"> كلمة المؤسس م. مصطفى البستنجي مصممة داخل بطاقة زجاجية فاخرة ذات طابع تنفيذي.</w:t>
      </w:r>
    </w:p>
    <w:p w14:paraId="058BE6F3" w14:textId="77777777" w:rsidR="00AF5707" w:rsidRDefault="00000000">
      <w:pPr>
        <w:numPr>
          <w:ilvl w:val="0"/>
          <w:numId w:val="2"/>
        </w:numPr>
        <w:bidi/>
      </w:pPr>
      <w:r>
        <w:rPr>
          <w:b/>
          <w:bCs/>
          <w:rtl/>
        </w:rPr>
        <w:t>الرؤية والرسالة:</w:t>
      </w:r>
      <w:r>
        <w:rPr>
          <w:rtl/>
        </w:rPr>
        <w:t xml:space="preserve"> عرض بطاقات الرؤية والرسالة بأبعاد ثلاثية، مدعمة بأيقونات طينية حصرية (</w:t>
      </w:r>
      <w:r>
        <w:rPr>
          <w:i/>
          <w:iCs/>
        </w:rPr>
        <w:t>3D Clay Icons</w:t>
      </w:r>
      <w:r>
        <w:rPr>
          <w:rtl/>
        </w:rPr>
        <w:t>) ومجسم كرة كريستالية عاكسة للضوء المحيط.</w:t>
      </w:r>
    </w:p>
    <w:p w14:paraId="6327B797" w14:textId="77777777" w:rsidR="00AF5707" w:rsidRDefault="00000000">
      <w:pPr>
        <w:pStyle w:val="Heading3"/>
        <w:bidi/>
      </w:pPr>
      <w:bookmarkStart w:id="9" w:name="_sdvyjiuhbxe" w:colFirst="0" w:colLast="0"/>
      <w:bookmarkEnd w:id="9"/>
      <w:r>
        <w:rPr>
          <w:rtl/>
        </w:rPr>
        <w:t>القسم 4: الخدمات المزدوجة (</w:t>
      </w:r>
      <w:r>
        <w:t>Dual Services Arena</w:t>
      </w:r>
      <w:r>
        <w:rPr>
          <w:rtl/>
        </w:rPr>
        <w:t>)</w:t>
      </w:r>
    </w:p>
    <w:p w14:paraId="05BB085B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</w:rPr>
        <w:t xml:space="preserve">                       ┌─────────────────────────────────────────┐</w:t>
      </w:r>
    </w:p>
    <w:p w14:paraId="733C3F22" w14:textId="77777777" w:rsidR="00AF5707" w:rsidRDefault="00AF5707">
      <w:pPr>
        <w:bidi/>
      </w:pPr>
    </w:p>
    <w:p w14:paraId="694EDE68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  <w:rtl/>
        </w:rPr>
        <w:t xml:space="preserve">                       │      </w:t>
      </w:r>
      <w:r>
        <w:rPr>
          <w:rtl/>
        </w:rPr>
        <w:t>ساحة الخدمات المزدوجة</w:t>
      </w:r>
      <w:r>
        <w:rPr>
          <w:rFonts w:ascii="Arial Unicode MS" w:eastAsia="Arial Unicode MS" w:hAnsi="Arial Unicode MS" w:cs="Arial Unicode MS"/>
          <w:rtl/>
        </w:rPr>
        <w:t xml:space="preserve">             │</w:t>
      </w:r>
    </w:p>
    <w:p w14:paraId="11B71AB8" w14:textId="77777777" w:rsidR="00AF5707" w:rsidRDefault="00AF5707">
      <w:pPr>
        <w:bidi/>
      </w:pPr>
    </w:p>
    <w:p w14:paraId="3888BDA4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</w:rPr>
        <w:t xml:space="preserve">                       └──────────────────┬──────────────────────┘</w:t>
      </w:r>
    </w:p>
    <w:p w14:paraId="70E00A47" w14:textId="77777777" w:rsidR="00AF5707" w:rsidRDefault="00AF5707">
      <w:pPr>
        <w:bidi/>
      </w:pPr>
    </w:p>
    <w:p w14:paraId="5DF72D7E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</w:rPr>
        <w:t xml:space="preserve">                                          │</w:t>
      </w:r>
    </w:p>
    <w:p w14:paraId="6E992398" w14:textId="77777777" w:rsidR="00AF5707" w:rsidRDefault="00AF5707">
      <w:pPr>
        <w:bidi/>
      </w:pPr>
    </w:p>
    <w:p w14:paraId="03F782D9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</w:rPr>
        <w:t xml:space="preserve">                  ┌───────────────────────┴───────────────────────┐</w:t>
      </w:r>
    </w:p>
    <w:p w14:paraId="49635F6D" w14:textId="77777777" w:rsidR="00AF5707" w:rsidRDefault="00AF5707">
      <w:pPr>
        <w:bidi/>
      </w:pPr>
    </w:p>
    <w:p w14:paraId="0450B2F7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</w:rPr>
        <w:t xml:space="preserve">                  ▼                                               ▼</w:t>
      </w:r>
    </w:p>
    <w:p w14:paraId="26EE6375" w14:textId="77777777" w:rsidR="00AF5707" w:rsidRDefault="00AF5707">
      <w:pPr>
        <w:bidi/>
      </w:pPr>
    </w:p>
    <w:p w14:paraId="226A3C0C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</w:rPr>
        <w:t xml:space="preserve">     ┌─────────────────────────┐                     ┌─────────────────────────┐</w:t>
      </w:r>
    </w:p>
    <w:p w14:paraId="608E6935" w14:textId="77777777" w:rsidR="00AF5707" w:rsidRDefault="00AF5707">
      <w:pPr>
        <w:bidi/>
      </w:pPr>
    </w:p>
    <w:p w14:paraId="5266EFB8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  <w:rtl/>
        </w:rPr>
        <w:t xml:space="preserve">     │     </w:t>
      </w:r>
      <w:r>
        <w:rPr>
          <w:rtl/>
        </w:rPr>
        <w:t>الحلول البرمجية</w:t>
      </w:r>
      <w:r>
        <w:rPr>
          <w:rFonts w:ascii="Arial Unicode MS" w:eastAsia="Arial Unicode MS" w:hAnsi="Arial Unicode MS" w:cs="Arial Unicode MS"/>
          <w:rtl/>
        </w:rPr>
        <w:t xml:space="preserve">     │                     │    </w:t>
      </w:r>
      <w:r>
        <w:rPr>
          <w:rtl/>
        </w:rPr>
        <w:t>التدريب والأكاديمية</w:t>
      </w:r>
      <w:r>
        <w:rPr>
          <w:rFonts w:ascii="Arial Unicode MS" w:eastAsia="Arial Unicode MS" w:hAnsi="Arial Unicode MS" w:cs="Arial Unicode MS"/>
          <w:rtl/>
        </w:rPr>
        <w:t xml:space="preserve">  │</w:t>
      </w:r>
    </w:p>
    <w:p w14:paraId="52073B09" w14:textId="77777777" w:rsidR="00AF5707" w:rsidRDefault="00AF5707">
      <w:pPr>
        <w:bidi/>
      </w:pPr>
    </w:p>
    <w:p w14:paraId="7A70B643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</w:rPr>
        <w:t xml:space="preserve">     ├─────────────────────────┤                     ├─────────────────────────┤</w:t>
      </w:r>
    </w:p>
    <w:p w14:paraId="510D1B0E" w14:textId="77777777" w:rsidR="00AF5707" w:rsidRDefault="00AF5707">
      <w:pPr>
        <w:bidi/>
      </w:pPr>
    </w:p>
    <w:p w14:paraId="7ED3C585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  <w:rtl/>
        </w:rPr>
        <w:t xml:space="preserve">     │ • </w:t>
      </w:r>
      <w:r>
        <w:rPr>
          <w:rtl/>
        </w:rPr>
        <w:t>تطبيقات الموبايل</w:t>
      </w:r>
      <w:r>
        <w:rPr>
          <w:rFonts w:ascii="Arial Unicode MS" w:eastAsia="Arial Unicode MS" w:hAnsi="Arial Unicode MS" w:cs="Arial Unicode MS"/>
          <w:rtl/>
        </w:rPr>
        <w:t xml:space="preserve">      │                     │ • </w:t>
      </w:r>
      <w:r>
        <w:rPr>
          <w:rtl/>
        </w:rPr>
        <w:t>مسارات تطوير الواجهات</w:t>
      </w:r>
      <w:r>
        <w:rPr>
          <w:rFonts w:ascii="Arial Unicode MS" w:eastAsia="Arial Unicode MS" w:hAnsi="Arial Unicode MS" w:cs="Arial Unicode MS"/>
          <w:rtl/>
        </w:rPr>
        <w:t xml:space="preserve"> │</w:t>
      </w:r>
    </w:p>
    <w:p w14:paraId="1D4D6C90" w14:textId="77777777" w:rsidR="00AF5707" w:rsidRDefault="00AF5707">
      <w:pPr>
        <w:bidi/>
      </w:pPr>
    </w:p>
    <w:p w14:paraId="3E4AA3DC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  <w:rtl/>
        </w:rPr>
        <w:t xml:space="preserve">     │ • </w:t>
      </w:r>
      <w:r>
        <w:rPr>
          <w:rtl/>
        </w:rPr>
        <w:t>المنصات السحابية</w:t>
      </w:r>
      <w:r>
        <w:rPr>
          <w:rFonts w:ascii="Arial Unicode MS" w:eastAsia="Arial Unicode MS" w:hAnsi="Arial Unicode MS" w:cs="Arial Unicode MS"/>
          <w:rtl/>
        </w:rPr>
        <w:t xml:space="preserve">      │                     │ • </w:t>
      </w:r>
      <w:r>
        <w:rPr>
          <w:rtl/>
        </w:rPr>
        <w:t>البرمجة الخلفية</w:t>
      </w:r>
      <w:r>
        <w:rPr>
          <w:rFonts w:ascii="Arial Unicode MS" w:eastAsia="Arial Unicode MS" w:hAnsi="Arial Unicode MS" w:cs="Arial Unicode MS"/>
          <w:rtl/>
        </w:rPr>
        <w:t xml:space="preserve">       │</w:t>
      </w:r>
    </w:p>
    <w:p w14:paraId="507CF6B4" w14:textId="77777777" w:rsidR="00AF5707" w:rsidRDefault="00AF5707">
      <w:pPr>
        <w:bidi/>
      </w:pPr>
    </w:p>
    <w:p w14:paraId="651131AD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  <w:rtl/>
        </w:rPr>
        <w:t xml:space="preserve">     │ • </w:t>
      </w:r>
      <w:r>
        <w:rPr>
          <w:rtl/>
        </w:rPr>
        <w:t xml:space="preserve">أنظمة </w:t>
      </w:r>
      <w:r>
        <w:t>ERP</w:t>
      </w:r>
      <w:r>
        <w:rPr>
          <w:rtl/>
        </w:rPr>
        <w:t xml:space="preserve"> الإدارية</w:t>
      </w:r>
      <w:r>
        <w:rPr>
          <w:rFonts w:ascii="Arial Unicode MS" w:eastAsia="Arial Unicode MS" w:hAnsi="Arial Unicode MS" w:cs="Arial Unicode MS"/>
          <w:rtl/>
        </w:rPr>
        <w:t xml:space="preserve">    │                     │ • </w:t>
      </w:r>
      <w:r>
        <w:rPr>
          <w:rtl/>
        </w:rPr>
        <w:t>هندسة الأوامر والذكاء</w:t>
      </w:r>
      <w:r>
        <w:rPr>
          <w:rFonts w:ascii="Arial Unicode MS" w:eastAsia="Arial Unicode MS" w:hAnsi="Arial Unicode MS" w:cs="Arial Unicode MS"/>
          <w:rtl/>
        </w:rPr>
        <w:t xml:space="preserve"> │</w:t>
      </w:r>
    </w:p>
    <w:p w14:paraId="5FABB554" w14:textId="77777777" w:rsidR="00AF5707" w:rsidRDefault="00AF5707">
      <w:pPr>
        <w:bidi/>
      </w:pPr>
    </w:p>
    <w:p w14:paraId="59583E8A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  <w:rtl/>
        </w:rPr>
        <w:t xml:space="preserve">     │ • </w:t>
      </w:r>
      <w:r>
        <w:rPr>
          <w:rtl/>
        </w:rPr>
        <w:t>حلول الذكاء الاصطناعي</w:t>
      </w:r>
      <w:r>
        <w:rPr>
          <w:rFonts w:ascii="Arial Unicode MS" w:eastAsia="Arial Unicode MS" w:hAnsi="Arial Unicode MS" w:cs="Arial Unicode MS"/>
          <w:rtl/>
        </w:rPr>
        <w:t xml:space="preserve"> │                     │ • </w:t>
      </w:r>
      <w:r>
        <w:rPr>
          <w:rtl/>
        </w:rPr>
        <w:t>تصميم واجهات المستخدم</w:t>
      </w:r>
      <w:r>
        <w:rPr>
          <w:rFonts w:ascii="Arial Unicode MS" w:eastAsia="Arial Unicode MS" w:hAnsi="Arial Unicode MS" w:cs="Arial Unicode MS"/>
          <w:rtl/>
        </w:rPr>
        <w:t xml:space="preserve"> │</w:t>
      </w:r>
    </w:p>
    <w:p w14:paraId="29642AF9" w14:textId="77777777" w:rsidR="00AF5707" w:rsidRDefault="00AF5707">
      <w:pPr>
        <w:bidi/>
      </w:pPr>
    </w:p>
    <w:p w14:paraId="02D14915" w14:textId="77777777" w:rsidR="00AF5707" w:rsidRDefault="00000000">
      <w:pPr>
        <w:bidi/>
      </w:pPr>
      <w:r>
        <w:rPr>
          <w:rFonts w:ascii="Arial Unicode MS" w:eastAsia="Arial Unicode MS" w:hAnsi="Arial Unicode MS" w:cs="Arial Unicode MS"/>
        </w:rPr>
        <w:t xml:space="preserve">     └─────────────────────────┘                     └─────────────────────────┘</w:t>
      </w:r>
    </w:p>
    <w:p w14:paraId="31ED6E11" w14:textId="77777777" w:rsidR="00AF5707" w:rsidRDefault="00000000">
      <w:pPr>
        <w:pStyle w:val="Heading3"/>
        <w:bidi/>
      </w:pPr>
      <w:bookmarkStart w:id="10" w:name="_gbtgc7xjahvd" w:colFirst="0" w:colLast="0"/>
      <w:bookmarkEnd w:id="10"/>
      <w:r>
        <w:rPr>
          <w:rtl/>
        </w:rPr>
        <w:t>القسم 5: منهجية العمل المدارية (</w:t>
      </w:r>
      <w:proofErr w:type="spellStart"/>
      <w:r>
        <w:t>PathWorld</w:t>
      </w:r>
      <w:proofErr w:type="spellEnd"/>
      <w:r>
        <w:t xml:space="preserve"> Methodology</w:t>
      </w:r>
      <w:r>
        <w:rPr>
          <w:rtl/>
        </w:rPr>
        <w:t>)</w:t>
      </w:r>
    </w:p>
    <w:p w14:paraId="7CA447EF" w14:textId="77777777" w:rsidR="00AF5707" w:rsidRDefault="00000000">
      <w:pPr>
        <w:bidi/>
      </w:pPr>
      <w:r>
        <w:rPr>
          <w:rtl/>
        </w:rPr>
        <w:t>مسار مداري حلزوني تفاعلي يوضح مراحل بناء المشاريع عبر 6 محطات متسلسلة:</w:t>
      </w:r>
    </w:p>
    <w:p w14:paraId="456890CA" w14:textId="77777777" w:rsidR="00AF5707" w:rsidRDefault="00AF5707">
      <w:pPr>
        <w:bidi/>
      </w:pPr>
    </w:p>
    <w:p w14:paraId="57875DB0" w14:textId="77777777" w:rsidR="00AF5707" w:rsidRDefault="00000000">
      <w:pPr>
        <w:numPr>
          <w:ilvl w:val="0"/>
          <w:numId w:val="4"/>
        </w:numPr>
        <w:bidi/>
      </w:pPr>
      <w:r>
        <w:rPr>
          <w:b/>
          <w:bCs/>
          <w:rtl/>
        </w:rPr>
        <w:t>الاكتشاف والتحليل:</w:t>
      </w:r>
      <w:r>
        <w:rPr>
          <w:rtl/>
        </w:rPr>
        <w:t xml:space="preserve"> فهم المتطلبات وبناء المخطط الأولي.</w:t>
      </w:r>
    </w:p>
    <w:p w14:paraId="7F220DA3" w14:textId="77777777" w:rsidR="00AF5707" w:rsidRDefault="00000000">
      <w:pPr>
        <w:numPr>
          <w:ilvl w:val="0"/>
          <w:numId w:val="4"/>
        </w:numPr>
        <w:bidi/>
      </w:pPr>
      <w:r>
        <w:rPr>
          <w:b/>
          <w:bCs/>
          <w:rtl/>
        </w:rPr>
        <w:t>التصميم والنماذج:</w:t>
      </w:r>
      <w:r>
        <w:rPr>
          <w:rtl/>
        </w:rPr>
        <w:t xml:space="preserve"> تقديم واجهات المستخدم وتجربة الاستخدام المتقدمة.</w:t>
      </w:r>
    </w:p>
    <w:p w14:paraId="58722B36" w14:textId="77777777" w:rsidR="00AF5707" w:rsidRDefault="00000000">
      <w:pPr>
        <w:numPr>
          <w:ilvl w:val="0"/>
          <w:numId w:val="4"/>
        </w:numPr>
        <w:bidi/>
      </w:pPr>
      <w:r>
        <w:rPr>
          <w:b/>
          <w:bCs/>
          <w:rtl/>
        </w:rPr>
        <w:t>التطوير والبرمجة:</w:t>
      </w:r>
      <w:r>
        <w:rPr>
          <w:rtl/>
        </w:rPr>
        <w:t xml:space="preserve"> كتابة الشفرات المصدريّة بأعلى معايير الجودة.</w:t>
      </w:r>
    </w:p>
    <w:p w14:paraId="2EF0A058" w14:textId="77777777" w:rsidR="00AF5707" w:rsidRDefault="00000000">
      <w:pPr>
        <w:numPr>
          <w:ilvl w:val="0"/>
          <w:numId w:val="4"/>
        </w:numPr>
        <w:bidi/>
      </w:pPr>
      <w:r>
        <w:rPr>
          <w:b/>
          <w:bCs/>
          <w:rtl/>
        </w:rPr>
        <w:t>دمج الذكاء الاصطناعي:</w:t>
      </w:r>
      <w:r>
        <w:rPr>
          <w:rtl/>
        </w:rPr>
        <w:t xml:space="preserve"> ربط الأنظمة بالنماذج الذكية والأتمتة.</w:t>
      </w:r>
    </w:p>
    <w:p w14:paraId="60440EC2" w14:textId="77777777" w:rsidR="00AF5707" w:rsidRDefault="00000000">
      <w:pPr>
        <w:numPr>
          <w:ilvl w:val="0"/>
          <w:numId w:val="4"/>
        </w:numPr>
        <w:bidi/>
      </w:pPr>
      <w:r>
        <w:rPr>
          <w:b/>
          <w:bCs/>
          <w:rtl/>
        </w:rPr>
        <w:t>فحص الجودة والأمان:</w:t>
      </w:r>
      <w:r>
        <w:rPr>
          <w:rtl/>
        </w:rPr>
        <w:t xml:space="preserve"> اختبارات الحماية والأداء الفائق.</w:t>
      </w:r>
    </w:p>
    <w:p w14:paraId="2DF70A8F" w14:textId="77777777" w:rsidR="00AF5707" w:rsidRDefault="00000000">
      <w:pPr>
        <w:numPr>
          <w:ilvl w:val="0"/>
          <w:numId w:val="4"/>
        </w:numPr>
        <w:bidi/>
      </w:pPr>
      <w:r>
        <w:rPr>
          <w:b/>
          <w:bCs/>
          <w:rtl/>
        </w:rPr>
        <w:t>الإطلاق والتدريب:</w:t>
      </w:r>
      <w:r>
        <w:rPr>
          <w:rtl/>
        </w:rPr>
        <w:t xml:space="preserve"> تسليم المشروع وتدريب فرق العمل.</w:t>
      </w:r>
    </w:p>
    <w:p w14:paraId="795CE0DE" w14:textId="77777777" w:rsidR="00AF5707" w:rsidRDefault="00000000">
      <w:pPr>
        <w:pStyle w:val="Heading3"/>
        <w:bidi/>
      </w:pPr>
      <w:bookmarkStart w:id="11" w:name="_pg5b63qmaa6" w:colFirst="0" w:colLast="0"/>
      <w:bookmarkEnd w:id="11"/>
      <w:r>
        <w:rPr>
          <w:rtl/>
        </w:rPr>
        <w:t>القسم 6: معرض الأعمال ثلاثي الأبعاد (</w:t>
      </w:r>
      <w:r>
        <w:t>Immersive Portfolio</w:t>
      </w:r>
      <w:r>
        <w:rPr>
          <w:rtl/>
        </w:rPr>
        <w:t>)</w:t>
      </w:r>
    </w:p>
    <w:p w14:paraId="7B2BAB71" w14:textId="77777777" w:rsidR="00AF5707" w:rsidRDefault="00000000">
      <w:pPr>
        <w:numPr>
          <w:ilvl w:val="0"/>
          <w:numId w:val="5"/>
        </w:numPr>
        <w:bidi/>
      </w:pPr>
      <w:r>
        <w:rPr>
          <w:b/>
          <w:bCs/>
          <w:rtl/>
        </w:rPr>
        <w:t>نظام التصفية:</w:t>
      </w:r>
      <w:r>
        <w:rPr>
          <w:rtl/>
        </w:rPr>
        <w:t xml:space="preserve"> أدوات فلترة تفاعلية لتصنيف المشاريع حسب القطاع والتكنولوجيا المستخدمة.</w:t>
      </w:r>
    </w:p>
    <w:p w14:paraId="555D058F" w14:textId="77777777" w:rsidR="00AF5707" w:rsidRDefault="00000000">
      <w:pPr>
        <w:numPr>
          <w:ilvl w:val="0"/>
          <w:numId w:val="5"/>
        </w:numPr>
        <w:bidi/>
      </w:pPr>
      <w:r>
        <w:rPr>
          <w:b/>
          <w:bCs/>
          <w:rtl/>
        </w:rPr>
        <w:lastRenderedPageBreak/>
        <w:t>عرض المشاريع:</w:t>
      </w:r>
      <w:r>
        <w:rPr>
          <w:rtl/>
        </w:rPr>
        <w:t xml:space="preserve"> بطاقات هولوجرامية تفاعلية تعكس المشاريع الكبرى (تطبيق جايك ديليفري، منصة العيادات والأنظمة الطبية، منصة أفندي، ونظام سوبر سبيد).</w:t>
      </w:r>
    </w:p>
    <w:p w14:paraId="6CAB345C" w14:textId="77777777" w:rsidR="00AF5707" w:rsidRDefault="00000000">
      <w:pPr>
        <w:numPr>
          <w:ilvl w:val="0"/>
          <w:numId w:val="5"/>
        </w:numPr>
        <w:bidi/>
      </w:pPr>
      <w:r>
        <w:rPr>
          <w:b/>
          <w:bCs/>
          <w:rtl/>
        </w:rPr>
        <w:t>حماية البيانات:</w:t>
      </w:r>
      <w:r>
        <w:rPr>
          <w:rtl/>
        </w:rPr>
        <w:t xml:space="preserve"> شريط تنفيذي يبرز التزام الشركة الشارم ببنود عدم الإفصاح وحماية السرية (</w:t>
      </w:r>
      <w:r>
        <w:rPr>
          <w:i/>
          <w:iCs/>
        </w:rPr>
        <w:t>NDA</w:t>
      </w:r>
      <w:r>
        <w:t>).</w:t>
      </w:r>
    </w:p>
    <w:p w14:paraId="7F049F76" w14:textId="77777777" w:rsidR="00AF5707" w:rsidRDefault="00000000">
      <w:pPr>
        <w:pStyle w:val="Heading3"/>
        <w:bidi/>
      </w:pPr>
      <w:bookmarkStart w:id="12" w:name="_2nud5ewwt8pl" w:colFirst="0" w:colLast="0"/>
      <w:bookmarkEnd w:id="12"/>
      <w:r>
        <w:rPr>
          <w:rtl/>
        </w:rPr>
        <w:t>القسم 7: الإنجازات والأرقام (</w:t>
      </w:r>
      <w:r>
        <w:t>Live Metrics</w:t>
      </w:r>
      <w:r>
        <w:rPr>
          <w:rtl/>
        </w:rPr>
        <w:t>)</w:t>
      </w:r>
    </w:p>
    <w:p w14:paraId="6F665D63" w14:textId="77777777" w:rsidR="00AF5707" w:rsidRDefault="00000000">
      <w:pPr>
        <w:bidi/>
      </w:pPr>
      <w:r>
        <w:rPr>
          <w:rtl/>
        </w:rPr>
        <w:t>عدادات رقمية متفاعلة تعمل عند الوصول إليها، تعرض أبرز أرقام النجاح:</w:t>
      </w:r>
    </w:p>
    <w:p w14:paraId="451991FB" w14:textId="77777777" w:rsidR="00AF5707" w:rsidRDefault="00AF5707">
      <w:pPr>
        <w:bidi/>
      </w:pPr>
    </w:p>
    <w:p w14:paraId="01021D22" w14:textId="77777777" w:rsidR="00AF5707" w:rsidRDefault="00000000">
      <w:pPr>
        <w:numPr>
          <w:ilvl w:val="0"/>
          <w:numId w:val="1"/>
        </w:numPr>
        <w:bidi/>
      </w:pPr>
      <w:r>
        <w:rPr>
          <w:b/>
          <w:bCs/>
        </w:rPr>
        <w:t>+400</w:t>
      </w:r>
      <w:r>
        <w:rPr>
          <w:rtl/>
        </w:rPr>
        <w:t xml:space="preserve"> مشروع منجز بنجاح.</w:t>
      </w:r>
    </w:p>
    <w:p w14:paraId="492457C0" w14:textId="77777777" w:rsidR="00AF5707" w:rsidRDefault="00000000">
      <w:pPr>
        <w:numPr>
          <w:ilvl w:val="0"/>
          <w:numId w:val="1"/>
        </w:numPr>
        <w:bidi/>
      </w:pPr>
      <w:r>
        <w:rPr>
          <w:b/>
          <w:bCs/>
        </w:rPr>
        <w:t>+100</w:t>
      </w:r>
      <w:r>
        <w:rPr>
          <w:rtl/>
        </w:rPr>
        <w:t xml:space="preserve"> مؤسسة ونظام يعمل بكفاءة.</w:t>
      </w:r>
    </w:p>
    <w:p w14:paraId="124735A6" w14:textId="77777777" w:rsidR="00AF5707" w:rsidRDefault="00000000">
      <w:pPr>
        <w:numPr>
          <w:ilvl w:val="0"/>
          <w:numId w:val="1"/>
        </w:numPr>
        <w:bidi/>
      </w:pPr>
      <w:r>
        <w:rPr>
          <w:b/>
          <w:bCs/>
        </w:rPr>
        <w:t>13</w:t>
      </w:r>
      <w:r>
        <w:rPr>
          <w:rtl/>
        </w:rPr>
        <w:t xml:space="preserve"> سنة من الخبرة المتراكمة.</w:t>
      </w:r>
    </w:p>
    <w:p w14:paraId="50E1D887" w14:textId="77777777" w:rsidR="00AF5707" w:rsidRDefault="00000000">
      <w:pPr>
        <w:numPr>
          <w:ilvl w:val="0"/>
          <w:numId w:val="1"/>
        </w:numPr>
        <w:bidi/>
      </w:pPr>
      <w:r>
        <w:rPr>
          <w:b/>
          <w:bCs/>
        </w:rPr>
        <w:t>10</w:t>
      </w:r>
      <w:r>
        <w:rPr>
          <w:rtl/>
        </w:rPr>
        <w:t xml:space="preserve"> مسارات تدريبية معتمدة.</w:t>
      </w:r>
    </w:p>
    <w:p w14:paraId="033C87DE" w14:textId="77777777" w:rsidR="00AF5707" w:rsidRDefault="00000000">
      <w:pPr>
        <w:pStyle w:val="Heading3"/>
        <w:bidi/>
      </w:pPr>
      <w:bookmarkStart w:id="13" w:name="_yayp08u0qokt" w:colFirst="0" w:colLast="0"/>
      <w:bookmarkEnd w:id="13"/>
      <w:r>
        <w:rPr>
          <w:rtl/>
        </w:rPr>
        <w:t>القسم 8: التواصل وخريطة التواجد (</w:t>
      </w:r>
      <w:r>
        <w:t>Interactive Connect Hub</w:t>
      </w:r>
      <w:r>
        <w:rPr>
          <w:rtl/>
        </w:rPr>
        <w:t>)</w:t>
      </w:r>
    </w:p>
    <w:p w14:paraId="4434F470" w14:textId="77777777" w:rsidR="00AF5707" w:rsidRDefault="00000000">
      <w:pPr>
        <w:numPr>
          <w:ilvl w:val="0"/>
          <w:numId w:val="1"/>
        </w:numPr>
        <w:bidi/>
      </w:pPr>
      <w:r>
        <w:rPr>
          <w:b/>
          <w:bCs/>
          <w:rtl/>
        </w:rPr>
        <w:t>نموذج الاتصال:</w:t>
      </w:r>
      <w:r>
        <w:rPr>
          <w:rtl/>
        </w:rPr>
        <w:t xml:space="preserve"> نموذج مصمم بنمط </w:t>
      </w:r>
      <w:proofErr w:type="spellStart"/>
      <w:r>
        <w:rPr>
          <w:i/>
          <w:iCs/>
        </w:rPr>
        <w:t>Neumorphism</w:t>
      </w:r>
      <w:proofErr w:type="spellEnd"/>
      <w:r>
        <w:rPr>
          <w:rtl/>
        </w:rPr>
        <w:t xml:space="preserve"> الداكن، مزود بنظام فحص فوري للمدخلات باستخدام مكتبة (</w:t>
      </w:r>
      <w:r>
        <w:rPr>
          <w:i/>
          <w:iCs/>
        </w:rPr>
        <w:t>Zod</w:t>
      </w:r>
      <w:r>
        <w:t>).</w:t>
      </w:r>
    </w:p>
    <w:p w14:paraId="3E924DA6" w14:textId="77777777" w:rsidR="00AF5707" w:rsidRDefault="00000000">
      <w:pPr>
        <w:numPr>
          <w:ilvl w:val="0"/>
          <w:numId w:val="1"/>
        </w:numPr>
        <w:bidi/>
      </w:pPr>
      <w:r>
        <w:rPr>
          <w:b/>
          <w:bCs/>
          <w:rtl/>
        </w:rPr>
        <w:t>معلومات العنوان:</w:t>
      </w:r>
      <w:r>
        <w:rPr>
          <w:rtl/>
        </w:rPr>
        <w:t xml:space="preserve"> بيانات التواصل المباشر مدمجة مع خريطة </w:t>
      </w:r>
      <w:r>
        <w:rPr>
          <w:i/>
          <w:iCs/>
        </w:rPr>
        <w:t>Google Maps</w:t>
      </w:r>
      <w:r>
        <w:rPr>
          <w:rtl/>
        </w:rPr>
        <w:t xml:space="preserve"> التفاعلية التي تحدد موقع الشركة: </w:t>
      </w:r>
      <w:r>
        <w:rPr>
          <w:b/>
          <w:bCs/>
          <w:rtl/>
        </w:rPr>
        <w:t>فلسطين - الخليل - دورا</w:t>
      </w:r>
      <w:r>
        <w:t>.</w:t>
      </w:r>
    </w:p>
    <w:p w14:paraId="0DB9A56F" w14:textId="77777777" w:rsidR="00AF5707" w:rsidRDefault="00000000">
      <w:pPr>
        <w:pStyle w:val="Heading3"/>
        <w:bidi/>
      </w:pPr>
      <w:bookmarkStart w:id="14" w:name="_qfcjius501a5" w:colFirst="0" w:colLast="0"/>
      <w:bookmarkEnd w:id="14"/>
      <w:r>
        <w:rPr>
          <w:rtl/>
        </w:rPr>
        <w:t>القسم 9: التذييل الختامي (</w:t>
      </w:r>
      <w:r>
        <w:t>Footer - Thank You</w:t>
      </w:r>
      <w:r>
        <w:rPr>
          <w:rtl/>
        </w:rPr>
        <w:t>)</w:t>
      </w:r>
    </w:p>
    <w:p w14:paraId="260C5BC8" w14:textId="77777777" w:rsidR="00AF5707" w:rsidRDefault="00000000">
      <w:pPr>
        <w:bidi/>
      </w:pPr>
      <w:r>
        <w:rPr>
          <w:rtl/>
        </w:rPr>
        <w:t>يتضمن نصوص هولوجرامية عملاقة باسم الشركة، الشعار الرسمي، روابط الوصول السريع، وشروط حقوق الملكية الفكرية الكاملة.</w:t>
      </w:r>
    </w:p>
    <w:p w14:paraId="4329D3EF" w14:textId="77777777" w:rsidR="00AF5707" w:rsidRDefault="00AF5707">
      <w:pPr>
        <w:bidi/>
      </w:pPr>
    </w:p>
    <w:p w14:paraId="36B44E38" w14:textId="77777777" w:rsidR="00AF5707" w:rsidRDefault="00000000">
      <w:pPr>
        <w:bidi/>
      </w:pPr>
      <w:r>
        <w:pict w14:anchorId="7C63ADC7">
          <v:rect id="_x0000_i1027" style="width:0;height:1.5pt" o:hralign="center" o:hrstd="t" o:hr="t" fillcolor="#a0a0a0" stroked="f"/>
        </w:pict>
      </w:r>
    </w:p>
    <w:p w14:paraId="3E297E61" w14:textId="77777777" w:rsidR="00AF5707" w:rsidRDefault="00000000">
      <w:pPr>
        <w:pStyle w:val="Heading2"/>
        <w:bidi/>
      </w:pPr>
      <w:bookmarkStart w:id="15" w:name="_dxd43f2uaswm" w:colFirst="0" w:colLast="0"/>
      <w:bookmarkEnd w:id="15"/>
      <w:r>
        <w:rPr>
          <w:rtl/>
        </w:rPr>
        <w:lastRenderedPageBreak/>
        <w:t>3. المعالجة التقنية والتحسينات البرمجية الموصى بها</w:t>
      </w:r>
    </w:p>
    <w:p w14:paraId="58E22661" w14:textId="77777777" w:rsidR="00AF5707" w:rsidRDefault="00000000">
      <w:pPr>
        <w:numPr>
          <w:ilvl w:val="0"/>
          <w:numId w:val="6"/>
        </w:numPr>
        <w:bidi/>
      </w:pPr>
      <w:r>
        <w:rPr>
          <w:b/>
          <w:bCs/>
          <w:rtl/>
        </w:rPr>
        <w:t>إدارة أداء الرسم (</w:t>
      </w:r>
      <w:r>
        <w:rPr>
          <w:b/>
          <w:bCs/>
        </w:rPr>
        <w:t>WebGL Optimization):</w:t>
      </w:r>
      <w:r>
        <w:rPr>
          <w:rtl/>
        </w:rPr>
        <w:t xml:space="preserve"> تقييد مشاهد </w:t>
      </w:r>
      <w:r>
        <w:t>Three.js</w:t>
      </w:r>
      <w:r>
        <w:rPr>
          <w:rtl/>
        </w:rPr>
        <w:t xml:space="preserve"> في 3 لوحات كائنية (</w:t>
      </w:r>
      <w:r>
        <w:rPr>
          <w:i/>
          <w:iCs/>
        </w:rPr>
        <w:t>WebGL Canvases</w:t>
      </w:r>
      <w:r>
        <w:rPr>
          <w:rtl/>
        </w:rPr>
        <w:t>) أساسية فقط لضمان استقرار معدل الإطارات، مع تفعيل التحميل الديناميكي غير المتزامن (</w:t>
      </w:r>
      <w:r>
        <w:rPr>
          <w:i/>
          <w:iCs/>
        </w:rPr>
        <w:t>Dynamic Imports</w:t>
      </w:r>
      <w:r>
        <w:rPr>
          <w:rtl/>
        </w:rPr>
        <w:t>) للمجسمات ثقيلة الحجم.</w:t>
      </w:r>
    </w:p>
    <w:p w14:paraId="76E73A97" w14:textId="77777777" w:rsidR="00AF5707" w:rsidRDefault="00000000">
      <w:pPr>
        <w:numPr>
          <w:ilvl w:val="0"/>
          <w:numId w:val="6"/>
        </w:numPr>
        <w:bidi/>
      </w:pPr>
      <w:r>
        <w:rPr>
          <w:b/>
          <w:bCs/>
          <w:rtl/>
        </w:rPr>
        <w:t>مقروئية النصوص والتباين:</w:t>
      </w:r>
      <w:r>
        <w:rPr>
          <w:rtl/>
        </w:rPr>
        <w:t xml:space="preserve"> ضبط مستويات التوهج النيوني خلف النصوص لمنع تشتيت القارئ ولتحقيق معايير النفاذية القابلة للقراءة (</w:t>
      </w:r>
      <w:r>
        <w:rPr>
          <w:i/>
          <w:iCs/>
        </w:rPr>
        <w:t>WCAG AAA</w:t>
      </w:r>
      <w:r>
        <w:t>).</w:t>
      </w:r>
    </w:p>
    <w:p w14:paraId="1FBFAD84" w14:textId="77777777" w:rsidR="00AF5707" w:rsidRDefault="00000000">
      <w:pPr>
        <w:numPr>
          <w:ilvl w:val="0"/>
          <w:numId w:val="6"/>
        </w:numPr>
        <w:bidi/>
      </w:pPr>
      <w:r>
        <w:rPr>
          <w:b/>
          <w:bCs/>
          <w:rtl/>
        </w:rPr>
        <w:t>معالجة البيانات والربط:</w:t>
      </w:r>
      <w:r>
        <w:rPr>
          <w:rtl/>
        </w:rPr>
        <w:t xml:space="preserve"> ربط نموذج الاتصال بمسار </w:t>
      </w:r>
      <w:r>
        <w:rPr>
          <w:i/>
          <w:iCs/>
        </w:rPr>
        <w:t>API</w:t>
      </w:r>
      <w:r>
        <w:rPr>
          <w:rtl/>
        </w:rPr>
        <w:t xml:space="preserve"> مخصص يدعم المعالجة الخلفية الفورية والتنبيهات العاجلة مع فحص البيانات المدخلة قبل الإرسال.</w:t>
      </w:r>
    </w:p>
    <w:p w14:paraId="177061C5" w14:textId="77777777" w:rsidR="00AF5707" w:rsidRDefault="00AF5707">
      <w:pPr>
        <w:bidi/>
      </w:pPr>
    </w:p>
    <w:sectPr w:rsidR="00AF57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charset w:val="00"/>
    <w:family w:val="auto"/>
    <w:pitch w:val="default"/>
    <w:embedRegular r:id="rId1" w:fontKey="{8086C7AB-F9FE-4A13-9B8C-900CD41FB111}"/>
    <w:embedBold r:id="rId2" w:fontKey="{6AC51CCF-429C-4A5F-A1D9-D26AF3B19719}"/>
    <w:embedItalic r:id="rId3" w:fontKey="{2B5527A4-C59A-4CE8-809B-F26C6822BF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DB1D0FDC-4A20-4140-A2B1-E0817652E29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49D73AC-FE3C-4ACF-B5E4-F013043982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BFDDEC0-9098-44B0-B6A2-B24E22D3E6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093"/>
    <w:multiLevelType w:val="multilevel"/>
    <w:tmpl w:val="27EA9B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D77008"/>
    <w:multiLevelType w:val="multilevel"/>
    <w:tmpl w:val="6270B7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D56A70"/>
    <w:multiLevelType w:val="multilevel"/>
    <w:tmpl w:val="1EBA1FB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CE33783"/>
    <w:multiLevelType w:val="multilevel"/>
    <w:tmpl w:val="57BA0C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36D0CA2"/>
    <w:multiLevelType w:val="multilevel"/>
    <w:tmpl w:val="838E7B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C6A6009"/>
    <w:multiLevelType w:val="multilevel"/>
    <w:tmpl w:val="1366B5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98830706">
    <w:abstractNumId w:val="3"/>
  </w:num>
  <w:num w:numId="2" w16cid:durableId="177089792">
    <w:abstractNumId w:val="4"/>
  </w:num>
  <w:num w:numId="3" w16cid:durableId="832373026">
    <w:abstractNumId w:val="2"/>
  </w:num>
  <w:num w:numId="4" w16cid:durableId="820005348">
    <w:abstractNumId w:val="0"/>
  </w:num>
  <w:num w:numId="5" w16cid:durableId="1432047312">
    <w:abstractNumId w:val="1"/>
  </w:num>
  <w:num w:numId="6" w16cid:durableId="1461341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707"/>
    <w:rsid w:val="003F7E07"/>
    <w:rsid w:val="0055169B"/>
    <w:rsid w:val="00AF5707"/>
    <w:rsid w:val="00B8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4245C"/>
  <w15:docId w15:val="{27E1452C-A788-439E-98F4-9FB51B41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iro" w:eastAsia="Cairo" w:hAnsi="Cairo" w:cs="Cairo"/>
        <w:color w:val="334155"/>
        <w:sz w:val="22"/>
        <w:szCs w:val="22"/>
        <w:lang w:val="en" w:eastAsia="en-US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3B07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0F172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1E1035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5B21B6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120" w:type="dxa"/>
        <w:left w:w="200" w:type="dxa"/>
        <w:bottom w:w="12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Cairo" w:eastAsia="Cairo" w:hAnsi="Cairo" w:cs="Cairo"/>
        <w:b/>
        <w:bCs/>
        <w:i w:val="0"/>
        <w:iCs w:val="0"/>
        <w:color w:val="5B21B6"/>
        <w:sz w:val="20"/>
        <w:szCs w:val="20"/>
      </w:rPr>
      <w:tblPr/>
      <w:tcPr>
        <w:shd w:val="clear" w:color="auto" w:fill="FAF5FF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albostnje3@gmail.com</cp:lastModifiedBy>
  <cp:revision>2</cp:revision>
  <dcterms:created xsi:type="dcterms:W3CDTF">2026-10-14T21:25:00Z</dcterms:created>
  <dcterms:modified xsi:type="dcterms:W3CDTF">2026-10-14T21:25:00Z</dcterms:modified>
</cp:coreProperties>
</file>