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We evaluate in simulation a twelve-step defense for a registration flow, which draws trust from app attestation, signed sessions and verification outcomes, against a seven-control baseline, five simpler designs and 25 attacker profiles, and compare the two label-free destination policies, a counter of sends per number block and sequential tests of code outcomes, under two protocols we committed before their runs. Our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We make that comparison in simulation, inside a complete defense for a registration flow. We start from a baseline of seven controls, v1, and show how an attacker within a stated threat model breaks each of eight assumptions behind them. Our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(Figure 4 and Algorithm 2); on the destination it offers two label-free policies keyed on the 8-digit number block, a short-window counter of sends and sequential tests of code outcomes. We run seven designs and 25 scripted attacker profiles, from a single address to pumpers that enter codes, fake delivery receipts or buy challenge solutions, over simulated users on a simulated clock (Figure 5). We committed two protocols before their runs: the first selects destination settings on tuning seeds at a benign service target, and the second, written after that selection, freezes the selected counter and tests five claims on seeds and workloads held out from selection. We release the implementation, the protocols and every run’s configuration and outcome (Ahmed, 2026). Everything is simulated: three behavioral parameters have published counterparts and the rest are our assumptions, so the results describe our generator rather than real traffic.</w:t>
      </w:r>
    </w:p>
    <w:p>
      <w:pPr>
        <w:pStyle w:val="BodyText"/>
      </w:pPr>
      <w:r>
        <w:t xml:space="preserve">We ask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We make four contributions.</w:t>
      </w:r>
    </w:p>
    <w:p>
      <w:pPr>
        <w:numPr>
          <w:ilvl w:val="0"/>
          <w:numId w:val="1001"/>
        </w:numPr>
      </w:pPr>
      <w:r>
        <w:rPr>
          <w:bCs/>
          <w:b/>
        </w:rPr>
        <w:t xml:space="preserve">A design, as pseudocode and as code.</w:t>
      </w:r>
      <w:r>
        <w:t xml:space="preserve"> </w:t>
      </w:r>
      <w:r>
        <w:t xml:space="preserve">We show how an attacker breaks eight assumptions behind a seven-control baseline (Section 3.1), close the gaps with a twelve-step pipeline whose trust comes from attestation, signed sessions and the fate of earlier codes (Figure 4, Algorithm 2), and release the implementation with a regression test for every replay and concurrency defect we found on the way.</w:t>
      </w:r>
    </w:p>
    <w:p>
      <w:pPr>
        <w:numPr>
          <w:ilvl w:val="0"/>
          <w:numId w:val="1001"/>
        </w:numPr>
      </w:pPr>
      <w:r>
        <w:rPr>
          <w:bCs/>
          <w:b/>
        </w:rPr>
        <w:t xml:space="preserve">The limits of source-side reputation.</w:t>
      </w:r>
      <w:r>
        <w:t xml:space="preserve"> </w:t>
      </w:r>
      <w:r>
        <w:t xml:space="preserve">We measure where reputation built from code outcomes stops separating a residential attacker from the users whose keys it shares, and what rationing then costs: the default cap holds a CAPTCHA farm to 46% of its requests by refusing 54% of first-time users (Sections 5.3–5.4).</w:t>
      </w:r>
    </w:p>
    <w:p>
      <w:pPr>
        <w:numPr>
          <w:ilvl w:val="0"/>
          <w:numId w:val="1001"/>
        </w:numPr>
      </w:pPr>
      <w:r>
        <w:rPr>
          <w:bCs/>
          <w:b/>
        </w:rPr>
        <w:t xml:space="preserve">Counting against testing, under predeclared protocols.</w:t>
      </w:r>
      <w:r>
        <w:t xml:space="preserve"> </w:t>
      </w:r>
      <w:r>
        <w:t xml:space="preserve">We compare a short-window counter of sends per number block with sequential tests of code outcomes, selected at a stated service target, then frozen and tested on held-out seeds and workloads, and charge each policy with its leakage, its attack-free cost and its harm to the users who share a block with the attacker (Sections 5.5–5.7).</w:t>
      </w:r>
    </w:p>
    <w:p>
      <w:pPr>
        <w:numPr>
          <w:ilvl w:val="0"/>
          <w:numId w:val="1001"/>
        </w:numPr>
      </w:pPr>
      <w:r>
        <w:rPr>
          <w:bCs/>
          <w:b/>
        </w:rPr>
        <w:t xml:space="preserve">Unfitted leakage estimates.</w:t>
      </w:r>
      <w:r>
        <w:t xml:space="preserve"> </w:t>
      </w:r>
      <w:r>
        <w:t xml:space="preserve">From the rules and the attack rate alone we derive when counting leaks less than testing, and check the estimates against measurements over attacks of up to an hour: they ordered the policies’ mean leakage in 18 of 18 decisive cells with the cold-start bound and 17 with the warm-start bound (Section 3.7, Figures 9 and 10).</w:t>
      </w:r>
    </w:p>
    <w:p>
      <w:pPr>
        <w:pStyle w:val="FirstParagraph"/>
      </w:pPr>
      <w:r>
        <w:t xml:space="preserve">Section 2 reviews related work; Section 3 gives the baseline, the threat model and our design with its leakage estimates; Section 4 our methodology; Section 5 reports the results; Section 6 discusses them, sets the design against the benchmark designs and the nearest work,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which Figure 1 draws.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the proxies, are the measurements of what an attacker can buy: residential proxy addresses (Mi et al., 2019), shared addresses behind carrier-grade NAT (Richter et al., 2016), CAPTCHA solutions (Motoyama et al., 2010; Dionysiou and Athanasopoulos, 2020) and as many identities as it likes (Douceur, 2002). At the service are the controls an endpoint can run itself: per-entity limits, CAPTCHA, proxy and country lists (our v1 baseline, Section 3.1), risk-based scoring of logins (Wiefling et al., 2019) and supervised per-request detection on labeled logs (Huh et al., 2025); our twelve source-side steps and two destination policies act here too (Sections 3.3–3.5). At the vendor are prefix and country blocking from an account’s history and a per-number pumping risk score (Twilio Inc., 2026c; Twilio Inc., 2026a), and counts of sends per prefix in five-minute windows with a 24-hour quarantine (Zaliskyi and Odarchenko, 2026). At the operator and the number provider, where the money is made, are the revenue-share number ranges that providers advertise and share, and detection from call records and test-number intelligence (Sahin et al., 2017; Sahin and Francillon, 2021). We close with the gap we address (Table 1).</w:t>
      </w:r>
    </w:p>
    <w:p>
      <w:pPr>
        <w:pStyle w:val="CaptionedFigure"/>
      </w:pPr>
      <w:r>
        <w:drawing>
          <wp:inline>
            <wp:extent cx="5334000" cy="2621345"/>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The path of an OTP request, and where the money goes.</w:t>
      </w:r>
    </w:p>
    <w:bookmarkStart w:id="24"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detecting-inflated-sms-traffic"/>
    <w:p>
      <w:pPr>
        <w:pStyle w:val="Heading2"/>
      </w:pPr>
      <w:r>
        <w:rPr>
          <w:rStyle w:val="SectionNumber"/>
        </w:rPr>
        <w:t xml:space="preserve">2.2</w:t>
      </w:r>
      <w:r>
        <w:tab/>
      </w:r>
      <w:r>
        <w:t xml:space="preserve">Detecting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we modeled the attackers that enter codes, fake receipts and build trust (Table 2) on the counter-move above.</w:t>
      </w:r>
    </w:p>
    <w:bookmarkEnd w:id="25"/>
    <w:bookmarkStart w:id="26" w:name="what-an-attacker-can-buy"/>
    <w:p>
      <w:pPr>
        <w:pStyle w:val="Heading2"/>
      </w:pPr>
      <w:r>
        <w:rPr>
          <w:rStyle w:val="SectionNumber"/>
        </w:rPr>
        <w:t xml:space="preserve">2.3</w:t>
      </w:r>
      <w:r>
        <w:tab/>
      </w:r>
      <w:r>
        <w:t xml:space="preserve">What an attacker can buy</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
    <w:p>
      <w:pPr>
        <w:pStyle w:val="Heading2"/>
      </w:pPr>
      <w:r>
        <w:rPr>
          <w:rStyle w:val="SectionNumber"/>
        </w:rPr>
        <w:t xml:space="preserve">2.4</w:t>
      </w:r>
      <w:r>
        <w:tab/>
      </w:r>
      <w:r>
        <w:t xml:space="preserve">Sequential tests</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27"/>
    <w:bookmarkStart w:id="28" w:name="attacks-on-the-delivered-code"/>
    <w:p>
      <w:pPr>
        <w:pStyle w:val="Heading2"/>
      </w:pPr>
      <w:r>
        <w:rPr>
          <w:rStyle w:val="SectionNumber"/>
        </w:rPr>
        <w:t xml:space="preserve">2.5</w:t>
      </w:r>
      <w:r>
        <w:tab/>
      </w:r>
      <w:r>
        <w:t xml:space="preserve">Attacks on the delivered code</w:t>
      </w:r>
    </w:p>
    <w:p>
      <w:pPr>
        <w:pStyle w:val="FirstParagraph"/>
      </w:pPr>
      <w:r>
        <w:t xml:space="preserve">Malware on the handset or a social-engineering call can take a code after it is delivered (Mulliner et al., 2013; Siadati et al., 2017). Those attacks begin where our work stops: we ask whether a message should be sent at all, and leave the protection of a delivered code aside.</w:t>
      </w:r>
    </w:p>
    <w:bookmarkEnd w:id="28"/>
    <w:bookmarkStart w:id="29" w:name="the-gap"/>
    <w:p>
      <w:pPr>
        <w:pStyle w:val="Heading2"/>
      </w:pPr>
      <w:r>
        <w:rPr>
          <w:rStyle w:val="SectionNumber"/>
        </w:rPr>
        <w:t xml:space="preserve">2.6</w:t>
      </w:r>
      <w:r>
        <w:tab/>
      </w:r>
      <w:r>
        <w:t xml:space="preserve">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br/>
        <w:t xml:space="preserve">The closest work, set beside ours.</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The closest work, set beside ours."/>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55"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4" w:name="the-baseline-and-its-gaps"/>
    <w:p>
      <w:pPr>
        <w:pStyle w:val="Heading2"/>
      </w:pPr>
      <w:r>
        <w:rPr>
          <w:rStyle w:val="SectionNumber"/>
        </w:rPr>
        <w:t xml:space="preserve">3.1</w:t>
      </w:r>
      <w:r>
        <w:tab/>
      </w:r>
      <w:r>
        <w:t xml:space="preserve">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We derived the eight gaps below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each comment names the gap the rule above it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5.8 we report instead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2.5) and compromise of the service, its vendors or the attestation providers are outside the model. Table 2 lists the 25 profiles that instantiate these capabilities; pool size, rate and CAPTCHA class are drawn per seed.</w:t>
      </w:r>
    </w:p>
    <w:bookmarkEnd w:id="38"/>
    <w:bookmarkStart w:id="48" w:name="the-pipeline"/>
    <w:p>
      <w:pPr>
        <w:pStyle w:val="Heading2"/>
      </w:pPr>
      <w:r>
        <w:rPr>
          <w:rStyle w:val="SectionNumber"/>
        </w:rPr>
        <w:t xml:space="preserve">3.3</w:t>
      </w:r>
      <w:r>
        <w:tab/>
      </w:r>
      <w:r>
        <w:t xml:space="preserve">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4 runs the pipeline, the feedback loop, the worker’s two jobs and the in-memory store as drawn, without the HTTP layer, replaces the external services with their fakes, and in the main study hands the baseline job the modeled legitimate rate instead of letting it learn it (Section 5.4 runs the learning job).</w:t>
      </w:r>
    </w:p>
    <w:p>
      <w:pPr>
        <w:pStyle w:val="CaptionedFigure"/>
      </w:pPr>
      <w:r>
        <w:drawing>
          <wp:inline>
            <wp:extent cx="5334000" cy="2601430"/>
            <wp:effectExtent b="0" l="0" r="0" t="0"/>
            <wp:docPr descr="" title="" id="40" name="Picture"/>
            <a:graphic>
              <a:graphicData uri="http://schemas.openxmlformats.org/drawingml/2006/picture">
                <pic:pic>
                  <pic:nvPicPr>
                    <pic:cNvPr descr="figures/fig12_architecture.png" id="41" name="Picture"/>
                    <pic:cNvPicPr>
                      <a:picLocks noChangeArrowheads="1" noChangeAspect="1"/>
                    </pic:cNvPicPr>
                  </pic:nvPicPr>
                  <pic:blipFill>
                    <a:blip r:embed="rId39"/>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5.8).</w:t>
      </w:r>
    </w:p>
    <w:p>
      <w:pPr>
        <w:pStyle w:val="BodyText"/>
      </w:pPr>
      <w:r>
        <w:t xml:space="preserve">A request passes the twelve steps of Figure 4 in order until one refuses it. The figure numbers its stages in reading order: its stages 1 to 4 are Steps 0 to 4 of the text and of Algorithm 2, with Steps 3 and 4 drawn as one stage, the web checks; from stage 5 on the two numberings coincide; and stage 12 is the feedback loop. The letters below are the gaps of Section 3.1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with the feedback loop of Section 3.4 and the block statistics of Section 3.5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3" name="Picture"/>
            <a:graphic>
              <a:graphicData uri="http://schemas.openxmlformats.org/drawingml/2006/picture">
                <pic:pic>
                  <pic:nvPicPr>
                    <pic:cNvPr descr="figures/fig10_steps.png" id="44" name="Picture"/>
                    <pic:cNvPicPr>
                      <a:picLocks noChangeArrowheads="1" noChangeAspect="1"/>
                    </pic:cNvPicPr>
                  </pic:nvPicPr>
                  <pic:blipFill>
                    <a:blip r:embed="rId42"/>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twelve steps, and the loop that feeds the next request.</w:t>
      </w:r>
    </w:p>
    <w:p>
      <w:pPr>
        <w:pStyle w:val="CaptionedFigure"/>
      </w:pPr>
      <w:r>
        <w:drawing>
          <wp:inline>
            <wp:extent cx="5334000" cy="4671266"/>
            <wp:effectExtent b="0" l="0" r="0" t="0"/>
            <wp:docPr descr="" title="" id="46" name="Picture"/>
            <a:graphic>
              <a:graphicData uri="http://schemas.openxmlformats.org/drawingml/2006/picture">
                <pic:pic>
                  <pic:nvPicPr>
                    <pic:cNvPr descr="figures/alg2_v2.png" id="47" name="Picture"/>
                    <pic:cNvPicPr>
                      <a:picLocks noChangeArrowheads="1" noChangeAspect="1"/>
                    </pic:cNvPicPr>
                  </pic:nvPicPr>
                  <pic:blipFill>
                    <a:blip r:embed="rId45"/>
                    <a:stretch>
                      <a:fillRect/>
                    </a:stretch>
                  </pic:blipFill>
                  <pic:spPr bwMode="auto">
                    <a:xfrm>
                      <a:off x="0" y="0"/>
                      <a:ext cx="5334000" cy="4671266"/>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8"/>
    <w:bookmarkStart w:id="49"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9"/>
    <w:bookmarkStart w:id="52"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0" w:name="sequential-tests-1"/>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0"/>
    <w:bookmarkStart w:id="51"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(Heinanen and Guerin, 1999)) and the counter combined with the tests.</w:t>
      </w:r>
    </w:p>
    <w:bookmarkEnd w:id="51"/>
    <w:bookmarkEnd w:id="52"/>
    <w:bookmarkStart w:id="53"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3"/>
    <w:bookmarkStart w:id="54" w:name="leakage-estimates"/>
    <w:p>
      <w:pPr>
        <w:pStyle w:val="Heading2"/>
      </w:pPr>
      <w:r>
        <w:rPr>
          <w:rStyle w:val="SectionNumber"/>
        </w:rPr>
        <w:t xml:space="preserve">3.7</w:t>
      </w:r>
      <w:r>
        <w:tab/>
      </w:r>
      <w:r>
        <w:t xml:space="preserve">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4"/>
    <w:bookmarkEnd w:id="55"/>
    <w:bookmarkStart w:id="66" w:name="methodology"/>
    <w:p>
      <w:pPr>
        <w:pStyle w:val="Heading1"/>
      </w:pPr>
      <w:r>
        <w:rPr>
          <w:rStyle w:val="SectionNumber"/>
        </w:rPr>
        <w:t xml:space="preserve">4</w:t>
      </w:r>
      <w:r>
        <w:tab/>
      </w:r>
      <w:r>
        <w:t xml:space="preserve">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3.7) are checked against the measurements. The rest of this section gives the implementation, the simulator, the protocols and the metrics in that order.</w:t>
      </w:r>
    </w:p>
    <w:p>
      <w:pPr>
        <w:pStyle w:val="CaptionedFigure"/>
      </w:pPr>
      <w:r>
        <w:drawing>
          <wp:inline>
            <wp:extent cx="5334000" cy="2408776"/>
            <wp:effectExtent b="0" l="0" r="0" t="0"/>
            <wp:docPr descr="" title="" id="57" name="Picture"/>
            <a:graphic>
              <a:graphicData uri="http://schemas.openxmlformats.org/drawingml/2006/picture">
                <pic:pic>
                  <pic:nvPicPr>
                    <pic:cNvPr descr="figures/fig11_method.png" id="58" name="Picture"/>
                    <pic:cNvPicPr>
                      <a:picLocks noChangeArrowheads="1" noChangeAspect="1"/>
                    </pic:cNvPicPr>
                  </pic:nvPicPr>
                  <pic:blipFill>
                    <a:blip r:embed="rId56"/>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How we evaluated the design.</w:t>
      </w:r>
    </w:p>
    <w:bookmarkStart w:id="59" w:name="implementation"/>
    <w:p>
      <w:pPr>
        <w:pStyle w:val="Heading2"/>
      </w:pPr>
      <w:r>
        <w:rPr>
          <w:rStyle w:val="SectionNumber"/>
        </w:rPr>
        <w:t xml:space="preserve">4.1</w:t>
      </w:r>
      <w:r>
        <w:tab/>
      </w:r>
      <w:r>
        <w:t xml:space="preserve">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59"/>
    <w:bookmarkStart w:id="63" w:name="simulation"/>
    <w:p>
      <w:pPr>
        <w:pStyle w:val="Heading2"/>
      </w:pPr>
      <w:r>
        <w:rPr>
          <w:rStyle w:val="SectionNumber"/>
        </w:rPr>
        <w:t xml:space="preserve">4.2</w:t>
      </w:r>
      <w:r>
        <w:tab/>
      </w:r>
      <w:r>
        <w:t xml:space="preserve">Simulation</w:t>
      </w:r>
    </w:p>
    <w:p>
      <w:pPr>
        <w:pStyle w:val="FirstParagraph"/>
      </w:pPr>
      <w:r>
        <w:t xml:space="preserve">We run the pipeline against scripted vendor fakes on a simulated clock, as Algorithm 3 sets out: every exogenous quantity of a request is drawn before the pipeline sees it, from one random stream for legitimate traffic and another for the attacker, so every scenario at a seed, the attack-free one included, offers the same users, and our comparisons between scenarios are paired.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5334000" cy="2289935"/>
            <wp:effectExtent b="0" l="0" r="0" t="0"/>
            <wp:docPr descr="" title="" id="61" name="Picture"/>
            <a:graphic>
              <a:graphicData uri="http://schemas.openxmlformats.org/drawingml/2006/picture">
                <pic:pic>
                  <pic:nvPicPr>
                    <pic:cNvPr descr="figures/alg3_sim.png" id="62" name="Picture"/>
                    <pic:cNvPicPr>
                      <a:picLocks noChangeArrowheads="1" noChangeAspect="1"/>
                    </pic:cNvPicPr>
                  </pic:nvPicPr>
                  <pic:blipFill>
                    <a:blip r:embed="rId60"/>
                    <a:stretch>
                      <a:fillRect/>
                    </a:stretch>
                  </pic:blipFill>
                  <pic:spPr bwMode="auto">
                    <a:xfrm>
                      <a:off x="0" y="0"/>
                      <a:ext cx="5334000" cy="2289935"/>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 as the harness executes it.</w:t>
      </w:r>
    </w:p>
    <w:p>
      <w:pPr>
        <w:pStyle w:val="BodyText"/>
      </w:pPr>
      <w:r>
        <w:t xml:space="preserve">Three behavioral parameters have published counterparts: genuine conversion (one provider’s 68% or more (Twilio Inc., 2026b); ours 60%–90%) and the never-converting destinations and identity churn of Section 2;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b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3"/>
    <w:bookmarkStart w:id="64" w:name="the-two-protocols"/>
    <w:p>
      <w:pPr>
        <w:pStyle w:val="Heading2"/>
      </w:pPr>
      <w:r>
        <w:rPr>
          <w:rStyle w:val="SectionNumber"/>
        </w:rPr>
        <w:t xml:space="preserve">4.3</w:t>
      </w:r>
      <w:r>
        <w:tab/>
      </w:r>
      <w:r>
        <w:t xml:space="preserve">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4"/>
    <w:bookmarkStart w:id="65" w:name="designs-and-metrics"/>
    <w:p>
      <w:pPr>
        <w:pStyle w:val="Heading2"/>
      </w:pPr>
      <w:r>
        <w:rPr>
          <w:rStyle w:val="SectionNumber"/>
        </w:rPr>
        <w:t xml:space="preserve">4.4</w:t>
      </w:r>
      <w:r>
        <w:tab/>
      </w:r>
      <w:r>
        <w:t xml:space="preserve">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5"/>
    <w:bookmarkEnd w:id="66"/>
    <w:bookmarkStart w:id="93" w:name="results"/>
    <w:p>
      <w:pPr>
        <w:pStyle w:val="Heading1"/>
      </w:pPr>
      <w:r>
        <w:rPr>
          <w:rStyle w:val="SectionNumber"/>
        </w:rPr>
        <w:t xml:space="preserve">5</w:t>
      </w:r>
      <w:r>
        <w:tab/>
      </w:r>
      <w:r>
        <w:t xml:space="preserve">Results</w:t>
      </w:r>
    </w:p>
    <w:bookmarkStart w:id="67" w:name="what-is-contained"/>
    <w:p>
      <w:pPr>
        <w:pStyle w:val="Heading2"/>
      </w:pPr>
      <w:r>
        <w:rPr>
          <w:rStyle w:val="SectionNumber"/>
        </w:rPr>
        <w:t xml:space="preserve">5.1</w:t>
      </w:r>
      <w:r>
        <w:tab/>
      </w:r>
      <w:r>
        <w:t xml:space="preserve">What is contained</w:t>
      </w:r>
    </w:p>
    <w:p>
      <w:pPr>
        <w:pStyle w:val="TableCaption"/>
      </w:pPr>
      <w:r>
        <w:rPr>
          <w:bCs/>
          <w:b/>
        </w:rPr>
        <w:t xml:space="preserve">Table 3</w:t>
      </w:r>
      <w:r>
        <w:t xml:space="preserve"> </w:t>
      </w:r>
      <w:r>
        <w:b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7"/>
    <w:bookmarkStart w:id="68" w:name="what-each-layer-does"/>
    <w:p>
      <w:pPr>
        <w:pStyle w:val="Heading2"/>
      </w:pPr>
      <w:r>
        <w:rPr>
          <w:rStyle w:val="SectionNumber"/>
        </w:rPr>
        <w:t xml:space="preserve">5.2</w:t>
      </w:r>
      <w:r>
        <w:tab/>
      </w:r>
      <w:r>
        <w:t xml:space="preserve">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8"/>
    <w:bookmarkStart w:id="69"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69"/>
    <w:bookmarkStart w:id="70" w:name="what-rationing-costs"/>
    <w:p>
      <w:pPr>
        <w:pStyle w:val="Heading2"/>
      </w:pPr>
      <w:r>
        <w:rPr>
          <w:rStyle w:val="SectionNumber"/>
        </w:rPr>
        <w:t xml:space="preserve">5.4</w:t>
      </w:r>
      <w:r>
        <w:tab/>
      </w:r>
      <w:r>
        <w:t xml:space="preserve">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0"/>
    <w:bookmarkStart w:id="71" w:name="pumping-against-the-tests"/>
    <w:p>
      <w:pPr>
        <w:pStyle w:val="Heading2"/>
      </w:pPr>
      <w:r>
        <w:rPr>
          <w:rStyle w:val="SectionNumber"/>
        </w:rPr>
        <w:t xml:space="preserve">5.5</w:t>
      </w:r>
      <w:r>
        <w:tab/>
      </w:r>
      <w:r>
        <w:t xml:space="preserve">Pumping against the tests</w:t>
      </w:r>
    </w:p>
    <w:p>
      <w:pPr>
        <w:pStyle w:val="TableCaption"/>
      </w:pPr>
      <w:r>
        <w:rPr>
          <w:bCs/>
          <w:b/>
        </w:rPr>
        <w:t xml:space="preserve">Table 4</w:t>
      </w:r>
      <w:r>
        <w:t xml:space="preserve"> </w:t>
      </w:r>
      <w:r>
        <w:br/>
        <w:t xml:space="preserve">Concentrated pumping: how much leaks before the tests contain it.</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centrated pumping: how much leaks before the tests contain it."/>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1"/>
    <w:bookmarkStart w:id="90" w:name="counting-against-testing"/>
    <w:p>
      <w:pPr>
        <w:pStyle w:val="Heading2"/>
      </w:pPr>
      <w:r>
        <w:rPr>
          <w:rStyle w:val="SectionNumber"/>
        </w:rPr>
        <w:t xml:space="preserve">5.6</w:t>
      </w:r>
      <w:r>
        <w:tab/>
      </w:r>
      <w:r>
        <w:t xml:space="preserve">Counting against testing</w:t>
      </w:r>
    </w:p>
    <w:p>
      <w:pPr>
        <w:pStyle w:val="CaptionedFigure"/>
      </w:pPr>
      <w:r>
        <w:drawing>
          <wp:inline>
            <wp:extent cx="5334000" cy="3411279"/>
            <wp:effectExtent b="0" l="0" r="0" t="0"/>
            <wp:docPr descr="" title="" id="73" name="Picture"/>
            <a:graphic>
              <a:graphicData uri="http://schemas.openxmlformats.org/drawingml/2006/picture">
                <pic:pic>
                  <pic:nvPicPr>
                    <pic:cNvPr descr="figures/fig6_matched_a.png" id="74" name="Picture"/>
                    <pic:cNvPicPr>
                      <a:picLocks noChangeArrowheads="1" noChangeAspect="1"/>
                    </pic:cNvPicPr>
                  </pic:nvPicPr>
                  <pic:blipFill>
                    <a:blip r:embed="rId72"/>
                    <a:stretch>
                      <a:fillRect/>
                    </a:stretch>
                  </pic:blipFill>
                  <pic:spPr bwMode="auto">
                    <a:xfrm>
                      <a:off x="0" y="0"/>
                      <a:ext cx="5334000" cy="34112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Each setting’s leakage against the completion it costs.</w:t>
      </w:r>
    </w:p>
    <w:p>
      <w:pPr>
        <w:pStyle w:val="CaptionedFigure"/>
      </w:pPr>
      <w:r>
        <w:drawing>
          <wp:inline>
            <wp:extent cx="5334000" cy="3793066"/>
            <wp:effectExtent b="0" l="0" r="0" t="0"/>
            <wp:docPr descr="" title="" id="76" name="Picture"/>
            <a:graphic>
              <a:graphicData uri="http://schemas.openxmlformats.org/drawingml/2006/picture">
                <pic:pic>
                  <pic:nvPicPr>
                    <pic:cNvPr descr="figures/fig6_matched_b.png" id="77" name="Picture"/>
                    <pic:cNvPicPr>
                      <a:picLocks noChangeArrowheads="1" noChangeAspect="1"/>
                    </pic:cNvPicPr>
                  </pic:nvPicPr>
                  <pic:blipFill>
                    <a:blip r:embed="rId75"/>
                    <a:stretch>
                      <a:fillRect/>
                    </a:stretch>
                  </pic:blipFill>
                  <pic:spPr bwMode="auto">
                    <a:xfrm>
                      <a:off x="0" y="0"/>
                      <a:ext cx="5334000" cy="379306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Each selected setting against the default tests, carrier by carrier.</w:t>
      </w:r>
    </w:p>
    <w:p>
      <w:pPr>
        <w:pStyle w:val="TableCaption"/>
      </w:pPr>
      <w:r>
        <w:rPr>
          <w:bCs/>
          <w:b/>
        </w:rPr>
        <w:t xml:space="preserve">Table 5</w:t>
      </w:r>
      <w:r>
        <w:t xml:space="preserve"> </w:t>
      </w:r>
      <w:r>
        <w:br/>
        <w:t xml:space="preserve">Counting against testing at the service target.</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Counting against testing at the service target."/>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8" w:name="at-a-service-target"/>
    <w:p>
      <w:pPr>
        <w:pStyle w:val="Heading3"/>
      </w:pPr>
      <w:r>
        <w:rPr>
          <w:rStyle w:val="SectionNumber"/>
        </w:rPr>
        <w:t xml:space="preserve">5.6.1</w:t>
      </w:r>
      <w:r>
        <w:tab/>
      </w:r>
      <w:r>
        <w:t xml:space="preserve">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6 plots each setting’s completion against its leakage summed over the four pumpers’ runs of a seed (not one combined attack), with the tuning target dotted. The figures name each setting by its rule, threshold and credit, so</w:t>
      </w:r>
      <w:r>
        <w:t xml:space="preserve"> </w:t>
      </w:r>
      <w:r>
        <w:rPr>
          <w:iCs/>
          <w:i/>
        </w:rPr>
        <w:t xml:space="preserve">T</w:t>
      </w:r>
      <w:r>
        <w:t xml:space="preserve">300,</w:t>
      </w:r>
      <w:r>
        <w:t xml:space="preserve"> </w:t>
      </w:r>
      <w:r>
        <w:rPr>
          <w:iCs/>
          <w:i/>
        </w:rPr>
        <w:t xml:space="preserve">c</w:t>
      </w:r>
      <w:r>
        <w:t xml:space="preserve">0 of Table 5 is the test with threshold 300 and no credit; the three points beside the default, one under its star, are sequential settings matched to the default’s false alarms at other credits (key:</w:t>
      </w:r>
      <w:r>
        <w:t xml:space="preserve"> </w:t>
      </w:r>
      <w:r>
        <w:rPr>
          <w:rStyle w:val="VerbatimChar"/>
        </w:rPr>
        <w:t xml:space="preserve">results/ figure1_key.md</w:t>
      </w:r>
      <w:r>
        <w:t xml:space="preserve">). Figure 7 gives, carrier by carrier, each selected setting’s leakage minus the default’s, paired per seed (left of zero: leaks less than the default).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br/>
        <w:t xml:space="preserve">The frozen counter on seeds and workloads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The frozen counter on seeds and workloads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8"/>
    <w:bookmarkStart w:id="79" w:name="on-held-out-traffic"/>
    <w:p>
      <w:pPr>
        <w:pStyle w:val="Heading3"/>
      </w:pPr>
      <w:r>
        <w:rPr>
          <w:rStyle w:val="SectionNumber"/>
        </w:rPr>
        <w:t xml:space="preserve">5.6.2</w:t>
      </w:r>
      <w:r>
        <w:tab/>
      </w:r>
      <w:r>
        <w:t xml:space="preserve">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A poisoner on every block: what users lose.</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A poisoner on every block: what users lose."/>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9"/>
    <w:bookmarkStart w:id="89" w:name="the-counters-boundary"/>
    <w:p>
      <w:pPr>
        <w:pStyle w:val="Heading3"/>
      </w:pPr>
      <w:r>
        <w:rPr>
          <w:rStyle w:val="SectionNumber"/>
        </w:rPr>
        <w:t xml:space="preserve">5.6.3</w:t>
      </w:r>
      <w:r>
        <w:tab/>
      </w:r>
      <w:r>
        <w:t xml:space="preserve">The counter’s boundary</w:t>
      </w:r>
    </w:p>
    <w:p>
      <w:pPr>
        <w:pStyle w:val="FirstParagraph"/>
      </w:pPr>
      <w:r>
        <w:t xml:space="preserve">Figures 8–10 show the counter’s operating boundary (E4, seeds 300–304). Figure 8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81" name="Picture"/>
            <a:graphic>
              <a:graphicData uri="http://schemas.openxmlformats.org/drawingml/2006/picture">
                <pic:pic>
                  <pic:nvPicPr>
                    <pic:cNvPr descr="figures/fig7a_service.png" id="82" name="Picture"/>
                    <pic:cNvPicPr>
                      <a:picLocks noChangeArrowheads="1" noChangeAspect="1"/>
                    </pic:cNvPicPr>
                  </pic:nvPicPr>
                  <pic:blipFill>
                    <a:blip r:embed="rId80"/>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What the counter costs the users of a busy block.</w:t>
      </w:r>
    </w:p>
    <w:p>
      <w:pPr>
        <w:pStyle w:val="BodyText"/>
      </w:pPr>
      <w:r>
        <w:t xml:space="preserve">Figures 9 and 10 plot leakage in 20 and 60 minutes against the blocks a pumper uses, at full rate or paced to the quota, with Equations (2)–(4) for the full-rate pumper as hollow markers; both axes are logarithmic. In twenty minutes (Figure 9) the counter leaked 25 and 81 messages on 3 and 10 blocks where the tests leaked 110 and 144, the two leaked about the same on 30 blocks (235 against 242), and from 100 blocks on both approached the no-policy line of about 700. Over 60 minutes (Figure 10)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84" name="Picture"/>
            <a:graphic>
              <a:graphicData uri="http://schemas.openxmlformats.org/drawingml/2006/picture">
                <pic:pic>
                  <pic:nvPicPr>
                    <pic:cNvPr descr="figures/fig7b_security20.png" id="85" name="Picture"/>
                    <pic:cNvPicPr>
                      <a:picLocks noChangeArrowheads="1" noChangeAspect="1"/>
                    </pic:cNvPicPr>
                  </pic:nvPicPr>
                  <pic:blipFill>
                    <a:blip r:embed="rId83"/>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Leakage against the blocks a pumper spreads over, in twenty minutes.</w:t>
      </w:r>
    </w:p>
    <w:p>
      <w:pPr>
        <w:pStyle w:val="CaptionedFigure"/>
      </w:pPr>
      <w:r>
        <w:drawing>
          <wp:inline>
            <wp:extent cx="5334000" cy="6035703"/>
            <wp:effectExtent b="0" l="0" r="0" t="0"/>
            <wp:docPr descr="" title="" id="87" name="Picture"/>
            <a:graphic>
              <a:graphicData uri="http://schemas.openxmlformats.org/drawingml/2006/picture">
                <pic:pic>
                  <pic:nvPicPr>
                    <pic:cNvPr descr="figures/fig7c_security60.png" id="88" name="Picture"/>
                    <pic:cNvPicPr>
                      <a:picLocks noChangeArrowheads="1" noChangeAspect="1"/>
                    </pic:cNvPicPr>
                  </pic:nvPicPr>
                  <pic:blipFill>
                    <a:blip r:embed="rId86"/>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The same, over an hour.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9"/>
    <w:bookmarkEnd w:id="90"/>
    <w:bookmarkStart w:id="91" w:name="the-cost-to-legitimate-users"/>
    <w:p>
      <w:pPr>
        <w:pStyle w:val="Heading2"/>
      </w:pPr>
      <w:r>
        <w:rPr>
          <w:rStyle w:val="SectionNumber"/>
        </w:rPr>
        <w:t xml:space="preserve">5.7</w:t>
      </w:r>
      <w:r>
        <w:tab/>
      </w:r>
      <w:r>
        <w:t xml:space="preserve">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91"/>
    <w:bookmarkStart w:id="92" w:name="adaptation-economics-and-overhead"/>
    <w:p>
      <w:pPr>
        <w:pStyle w:val="Heading2"/>
      </w:pPr>
      <w:r>
        <w:rPr>
          <w:rStyle w:val="SectionNumber"/>
        </w:rPr>
        <w:t xml:space="preserve">5.8</w:t>
      </w:r>
      <w:r>
        <w:tab/>
      </w:r>
      <w:r>
        <w:t xml:space="preserve">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92"/>
    <w:bookmarkEnd w:id="93"/>
    <w:bookmarkStart w:id="97" w:name="discussion-and-limitations"/>
    <w:p>
      <w:pPr>
        <w:pStyle w:val="Heading1"/>
      </w:pPr>
      <w:r>
        <w:rPr>
          <w:rStyle w:val="SectionNumber"/>
        </w:rPr>
        <w:t xml:space="preserve">6</w:t>
      </w:r>
      <w:r>
        <w:tab/>
      </w:r>
      <w:r>
        <w:t xml:space="preserve">Discussion and limitations</w:t>
      </w:r>
    </w:p>
    <w:bookmarkStart w:id="94"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94"/>
    <w:bookmarkStart w:id="95" w:name="against-the-benchmarks"/>
    <w:p>
      <w:pPr>
        <w:pStyle w:val="Heading2"/>
      </w:pPr>
      <w:r>
        <w:rPr>
          <w:rStyle w:val="SectionNumber"/>
        </w:rPr>
        <w:t xml:space="preserve">6.2</w:t>
      </w:r>
      <w:r>
        <w:tab/>
      </w:r>
      <w:r>
        <w:t xml:space="preserve">Against the benchmarks</w:t>
      </w:r>
    </w:p>
    <w:p>
      <w:pPr>
        <w:pStyle w:val="FirstParagraph"/>
      </w:pPr>
      <w:r>
        <w:t xml:space="preserve">Table 9 sets the seven designs of Section 4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5.4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br/>
        <w:t xml:space="preserve">Every design against every source-side attacker,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TBLBRK Every design against every source-side attacker,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(2025)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the farm behind a forged header is the farm) and most of the reused profile. Zaliskyi and Odarchenko (2026)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bookmarkEnd w:id="95"/>
    <w:bookmarkStart w:id="96" w:name="limitations"/>
    <w:p>
      <w:pPr>
        <w:pStyle w:val="Heading2"/>
      </w:pPr>
      <w:r>
        <w:rPr>
          <w:rStyle w:val="SectionNumber"/>
        </w:rPr>
        <w:t xml:space="preserve">6.3</w:t>
      </w:r>
      <w:r>
        <w:tab/>
      </w:r>
      <w:r>
        <w:t xml:space="preserve">Limitations</w:t>
      </w:r>
    </w:p>
    <w:p>
      <w:pPr>
        <w:pStyle w:val="FirstParagraph"/>
      </w:pPr>
      <w:r>
        <w:t xml:space="preserve">We simulated everything and assumed the calibration.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6"/>
    <w:bookmarkEnd w:id="97"/>
    <w:bookmarkStart w:id="98" w:name="conclusions-and-future-work"/>
    <w:p>
      <w:pPr>
        <w:pStyle w:val="Heading1"/>
      </w:pPr>
      <w:r>
        <w:rPr>
          <w:rStyle w:val="SectionNumber"/>
        </w:rPr>
        <w:t xml:space="preserve">7</w:t>
      </w:r>
      <w:r>
        <w:tab/>
      </w:r>
      <w:r>
        <w:t xml:space="preserve">Conclusions and future work</w:t>
      </w:r>
    </w:p>
    <w:p>
      <w:pPr>
        <w:pStyle w:val="FirstParagraph"/>
      </w:pPr>
      <w:r>
        <w:t xml:space="preserve">We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we ran our twelve-step redesign of a seven-control baseline against 25 scripted attacker profiles and six other designs, and compared the two destination policies under two protocols we committed before their runs, with the cost to legitimate users made part of the result.</w:t>
      </w:r>
    </w:p>
    <w:p>
      <w:pPr>
        <w:pStyle w:val="BodyText"/>
      </w:pPr>
      <w:r>
        <w:t xml:space="preserve">On the source side, our design contains the attacks that carry a signature in the request, a single address, a datacenter range or a premium prefix, at a low cost to simulated users, holds walked numbers and a reused profile to 11.5% and 22.5% of their requests, and the ablation attributes these gains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Against the six benchmark designs run on the same traffic (Section 6.2), the behavioral layers are what removed datacenter rotation and most of the reused profile, a per-block counter alone held the premium and walked-number attacks, and no design separated the residential farm. 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our work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98"/>
    <w:bookmarkStart w:id="99"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99"/>
    <w:bookmarkStart w:id="10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100"/>
    <w:bookmarkStart w:id="10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101"/>
    <w:bookmarkStart w:id="103"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102">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103"/>
    <w:bookmarkStart w:id="112"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102">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104">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5">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106">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7">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8">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109">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110">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111">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112"/>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5" Type="http://schemas.openxmlformats.org/officeDocument/2006/relationships/image" Target="media/rId45.png"/><Relationship Id="rId60" Type="http://schemas.openxmlformats.org/officeDocument/2006/relationships/image" Target="media/rId60.png"/><Relationship Id="rId42" Type="http://schemas.openxmlformats.org/officeDocument/2006/relationships/image" Target="media/rId42.png"/><Relationship Id="rId56" Type="http://schemas.openxmlformats.org/officeDocument/2006/relationships/image" Target="media/rId56.png"/><Relationship Id="rId39" Type="http://schemas.openxmlformats.org/officeDocument/2006/relationships/image" Target="media/rId39.png"/><Relationship Id="rId72" Type="http://schemas.openxmlformats.org/officeDocument/2006/relationships/image" Target="media/rId72.png"/><Relationship Id="rId75" Type="http://schemas.openxmlformats.org/officeDocument/2006/relationships/image" Target="media/rId75.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21" Type="http://schemas.openxmlformats.org/officeDocument/2006/relationships/image" Target="media/rId21.png"/><Relationship Id="rId35" Type="http://schemas.openxmlformats.org/officeDocument/2006/relationships/image" Target="media/rId35.png"/><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2026-10-26T18:38:54Z</dcterms:created>
  <dcterms:modified xsi:type="dcterms:W3CDTF">2026-10-26T18:38:54Z</dcterms:modified>
</cp:coreProperties>
</file>

<file path=docProps/custom.xml><?xml version="1.0" encoding="utf-8"?>
<Properties xmlns="http://schemas.openxmlformats.org/officeDocument/2006/custom-properties" xmlns:vt="http://schemas.openxmlformats.org/officeDocument/2006/docPropsVTypes"/>
</file>