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3 and the attacked-service table are reworked. The incident narrative is removed.</w:t>
      </w:r>
    </w:p>
    <w:p>
      <w:pPr>
        <w:spacing w:after="120"/>
      </w:pPr>
      <w:r>
        <w:rPr>
          <w:b/>
          <w:bCs/>
        </w:rPr>
        <w:t xml:space="preserve">Manuscript.</w:t>
      </w:r>
      <w:r>
        <w:t xml:space="preserve"> Revision 8 has 7,998 words from the title to the references inclusive (7,952 by a whitespace count) and 12 pages in the journal's two-column layout. Its scope, studies and claims are those of revision 7, and it has no highlights page.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3, Tables 8 and 9 and the Figure 1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6).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6.6 and the conclusion now tell this qualified story, and the paper presents the twelve-step architecture as context for the destination comparison (Sections 6.1–6.4).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6.6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6.6 and 9.</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5.2: results for returning users 'describe trusted identities only'). Section 6.1 gives the model rule behind each contained attack (the datacenter attacker 'scores in the challenge tier and declines challenges'; 'Step 5 refuses the premium range'). The limitations list the generator's favourable assumptions, and Section 7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5.2, 6.1, 7 and 8.</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5.3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5.3.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6.6: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6.6 ('against every attacker but the instant verifier (25, against 15 and 16)').</w:t>
      </w:r>
    </w:p>
    <w:p>
      <w:pPr>
        <w:spacing w:after="200"/>
      </w:pPr>
      <w:r>
        <w:rPr>
          <w:i/>
          <w:iCs/>
        </w:rPr>
        <w:t xml:space="preserve">Where:</w:t>
      </w:r>
      <w:r>
        <w:t xml:space="preserve"> Manuscript Sections 6.6 and 8.</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6.6 draws from the four-carrier table against the per-carrier values (results/round5_analyses.md). Two needed qualifying. Counter and tests together leak least in the sum, but against the instant verifier the tuned sequential setting leaks less (22 against 28); Section 6.6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8)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6.6 (the text introducing Table 8), Section 8;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4.2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4.2;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5.1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5.1.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6.8), 'break-even shares for scripted attackers under assumed prices, not bounds or criminal profit', and the heuristic limited to 'pumpers that solve no challenge and hold no exemption' (Section 7). No attack profile was added.</w:t>
      </w:r>
    </w:p>
    <w:p>
      <w:pPr>
        <w:spacing w:after="200"/>
      </w:pPr>
      <w:r>
        <w:rPr>
          <w:i/>
          <w:iCs/>
        </w:rPr>
        <w:t xml:space="preserve">Where:</w:t>
      </w:r>
      <w:r>
        <w:t xml:space="preserve"> Manuscript Sections 6.8 and 7.</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6.6 ('we ranked only the implemented policies'), and Section 8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6.6 and 8.</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is now 'Baseline and threat model'. It describes v1 by its seven controls and its bulk and test paths, and Table 1, without a Source column, 'lists eight assumptions behind these rules and how an attacker within the threat model breaks each; the gaps follow from the rules, not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Table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Figure 1 (results/figure1_key.md)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9 vs Section 6.6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6.5 vs Table 6 (now Table 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Table 7's 24 per outcome-reading carrier (now Table 6)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7.6).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8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make room for the related-work paragraph and the qualifications within the 8,000-word limit, revision 7's Table 3 (the study map) is now a supplementary map (results/study_map.md), cited in Section 5.3; supplementary Table S1 is unchanged. Revision 7's Tables 4 to 8 are therefore Tables 3 to 7, and revision 7's Table 9 is split into Tables 8 (pumper on shared blocks) and 9 (poisoner). Figure and equation numbers are unchanged. The sections now follow the journal's article structure: Introduction (1, with the contributions and an outline), Related work (2), Baseline and threat model (3), Design (4, which absorbs revision 7's Section 5, the leakage estimates, as Section 4.5), Methodology (5, revision 7's Section 6), Results (6, revision 7's Section 7), Discussion (7), Limitations (8) and Conclusions and future work (9);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3) was a fixed-position float; it is now a top float like its neighbours. In the compiled PDF, Tables 1 to 9 appear in order on pages 2, 3, 5, 5, 6, 6, 7, 8 and 9, and Figures 1 to 3 on pages 7, 8 and 10, which we checked page by page.</w:t>
      </w:r>
    </w:p>
    <w:p>
      <w:pPr>
        <w:pStyle w:val="ListParagraph"/>
        <w:numPr>
          <w:ilvl w:val="0"/>
          <w:numId w:val="2"/>
        </w:numPr>
        <w:spacing w:after="60"/>
      </w:pPr>
      <w:r>
        <w:rPr>
          <w:b/>
          <w:bCs/>
        </w:rPr>
        <w:t xml:space="preserve">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text that introduces the figure adds 'All horizontal axes and the vertical axes of (b, c) are logarithmic'. The warm-start curve is kept.</w:t>
      </w:r>
    </w:p>
    <w:p>
      <w:pPr>
        <w:pStyle w:val="ListParagraph"/>
        <w:numPr>
          <w:ilvl w:val="0"/>
          <w:numId w:val="2"/>
        </w:numPr>
        <w:spacing w:after="60"/>
      </w:pPr>
      <w:r>
        <w:rPr>
          <w:b/>
          <w:bCs/>
        </w:rPr>
        <w:t xml:space="preserve">Table 9 (now Tables 8 and 9).</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8 each interval sits under its mean; Table 9 has one interval column. The paragraph that introduces both tables says which entries carry intervals: in Table 8, leakage and the attacked blocks; in Table 9, all users' extra harm.</w:t>
      </w:r>
    </w:p>
    <w:p>
      <w:pPr>
        <w:pStyle w:val="ListParagraph"/>
        <w:numPr>
          <w:ilvl w:val="0"/>
          <w:numId w:val="2"/>
        </w:numPr>
        <w:spacing w:after="60"/>
      </w:pPr>
      <w:r>
        <w:rPr>
          <w:b/>
          <w:bCs/>
        </w:rPr>
        <w:t xml:space="preserve">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6 (Q6).</w:t>
      </w:r>
    </w:p>
    <w:p>
      <w:pPr>
        <w:pStyle w:val="ListParagraph"/>
        <w:numPr>
          <w:ilvl w:val="0"/>
          <w:numId w:val="2"/>
        </w:numPr>
        <w:spacing w:after="60"/>
      </w:pPr>
      <w:r>
        <w:rPr>
          <w:b/>
          <w:bCs/>
        </w:rPr>
        <w:t xml:space="preserve">The boundary narrative.</w:t>
      </w:r>
      <w:r>
        <w:t xml:space="preserve"> Tables 8 and 9 are now introduced and discussed before the boundary discussion, which has its own heading (Section 6.6.3). The boundary paragraph, including the 18/18 and 17/18 results, the near-tie qualification and the algebraic-crossing statement, starts on page 7 and runs onto page 8 with no float inside it; the two tables are set at the foot of page 8 and the head of page 9, and Figure 3 follows on page 10.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1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1's interval construction, Figure 2's description (now stated in the text), Table 5's attacker row (now Table 4)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2026-10-05T20:23:53.933Z</dcterms:created>
  <dcterms:modified xsi:type="dcterms:W3CDTF">2026-10-05T20:23:53.934Z</dcterms:modified>
</cp:coreProperties>
</file>

<file path=docProps/custom.xml><?xml version="1.0" encoding="utf-8"?>
<Properties xmlns="http://schemas.openxmlformats.org/officeDocument/2006/custom-properties" xmlns:vt="http://schemas.openxmlformats.org/officeDocument/2006/docPropsVTypes"/>
</file>