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Defences Against SMS OTP Flooding and Pumping</w:t>
      </w:r>
    </w:p>
    <w:p>
      <w:pPr>
        <w:pStyle w:val="BodyText"/>
        <w:spacing w:after="120"/>
        <w:jc w:val="center"/>
      </w:pPr>
      <w:r>
        <w:rPr>
          <w:sz w:val="24"/>
          <w:szCs w:val="24"/>
        </w:rPr>
        <w:t>Naveed Ahmed</w:t>
      </w:r>
      <w:r>
        <w:rPr>
          <w:vertAlign w:val="superscript"/>
          <w:sz w:val="24"/>
          <w:szCs w:val="24"/>
        </w:rPr>
        <w:t xml:space="preserve">*</w:t>
      </w:r>
    </w:p>
    <w:p>
      <w:pPr>
        <w:pStyle w:val="BodyText"/>
        <w:spacing w:after="120"/>
        <w:jc w:val="center"/>
      </w:pPr>
      <w:r>
        <w:rPr>
          <w:i/>
          <w:sz w:val="22"/>
          <w:szCs w:val="22"/>
        </w:rPr>
        <w:t>College of Computer and Information Science, Prince Sultan University, Riyadh, Saudi Arabia</w:t>
      </w:r>
    </w:p>
    <w:p>
      <w:pPr>
        <w:pStyle w:val="BodyText"/>
        <w:spacing w:after="120"/>
        <w:jc w:val="left"/>
      </w:pPr>
      <w:r>
        <w:rPr>
          <w:sz w:val="20"/>
          <w:szCs w:val="20"/>
        </w:rPr>
      </w:r>
      <w:r>
        <w:rPr>
          <w:sz w:val="20"/>
          <w:szCs w:val="20"/>
        </w:rPr>
      </w:r>
      <w:r>
        <w:rPr>
          <w:vertAlign w:val="superscript"/>
          <w:sz w:val="20"/>
          <w:szCs w:val="20"/>
        </w:rPr>
        <w:t xml:space="preserve">*</w:t>
      </w:r>
      <w:r>
        <w:rPr>
          <w:sz w:val="20"/>
          <w:szCs w:val="20"/>
        </w:rPr>
        <w:t xml:space="preserve">Corresponding author. E-mail: nahmed@psu.edu.sa</w:t>
      </w:r>
    </w:p>
    <w:p>
      <w:pPr>
        <w:pStyle w:val="BodyText"/>
      </w:pPr>
      <w:r>
        <w:rPr>
          <w:b/>
          <w:sz w:val="24"/>
          <w:szCs w:val="24"/>
        </w:rPr>
        <w:t>Abstract</w:t>
      </w:r>
    </w:p>
    <w:p>
      <w:pPr>
        <w:pStyle w:val="BodyText"/>
        <w:spacing w:line="360" w:lineRule="auto"/>
      </w:pPr>
      <w:r>
        <w:rPr>
          <w:sz w:val="24"/>
          <w:szCs w:val="24"/>
        </w:rPr>
        <w:t>Endpoints that send one-time passwords via SMS must be reachable before any account exists, and they are abused to waste a service’s messaging budget (flooding) or to earn part of the termination fee on a colluding operator’s number ranges (SMS pumping). Existing defenses limit the request source, score each request with labeled traffic, or block destination prefixes, but a service that sees only its own traffic has no controlled evidence of which destination signal to act on, the number of sends to a block or the fate of their codes, nor of what either costs the legitimate users who share a block with an attacker. We evaluate in simulation a twelve-step defense for a registration flow, which draws trust from app attestation, signed sessions and verification outcomes, against a seven-control baseline, five simpler designs and 25 attacker profiles, and compare the two label-free destination policies, a counter of sends per number block and sequential tests of code outcomes, under two protocols we committed before their runs. Our results show that attacks carrying a signature in the request are contained at a low cost to simulated users, whereas a residential attacker with farmed CAPTCHA scores is only rationed, by refusing half of first-time users. On the destination, short-window counters of SMS sent per number block, selected at a benign service target, leaked 6 to 48 messages against four concentrated 20-minute pumpers at 0.06 to 0.43 points of attack-free completion, where the default sequential tests of verification outcomes leaked 19 to 452 at the busiest density; on seeds and workloads held out from selection, the frozen counter met its leakage and benign-cost claims and leaked no more than the tests in all but 13 of 144 cells, all against an instantly verifying carrier, but failed both service-under-attack claims when the pumper shared blocks with real users. Unfitted estimates ordered the policies’ mean leakage in 18 of 18 decisive boundary cells with the counter’s cold-start bound and 17 with its warm-start bound; their crossing is algebraic, not a measured switching point, and the counter loses its advantage against paced or widely spread pumpers. These findings rest on simulated users and assumed calibration. For operators they give a tested ordering of destination policies against short, concentrated pumping, and identify the quota per block, and the competition for it on a shared block, as what decides a counter’s cost.</w:t>
      </w:r>
    </w:p>
    <w:p>
      <w:pPr>
        <w:pStyle w:val="BodyText"/>
      </w:pPr>
      <w:r>
        <w:rPr>
          <w:sz w:val="24"/>
          <w:szCs w:val="24"/>
        </w:rPr>
      </w:r>
      <w:r>
        <w:rPr>
          <w:sz w:val="24"/>
          <w:szCs w:val="24"/>
        </w:rPr>
      </w:r>
      <w:r>
        <w:rPr>
          <w:iCs/>
          <w:i/>
          <w:sz w:val="24"/>
          <w:szCs w:val="24"/>
        </w:rPr>
        <w:t xml:space="preserve">Keywords:</w:t>
      </w:r>
      <w:r>
        <w:rPr>
          <w:sz w:val="24"/>
          <w:szCs w:val="24"/>
        </w:rPr>
        <w:t xml:space="preserve"> </w:t>
      </w:r>
      <w:r>
        <w:rPr>
          <w:sz w:val="24"/>
          <w:szCs w:val="24"/>
        </w:rPr>
        <w:t xml:space="preserve">SMS pumping; Artificially inflated traffic; One-time password; Rate limiting; Sequential tests; Fraud prevention</w:t>
      </w:r>
    </w:p>
    <w:bookmarkStart w:id="20" w:name="introduction"/>
    <w:p>
      <w:pPr>
        <w:pStyle w:val="Heading1"/>
      </w:pPr>
      <w:r>
        <w:rPr>
          <w:rStyle w:val="SectionNumber"/>
        </w:rPr>
        <w:t xml:space="preserve">1</w:t>
      </w:r>
      <w:r>
        <w:tab/>
      </w:r>
      <w:r>
        <w:t xml:space="preserve">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(MITRE Corporation, 2026). Pumping is the SMS form of international revenue-share fraud, whose voice form was estimated at $10.76 billion a year in 2015 (Sahin et al., 2017). The sums at a single service are not small: Twitter’s owner said in 2023 that pumping had cost the company approximately $60 million a year (Commsrisk, 2023), and Huh et al. (2025)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and restrict destination countries, and risk-based authentication combines such signals into a score with graded responses (Wiefling et al., 2019). At the messaging vendor, Twilio’s Fraud Guard blocks destination prefixes and countries whose traffic departs from an account’s history (Twilio Inc., 2026c), and its per-number pumping risk score advises friction from 60 and refusal above 90 (Twilio Inc., 2026a). On a service’s own logs, Huh et al. (2025) detect attack requests one at a time with gradient-boosted trees, at 89.6% recall and 0.19% false positives on web traffic, and Zaliskyi and Odarchenko (2026)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likes (Douceur, 2002). Addresses are not scarce either: five residential proxy services relayed through 6.2 million addresses in 238 countries, 90% of them for under fifteen minutes each and 2.2% of them on any blacklist (Mi et al., 2019),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(Richter et al., 2016). A CAPTCHA costs an attacker about a dollar per thousand solutions from a labor market that was already paying ten dollars per thousand in 2007 (Motoyama et al., 2010). Supervised detection needs labels, which Huh et al. (2025)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(2026) also blocked 58% of a legitimate marketing campaign.</w:t>
      </w:r>
    </w:p>
    <w:p>
      <w:pPr>
        <w:pStyle w:val="BodyText"/>
      </w:pPr>
      <w:r>
        <w:t xml:space="preserve">The two closest studies therefore each act on one destination signal, and neither measures what acting on it costs. Huh et al. (2025) report that about 92% of attack requests fell on prefixes with zero conversion, against 21% for genuine traffic, so whether codes are entered is informative; but the signal enters a classifier that needs labeled traffic and was not released because it is deployed. Zaliskyi and Odarchenko (2026) act on send counts alone, without outcomes, and conclude that counts by themselves cannot safely separate inflated traffic from a campaign. Neither reports what a destination policy costs the legitimate users who share a number block with the attacker, neither reports its cost when there is no attack, and neither fixed the setting it would select before seeing the evaluation traffic. A service that sees only its own traffic is thus left without controlled evidence on the question it can act on: whether to count sends per block or to test the outcomes of their codes, at what quota or threshold, and at what price to its own users.</w:t>
      </w:r>
    </w:p>
    <w:p>
      <w:pPr>
        <w:pStyle w:val="BodyText"/>
      </w:pPr>
      <w:r>
        <w:t xml:space="preserve">We make that comparison in simulation, inside a complete defense for a registration flow. We start from a baseline of seven controls, v1, and show how an attacker within a stated threat model breaks each of eight assumptions behind them. Our twelve-step redesign takes the platform from an attestation rather than a header, binds requests to signed sessions, checks the number before a message is paid for, builds reputation from whether earlier codes were entered, scores each request into one of five responses, and enforces a hard budget (Figure 4 and Algorithm 2); on the destination it offers two label-free policies keyed on the 8-digit number block, a short-window counter of sends and sequential tests of code outcomes. We run seven designs and 25 scripted attacker profiles, from a single address to pumpers that enter codes, fake delivery receipts or buy challenge solutions, over simulated users on a simulated clock (Figure 5). We committed two protocols before their runs: the first selects destination settings on tuning seeds at a benign service target, and the second, written after that selection, freezes the selected counter and tests five claims on seeds and workloads held out from selection. We release the implementation, the protocols and every run’s configuration and outcome (Ahmed, 2026). Everything is simulated: three behavioral parameters have published counterparts and the rest are our assumptions, so the results describe our generator rather than real traffic.</w:t>
      </w:r>
    </w:p>
    <w:p>
      <w:pPr>
        <w:pStyle w:val="BodyText"/>
      </w:pPr>
      <w:r>
        <w:t xml:space="preserve">We ask one question in three parts. On the source side, how much of the flooding that a seven-control baseline admits does a twelve-step redesign contain, at what cost in completed registrations, and through which layer? Where identities are cheap, when does reputation built from verification outcomes stop separating an attacker from the users whose keys it shares, and what does rationing then cost and depend on? On the destination, where a pumper is paid, does counting sends per number block or testing the outcomes of their codes leak less, under which conditions does the answer reverse, and what does either policy cost the legitimate users who share a block, with and without an attack? We make four contributions.</w:t>
      </w:r>
    </w:p>
    <w:p>
      <w:pPr>
        <w:numPr>
          <w:ilvl w:val="0"/>
          <w:numId w:val="1001"/>
        </w:numPr>
      </w:pPr>
      <w:r>
        <w:rPr>
          <w:bCs/>
          <w:b/>
        </w:rPr>
        <w:t xml:space="preserve">A design, as pseudocode and as code.</w:t>
      </w:r>
      <w:r>
        <w:t xml:space="preserve"> </w:t>
      </w:r>
      <w:r>
        <w:t xml:space="preserve">We show how an attacker breaks eight assumptions behind a seven-control baseline (Section 3.1), close the gaps with a twelve-step pipeline whose trust comes from attestation, signed sessions and the fate of earlier codes (Figure 4, Algorithm 2), and release the implementation with a regression test for every replay and concurrency defect we found on the way.</w:t>
      </w:r>
    </w:p>
    <w:p>
      <w:pPr>
        <w:numPr>
          <w:ilvl w:val="0"/>
          <w:numId w:val="1001"/>
        </w:numPr>
      </w:pPr>
      <w:r>
        <w:rPr>
          <w:bCs/>
          <w:b/>
        </w:rPr>
        <w:t xml:space="preserve">The limits of source-side reputation.</w:t>
      </w:r>
      <w:r>
        <w:t xml:space="preserve"> </w:t>
      </w:r>
      <w:r>
        <w:t xml:space="preserve">We measure where reputation built from code outcomes stops separating a residential attacker from the users whose keys it shares, and what rationing then costs: the default cap holds a CAPTCHA farm to 46% of its requests by refusing 54% of first-time users (Sections 5.3–5.4).</w:t>
      </w:r>
    </w:p>
    <w:p>
      <w:pPr>
        <w:numPr>
          <w:ilvl w:val="0"/>
          <w:numId w:val="1001"/>
        </w:numPr>
      </w:pPr>
      <w:r>
        <w:rPr>
          <w:bCs/>
          <w:b/>
        </w:rPr>
        <w:t xml:space="preserve">Counting against testing, under predeclared protocols.</w:t>
      </w:r>
      <w:r>
        <w:t xml:space="preserve"> </w:t>
      </w:r>
      <w:r>
        <w:t xml:space="preserve">We compare a short-window counter of sends per number block with sequential tests of code outcomes, selected at a stated service target, then frozen and tested on held-out seeds and workloads, and charge each policy with its leakage, its attack-free cost and its harm to the users who share a block with the attacker (Sections 5.5–5.7).</w:t>
      </w:r>
    </w:p>
    <w:p>
      <w:pPr>
        <w:numPr>
          <w:ilvl w:val="0"/>
          <w:numId w:val="1001"/>
        </w:numPr>
      </w:pPr>
      <w:r>
        <w:rPr>
          <w:bCs/>
          <w:b/>
        </w:rPr>
        <w:t xml:space="preserve">Unfitted leakage estimates.</w:t>
      </w:r>
      <w:r>
        <w:t xml:space="preserve"> </w:t>
      </w:r>
      <w:r>
        <w:t xml:space="preserve">From the rules and the attack rate alone we derive when counting leaks less than testing, and check the estimates against measurements over attacks of up to an hour: they ordered the policies’ mean leakage in 18 of 18 decisive cells with the cold-start bound and 17 with the warm-start bound (Section 3.7, Figures 9 and 10).</w:t>
      </w:r>
    </w:p>
    <w:p>
      <w:pPr>
        <w:pStyle w:val="FirstParagraph"/>
      </w:pPr>
      <w:r>
        <w:t xml:space="preserve">Section 2 reviews related work; Section 3 gives the baseline, the threat model and our design with its leakage estimates; Section 4 our methodology; Section 5 reports the results; Section 6 discusses them, sets the design against the benchmark designs and the nearest work, and states the limitations; Section 7 concludes.</w:t>
      </w:r>
    </w:p>
    <w:bookmarkEnd w:id="20"/>
    <w:bookmarkStart w:id="30" w:name="related-work"/>
    <w:p>
      <w:pPr>
        <w:pStyle w:val="Heading1"/>
      </w:pPr>
      <w:r>
        <w:rPr>
          <w:rStyle w:val="SectionNumber"/>
        </w:rPr>
        <w:t xml:space="preserve">2</w:t>
      </w:r>
      <w:r>
        <w:tab/>
      </w:r>
      <w:r>
        <w:t xml:space="preserve">Related work</w:t>
      </w:r>
    </w:p>
    <w:p>
      <w:pPr>
        <w:pStyle w:val="FirstParagraph"/>
      </w:pPr>
      <w:r>
        <w:t xml:space="preserve">We group prior work by where it acts on the path of an OTP request, which Figure 1 draws. A request leaves a client, a browser or an app, which in an attack is a botnet behind residential proxies; it reaches the service endpoint, which receives it and decides whether to send; an SMS vendor or aggregator routes and filters the message; and a terminating operator delivers it to the destination number, which in a pumping attack lies in a premium-rate range. Two loops close the path. Above it, the termination fee flows back from the operator to a pumper on its partner’s ranges, which is why the destination is the one key a pumper cannot change. Below it, the code that the recipient enters, or does not, flows back to the service as the outcome signal that one of our two destination policies uses. The works we review sit at one of these four points. At the client are the measurements of what an attacker can buy: residential proxy addresses (Mi et al., 2019), shared addresses behind carrier-grade NAT (Richter et al., 2016), CAPTCHA solutions (Motoyama et al., 2010; Dionysiou and Athanasopoulos, 2020) and as many identities as it likes (Douceur, 2002). At the service are the controls an endpoint can run itself: per-entity limits, CAPTCHA, proxy and country lists (our v1 baseline, Section 3.1), risk-based scoring of logins (Wiefling et al., 2019) and supervised per-request detection on labeled logs (Huh et al., 2025); our twelve source-side steps and two destination policies act here too (Sections 3.3–3.5). At the vendor are prefix and country blocking from an account’s history and a per-number pumping risk score (Twilio Inc., 2026c; Twilio Inc., 2026a), and counts of sends per prefix in five-minute windows with a 24-hour quarantine (Zaliskyi and Odarchenko, 2026). At the operator, where the money is made, are the revenue-share number ranges that providers advertise and share, and detection from call records and test-number intelligence (Sahin et al., 2017; Sahin and Francillon, 2021). We close with the gap we address (Table 1).</w:t>
      </w:r>
    </w:p>
    <w:p>
      <w:pPr>
        <w:pStyle w:val="CaptionedFigure"/>
      </w:pPr>
      <w:r>
        <w:drawing>
          <wp:inline>
            <wp:extent cx="5334000" cy="1539498"/>
            <wp:effectExtent b="0" l="0" r="0" t="0"/>
            <wp:docPr descr="" title="" id="22" name="Picture"/>
            <a:graphic>
              <a:graphicData uri="http://schemas.openxmlformats.org/drawingml/2006/picture">
                <pic:pic>
                  <pic:nvPicPr>
                    <pic:cNvPr descr="figures/fig8_defense_path.png" id="23" name="Picture"/>
                    <pic:cNvPicPr>
                      <a:picLocks noChangeArrowheads="1" noChangeAspect="1"/>
                    </pic:cNvPicPr>
                  </pic:nvPicPr>
                  <pic:blipFill>
                    <a:blip r:embed="rId21"/>
                    <a:stretch>
                      <a:fillRect/>
                    </a:stretch>
                  </pic:blipFill>
                  <pic:spPr bwMode="auto">
                    <a:xfrm>
                      <a:off x="0" y="0"/>
                      <a:ext cx="5334000" cy="1539498"/>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Defenses Along the Path of an OTP Request.</w:t>
      </w:r>
    </w:p>
    <w:bookmarkStart w:id="24" w:name="revenue-share-fraud"/>
    <w:p>
      <w:pPr>
        <w:pStyle w:val="Heading2"/>
      </w:pPr>
      <w:r>
        <w:rPr>
          <w:rStyle w:val="SectionNumber"/>
        </w:rPr>
        <w:t xml:space="preserve">2.1</w:t>
      </w:r>
      <w:r>
        <w:tab/>
      </w:r>
      <w:r>
        <w:t xml:space="preserve">Revenue-share fraud</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 et al. (2017) sets the scheme among frauds that persist because call routing is opaque, each operator knowing only the next hop, and because operators are reluctant to share pricing, routes or fraud findings with competitors. Sahin and Francillon (2021)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3.5 are keyed on the 8-digit block and use only those two quantities.</w:t>
      </w:r>
    </w:p>
    <w:bookmarkEnd w:id="24"/>
    <w:bookmarkStart w:id="25" w:name="detecting-inflated-sms-traffic"/>
    <w:p>
      <w:pPr>
        <w:pStyle w:val="Heading2"/>
      </w:pPr>
      <w:r>
        <w:rPr>
          <w:rStyle w:val="SectionNumber"/>
        </w:rPr>
        <w:t xml:space="preserve">2.2</w:t>
      </w:r>
      <w:r>
        <w:tab/>
      </w:r>
      <w:r>
        <w:t xml:space="preserve">Detecting inflated SMS traffic</w:t>
      </w:r>
    </w:p>
    <w:p>
      <w:pPr>
        <w:pStyle w:val="FirstParagraph"/>
      </w:pPr>
      <w:r>
        <w:t xml:space="preserve">Huh et al. (2025)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Approximately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Their detector requires labeled traffic and acts per request; the cost to legitimate users is reported as false positives only, and the model was not released because it is deployed. Their data show that destination aggregation is informative; we add a controlled comparison of two label-free ways to act on it per block, from send counts or code outcomes, and of their cost to users sharing a block. We did not reproduce theirs, so we do not rank the two.</w:t>
      </w:r>
    </w:p>
    <w:p>
      <w:pPr>
        <w:pStyle w:val="BodyText"/>
      </w:pPr>
      <w:r>
        <w:t xml:space="preserve">Zaliskyi and Odarchenko (2026)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 authors conclude that message counts alone cannot safely separate inflated traffic from a campaign; they do not use verification outcomes. Theirs is a send counter judged on real traffic by messages blocked; ours compares a counter with outcome tests at a service target, in simulation, by what users sharing a block lose; the numbers are not comparable.</w:t>
      </w:r>
    </w:p>
    <w:p>
      <w:pPr>
        <w:pStyle w:val="BodyText"/>
      </w:pPr>
      <w:r>
        <w:t xml:space="preserve">The messaging vendors act one hop later. Twilio’s Fraud Guard analyzes an account’s historical traffic and blocks sends to a destination prefix or country whose pattern departs from it, with three protection levels and claimed false-positive rates under 1% and 2% (Twilio Inc., 2026c); its SMS Pumping Risk Score rates a number from 0 to 100 from Fraud Guard, risky carriers, traffic patterns and low conversion, and advises friction from 60 and refusal above 90 (Twilio Inc., 2026a). Graded destination action is therefore established practice, but the signals and models are undisclosed, so we benchmarked no product.</w:t>
      </w:r>
    </w:p>
    <w:p>
      <w:pPr>
        <w:pStyle w:val="BodyText"/>
      </w:pPr>
      <w:r>
        <w:t xml:space="preserve">Taken together, these works establish that attacks concentrate on destination prefixes and avoid converting, that counts alone misfire on campaigns, and that some campaigns now enter codes to pass conversion rules. None of them compares counting with outcome testing on the same traffic, fixes its setting before the evaluation runs, or charges a policy with the registrations it costs the users of a shared block. Those are the questions of Sections 5.5–5.7, and we modeled the attackers that enter codes, fake receipts and build trust (Table 2) on the counter-move above.</w:t>
      </w:r>
    </w:p>
    <w:bookmarkEnd w:id="25"/>
    <w:bookmarkStart w:id="26" w:name="what-an-attacker-can-buy"/>
    <w:p>
      <w:pPr>
        <w:pStyle w:val="Heading2"/>
      </w:pPr>
      <w:r>
        <w:rPr>
          <w:rStyle w:val="SectionNumber"/>
        </w:rPr>
        <w:t xml:space="preserve">2.3</w:t>
      </w:r>
      <w:r>
        <w:tab/>
      </w:r>
      <w:r>
        <w:t xml:space="preserve">What an attacker can buy</w:t>
      </w:r>
    </w:p>
    <w:p>
      <w:pPr>
        <w:pStyle w:val="FirstParagraph"/>
      </w:pPr>
      <w:r>
        <w:t xml:space="preserve">What a source-side control costs an attacker has been measured. Motoyama et al. (2010) bought CAPTCHA solutions from eight retail services at $1 to $20 per thousand, found that the wage for solving had fallen from $10 per thousand in 2007 to about a dollar by 2009, and measured a median response of 14 seconds at error rates of 10% to 20%; human labor had displaced automated solvers, and the authors conclude that a CAPTCHA limits access to attackers whose business is profitable despite that cost rather than keeping machines out. Dionysiou and Athanasopoulos (2020) classify the machine-learning solvers that have since appeared. Addresses have a market too: Mi et al. (2019) infiltrated five residential proxy providers and observed 6,183,876 addresses in 238 countries and 52,905 ISPs, 95% of them residential, 90% relaying for under 870 seconds and 2.2% on any blacklist; Richter et al. (2016) found carrier-grade NAT in more than 90% of cellular networks, with 64 subscribers behind one address where each receives a thousand ports,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(2002) that without a trusted authority one entity can present many identities, so a signed session provides continuity, not scarcity. Risk-based authentication, which Wiefling et al. (2019)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(Dean and Stubblefield, 2001) would add a computational price per request; we did not evaluate them.</w:t>
      </w:r>
    </w:p>
    <w:p>
      <w:pPr>
        <w:pStyle w:val="BodyText"/>
      </w:pPr>
      <w:r>
        <w:t xml:space="preserve">These measurements say what an attacker can buy. For a defense they imply that per-identity controls tax identity reset rather than prevent it, and that the question for a residential attacker is not whether it can be told from a person but what rationing it costs the people it resembles. Sections 5.3 and 5.4 measure that in this design.</w:t>
      </w:r>
    </w:p>
    <w:bookmarkEnd w:id="26"/>
    <w:bookmarkStart w:id="27" w:name="sequential-tests"/>
    <w:p>
      <w:pPr>
        <w:pStyle w:val="Heading2"/>
      </w:pPr>
      <w:r>
        <w:rPr>
          <w:rStyle w:val="SectionNumber"/>
        </w:rPr>
        <w:t xml:space="preserve">2.4</w:t>
      </w:r>
      <w:r>
        <w:tab/>
      </w:r>
      <w:r>
        <w:t xml:space="preserve">Sequential tests</w:t>
      </w:r>
    </w:p>
    <w:p>
      <w:pPr>
        <w:pStyle w:val="FirstParagraph"/>
      </w:pPr>
      <w:r>
        <w:t xml:space="preserve">Our block tests are Wald’s sequential tests (Wald, 1945) run as Page’s cumulative sums (Page, 1954), with a floor parameter that selects between the two (Section 3.5). Quickest change detection minimizes detection delay under false-alarm constraints (Veeravalli and Banerjee, 2012), and a CUSUM’s parameters follow from the error rates it must meet (NIST/SEMATECH, 2026); windowed statistics and the time-uniform confidence sequences of Howard et al. (2021), which stay valid at any stopping time, are not evaluated here, so</w:t>
      </w:r>
      <w:r>
        <w:t xml:space="preserve"> </w:t>
      </w:r>
      <w:r>
        <w:t xml:space="preserve">‘</w:t>
      </w:r>
      <w:r>
        <w:t xml:space="preserve">testing</w:t>
      </w:r>
      <w:r>
        <w:t xml:space="preserve">’</w:t>
      </w:r>
      <w:r>
        <w:t xml:space="preserve"> </w:t>
      </w:r>
      <w:r>
        <w:t xml:space="preserve">below means our conversion and speed tests only, and we report their error rates empirically rather than derive them.</w:t>
      </w:r>
    </w:p>
    <w:bookmarkEnd w:id="27"/>
    <w:bookmarkStart w:id="28" w:name="attacks-on-the-delivered-code"/>
    <w:p>
      <w:pPr>
        <w:pStyle w:val="Heading2"/>
      </w:pPr>
      <w:r>
        <w:rPr>
          <w:rStyle w:val="SectionNumber"/>
        </w:rPr>
        <w:t xml:space="preserve">2.5</w:t>
      </w:r>
      <w:r>
        <w:tab/>
      </w:r>
      <w:r>
        <w:t xml:space="preserve">Attacks on the delivered code</w:t>
      </w:r>
    </w:p>
    <w:p>
      <w:pPr>
        <w:pStyle w:val="FirstParagraph"/>
      </w:pPr>
      <w:r>
        <w:t xml:space="preserve">Malware on the handset or a social-engineering call can take a code after it is delivered (Mulliner et al., 2013; Siadati et al., 2017). Those attacks begin where our work stops: we ask whether a message should be sent at all, and leave the protection of a delivered code aside.</w:t>
      </w:r>
    </w:p>
    <w:bookmarkEnd w:id="28"/>
    <w:bookmarkStart w:id="29" w:name="the-gap"/>
    <w:p>
      <w:pPr>
        <w:pStyle w:val="Heading2"/>
      </w:pPr>
      <w:r>
        <w:rPr>
          <w:rStyle w:val="SectionNumber"/>
        </w:rPr>
        <w:t xml:space="preserve">2.6</w:t>
      </w:r>
      <w:r>
        <w:tab/>
      </w:r>
      <w:r>
        <w:t xml:space="preserve">The gap</w:t>
      </w:r>
    </w:p>
    <w:p>
      <w:pPr>
        <w:pStyle w:val="FirstParagraph"/>
      </w:pPr>
      <w:r>
        <w:t xml:space="preserve">Table 1 compares the works closest to ours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We supply that comparison, in simulation, together with the source-side layers it sits in.</w:t>
      </w:r>
    </w:p>
    <w:p>
      <w:pPr>
        <w:pStyle w:val="TableCaption"/>
      </w:pPr>
      <w:r>
        <w:rPr>
          <w:bCs/>
          <w:b/>
        </w:rPr>
        <w:t xml:space="preserve">Table 1</w:t>
      </w:r>
      <w:r>
        <w:t xml:space="preserve"> </w:t>
      </w:r>
      <w:r>
        <w:br/>
        <w:t xml:space="preserve">Comparison of Related Work with This Study.</w:t>
      </w:r>
    </w:p>
    <w:tbl>
      <w:tblPr>
        <w:tblStyle w:val="Table"/>
        <w:tblW w:w="9072" w:type="dxa"/>
        <w:jc w:val="center"/>
        <w:tblLayout w:type="fixed"/>
        <w:tblCellMar>
          <w:left w:w="57" w:type="dxa"/>
          <w:right w:w="57" w:type="dxa"/>
        </w:tblCellMar>
        <w:tblLook w:firstRow="1" w:lastRow="0" w:firstColumn="0" w:lastColumn="0" w:noHBand="0" w:noVBand="0" w:val="0020"/>
        <w:tblCaption w:val="Table 1 TBLBRK Comparison of Related Work with This Study."/>
      </w:tblPr>
      <w:tblGrid>
        <w:gridCol w:w="1512"/>
        <w:gridCol w:w="1512"/>
        <w:gridCol w:w="1512"/>
        <w:gridCol w:w="1512"/>
        <w:gridCol w:w="1512"/>
        <w:gridCol w:w="1512"/>
      </w:tblGrid>
      <w:tr>
        <w:trPr>
          <w:tblHeader w:val="true"/>
        </w:trPr>
        <w:tc>
          <w:tcPr>
            <w:tcW w:w="1512" w:type="dxa"/>
            <w:tcBorders>
              <w:top w:val="single" w:sz="8" w:color="000000"/>
              <w:bottom w:val="single" w:sz="4" w:color="000000"/>
            </w:tcBorders>
          </w:tcPr>
          <w:p>
            <w:pPr>
              <w:pStyle w:val="Compact"/>
              <w:spacing w:line="240" w:lineRule="auto" w:after="0"/>
              <w:jc w:val="left"/>
            </w:pPr>
            <w:r>
              <w:rPr>
                <w:sz w:val="17"/>
              </w:rPr>
              <w:t xml:space="preserve">Work</w:t>
            </w:r>
          </w:p>
        </w:tc>
        <w:tc>
          <w:tcPr>
            <w:tcW w:w="1512" w:type="dxa"/>
            <w:tcBorders>
              <w:top w:val="single" w:sz="8" w:color="000000"/>
              <w:bottom w:val="single" w:sz="4" w:color="000000"/>
            </w:tcBorders>
          </w:tcPr>
          <w:p>
            <w:pPr>
              <w:pStyle w:val="Compact"/>
              <w:spacing w:line="240" w:lineRule="auto" w:after="0"/>
              <w:jc w:val="left"/>
            </w:pPr>
            <w:r>
              <w:rPr>
                <w:sz w:val="17"/>
              </w:rPr>
              <w:t xml:space="preserve">Evidence</w:t>
            </w:r>
          </w:p>
        </w:tc>
        <w:tc>
          <w:tcPr>
            <w:tcW w:w="1512"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12"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12"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12"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512" w:type="dxa"/>
          </w:tcPr>
          <w:p>
            <w:pPr>
              <w:pStyle w:val="Compact"/>
              <w:spacing w:line="240" w:lineRule="auto" w:after="0"/>
              <w:jc w:val="left"/>
            </w:pPr>
            <w:r>
              <w:rPr>
                <w:sz w:val="17"/>
              </w:rPr>
              <w:t xml:space="preserve">Sahin and Francillon (2021)</w:t>
            </w:r>
          </w:p>
        </w:tc>
        <w:tc>
          <w:tcPr>
            <w:tcW w:w="1512" w:type="dxa"/>
          </w:tcPr>
          <w:p>
            <w:pPr>
              <w:pStyle w:val="Compact"/>
              <w:spacing w:line="240" w:lineRule="auto" w:after="0"/>
              <w:jc w:val="left"/>
            </w:pPr>
            <w:r>
              <w:rPr>
                <w:sz w:val="17"/>
              </w:rPr>
              <w:t xml:space="preserve">Operator call records; 3.1 million test numbers advertised by 12 providers, 2016–2019</w:t>
            </w:r>
          </w:p>
        </w:tc>
        <w:tc>
          <w:tcPr>
            <w:tcW w:w="1512" w:type="dxa"/>
          </w:tcPr>
          <w:p>
            <w:pPr>
              <w:pStyle w:val="Compact"/>
              <w:spacing w:line="240" w:lineRule="auto" w:after="0"/>
              <w:jc w:val="left"/>
            </w:pPr>
            <w:r>
              <w:rPr>
                <w:sz w:val="17"/>
              </w:rPr>
              <w:t xml:space="preserve">Distance of the called number to advertised ranges and call history; labels from matched test numbers</w:t>
            </w:r>
          </w:p>
        </w:tc>
        <w:tc>
          <w:tcPr>
            <w:tcW w:w="1512" w:type="dxa"/>
          </w:tcPr>
          <w:p>
            <w:pPr>
              <w:pStyle w:val="Compact"/>
              <w:spacing w:line="240" w:lineRule="auto" w:after="0"/>
              <w:jc w:val="left"/>
            </w:pPr>
            <w:r>
              <w:rPr>
                <w:sz w:val="17"/>
              </w:rPr>
              <w:t xml:space="preserve">Per call, at an operator</w:t>
            </w:r>
          </w:p>
        </w:tc>
        <w:tc>
          <w:tcPr>
            <w:tcW w:w="1512" w:type="dxa"/>
          </w:tcPr>
          <w:p>
            <w:pPr>
              <w:pStyle w:val="Compact"/>
              <w:spacing w:line="240" w:lineRule="auto" w:after="0"/>
              <w:jc w:val="left"/>
            </w:pPr>
            <w:r>
              <w:rPr>
                <w:sz w:val="17"/>
              </w:rPr>
              <w:t xml:space="preserve">A false-positive rate (0.28%), not harm to callers</w:t>
            </w:r>
          </w:p>
        </w:tc>
        <w:tc>
          <w:tcPr>
            <w:tcW w:w="1512" w:type="dxa"/>
          </w:tcPr>
          <w:p>
            <w:pPr>
              <w:pStyle w:val="Compact"/>
              <w:spacing w:line="240" w:lineRule="auto" w:after="0"/>
              <w:jc w:val="left"/>
            </w:pPr>
            <w:r>
              <w:rPr>
                <w:sz w:val="17"/>
              </w:rPr>
              <w:t xml:space="preserve">Voice calls; needs number intelligence and call histories an OTP endpoint does not hold</w:t>
            </w:r>
          </w:p>
        </w:tc>
      </w:tr>
      <w:tr>
        <w:tc>
          <w:tcPr>
            <w:tcW w:w="1512" w:type="dxa"/>
          </w:tcPr>
          <w:p>
            <w:pPr>
              <w:pStyle w:val="Compact"/>
              <w:spacing w:line="240" w:lineRule="auto" w:after="0"/>
              <w:jc w:val="left"/>
            </w:pPr>
            <w:r>
              <w:rPr>
                <w:sz w:val="17"/>
              </w:rPr>
              <w:t xml:space="preserve">Huh et al. (2025)</w:t>
            </w:r>
          </w:p>
        </w:tc>
        <w:tc>
          <w:tcPr>
            <w:tcW w:w="1512" w:type="dxa"/>
          </w:tcPr>
          <w:p>
            <w:pPr>
              <w:pStyle w:val="Compact"/>
              <w:spacing w:line="240" w:lineRule="auto" w:after="0"/>
              <w:jc w:val="left"/>
            </w:pPr>
            <w:r>
              <w:rPr>
                <w:sz w:val="17"/>
              </w:rPr>
              <w:t xml:space="preserve">One service’s 9.4 million SMS authentication logs, 19 countries, three months</w:t>
            </w:r>
          </w:p>
        </w:tc>
        <w:tc>
          <w:tcPr>
            <w:tcW w:w="1512" w:type="dxa"/>
          </w:tcPr>
          <w:p>
            <w:pPr>
              <w:pStyle w:val="Compact"/>
              <w:spacing w:line="240" w:lineRule="auto" w:after="0"/>
              <w:jc w:val="left"/>
            </w:pPr>
            <w:r>
              <w:rPr>
                <w:sz w:val="17"/>
              </w:rPr>
              <w:t xml:space="preserve">Per-request features with prefix-level counts and conversion; labels derived from traffic peaks</w:t>
            </w:r>
          </w:p>
        </w:tc>
        <w:tc>
          <w:tcPr>
            <w:tcW w:w="1512" w:type="dxa"/>
          </w:tcPr>
          <w:p>
            <w:pPr>
              <w:pStyle w:val="Compact"/>
              <w:spacing w:line="240" w:lineRule="auto" w:after="0"/>
              <w:jc w:val="left"/>
            </w:pPr>
            <w:r>
              <w:rPr>
                <w:sz w:val="17"/>
              </w:rPr>
              <w:t xml:space="preserve">Per request at the service, before the message is sent</w:t>
            </w:r>
          </w:p>
        </w:tc>
        <w:tc>
          <w:tcPr>
            <w:tcW w:w="1512" w:type="dxa"/>
          </w:tcPr>
          <w:p>
            <w:pPr>
              <w:pStyle w:val="Compact"/>
              <w:spacing w:line="240" w:lineRule="auto" w:after="0"/>
              <w:jc w:val="left"/>
            </w:pPr>
            <w:r>
              <w:rPr>
                <w:sz w:val="17"/>
              </w:rPr>
              <w:t xml:space="preserve">False positives only (0.19% web, 0.11% app)</w:t>
            </w:r>
          </w:p>
        </w:tc>
        <w:tc>
          <w:tcPr>
            <w:tcW w:w="1512" w:type="dxa"/>
          </w:tcPr>
          <w:p>
            <w:pPr>
              <w:pStyle w:val="Compact"/>
              <w:spacing w:line="240" w:lineRule="auto" w:after="0"/>
              <w:jc w:val="left"/>
            </w:pPr>
            <w:r>
              <w:rPr>
                <w:sz w:val="17"/>
              </w:rPr>
              <w:t xml:space="preserve">Needs labels; the deployed model was not released; a per-request decision can be probed</w:t>
            </w:r>
          </w:p>
        </w:tc>
      </w:tr>
      <w:tr>
        <w:tc>
          <w:tcPr>
            <w:tcW w:w="1512" w:type="dxa"/>
          </w:tcPr>
          <w:p>
            <w:pPr>
              <w:pStyle w:val="Compact"/>
              <w:spacing w:line="240" w:lineRule="auto" w:after="0"/>
              <w:jc w:val="left"/>
            </w:pPr>
            <w:r>
              <w:rPr>
                <w:sz w:val="17"/>
              </w:rPr>
              <w:t xml:space="preserve">Zaliskyi and Odarchenko (2026)</w:t>
            </w:r>
          </w:p>
        </w:tc>
        <w:tc>
          <w:tcPr>
            <w:tcW w:w="1512" w:type="dxa"/>
          </w:tcPr>
          <w:p>
            <w:pPr>
              <w:pStyle w:val="Compact"/>
              <w:spacing w:line="240" w:lineRule="auto" w:after="0"/>
              <w:jc w:val="left"/>
            </w:pPr>
            <w:r>
              <w:rPr>
                <w:sz w:val="17"/>
              </w:rPr>
              <w:t xml:space="preserve">Aggregator delivery metadata: two confirmed incidents and one legitimate campaign</w:t>
            </w:r>
          </w:p>
        </w:tc>
        <w:tc>
          <w:tcPr>
            <w:tcW w:w="1512" w:type="dxa"/>
          </w:tcPr>
          <w:p>
            <w:pPr>
              <w:pStyle w:val="Compact"/>
              <w:spacing w:line="240" w:lineRule="auto" w:after="0"/>
              <w:jc w:val="left"/>
            </w:pPr>
            <w:r>
              <w:rPr>
                <w:sz w:val="17"/>
              </w:rPr>
              <w:t xml:space="preserve">Sends, or unique recipients, per prefix in five-minute windows; no labels</w:t>
            </w:r>
          </w:p>
        </w:tc>
        <w:tc>
          <w:tcPr>
            <w:tcW w:w="1512" w:type="dxa"/>
          </w:tcPr>
          <w:p>
            <w:pPr>
              <w:pStyle w:val="Compact"/>
              <w:spacing w:line="240" w:lineRule="auto" w:after="0"/>
              <w:jc w:val="left"/>
            </w:pPr>
            <w:r>
              <w:rPr>
                <w:sz w:val="17"/>
              </w:rPr>
              <w:t xml:space="preserve">Per prefix, with a 24-hour quarantine</w:t>
            </w:r>
          </w:p>
        </w:tc>
        <w:tc>
          <w:tcPr>
            <w:tcW w:w="1512" w:type="dxa"/>
          </w:tcPr>
          <w:p>
            <w:pPr>
              <w:pStyle w:val="Compact"/>
              <w:spacing w:line="240" w:lineRule="auto" w:after="0"/>
              <w:jc w:val="left"/>
            </w:pPr>
            <w:r>
              <w:rPr>
                <w:sz w:val="17"/>
              </w:rPr>
              <w:t xml:space="preserve">Share of a campaign blocked (58%; 2% with unique recipients)</w:t>
            </w:r>
          </w:p>
        </w:tc>
        <w:tc>
          <w:tcPr>
            <w:tcW w:w="1512" w:type="dxa"/>
          </w:tcPr>
          <w:p>
            <w:pPr>
              <w:pStyle w:val="Compact"/>
              <w:spacing w:line="240" w:lineRule="auto" w:after="0"/>
              <w:jc w:val="left"/>
            </w:pPr>
            <w:r>
              <w:rPr>
                <w:sz w:val="17"/>
              </w:rPr>
              <w:t xml:space="preserve">Outcomes unused; thresholds that stop incidents block campaigns; no per-user cost</w:t>
            </w:r>
          </w:p>
        </w:tc>
      </w:tr>
      <w:tr>
        <w:tc>
          <w:tcPr>
            <w:tcW w:w="1512" w:type="dxa"/>
          </w:tcPr>
          <w:p>
            <w:pPr>
              <w:pStyle w:val="Compact"/>
              <w:spacing w:line="240" w:lineRule="auto" w:after="0"/>
              <w:jc w:val="left"/>
            </w:pPr>
            <w:r>
              <w:rPr>
                <w:sz w:val="17"/>
              </w:rPr>
              <w:t xml:space="preserve">Twilio Inc. (2026a); Twilio Inc. (2026c)</w:t>
            </w:r>
          </w:p>
        </w:tc>
        <w:tc>
          <w:tcPr>
            <w:tcW w:w="1512" w:type="dxa"/>
          </w:tcPr>
          <w:p>
            <w:pPr>
              <w:pStyle w:val="Compact"/>
              <w:spacing w:line="240" w:lineRule="auto" w:after="0"/>
              <w:jc w:val="left"/>
            </w:pPr>
            <w:r>
              <w:rPr>
                <w:sz w:val="17"/>
              </w:rPr>
              <w:t xml:space="preserve">Vendor-wide traffic across accounts; documentation only</w:t>
            </w:r>
          </w:p>
        </w:tc>
        <w:tc>
          <w:tcPr>
            <w:tcW w:w="1512"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12" w:type="dxa"/>
          </w:tcPr>
          <w:p>
            <w:pPr>
              <w:pStyle w:val="Compact"/>
              <w:spacing w:line="240" w:lineRule="auto" w:after="0"/>
              <w:jc w:val="left"/>
            </w:pPr>
            <w:r>
              <w:rPr>
                <w:sz w:val="17"/>
              </w:rPr>
              <w:t xml:space="preserve">Before the send, at the vendor; bands at 60, 75 and 90</w:t>
            </w:r>
          </w:p>
        </w:tc>
        <w:tc>
          <w:tcPr>
            <w:tcW w:w="1512" w:type="dxa"/>
          </w:tcPr>
          <w:p>
            <w:pPr>
              <w:pStyle w:val="Compact"/>
              <w:spacing w:line="240" w:lineRule="auto" w:after="0"/>
              <w:jc w:val="left"/>
            </w:pPr>
            <w:r>
              <w:rPr>
                <w:sz w:val="17"/>
              </w:rPr>
              <w:t xml:space="preserve">Claimed false-positive rates under 1% and 2%</w:t>
            </w:r>
          </w:p>
        </w:tc>
        <w:tc>
          <w:tcPr>
            <w:tcW w:w="1512" w:type="dxa"/>
          </w:tcPr>
          <w:p>
            <w:pPr>
              <w:pStyle w:val="Compact"/>
              <w:spacing w:line="240" w:lineRule="auto" w:after="0"/>
              <w:jc w:val="left"/>
            </w:pPr>
            <w:r>
              <w:rPr>
                <w:sz w:val="17"/>
              </w:rPr>
              <w:t xml:space="preserve">Signals and models undisclosed; cannot be benchmarked or reproduced</w:t>
            </w:r>
          </w:p>
        </w:tc>
      </w:tr>
      <w:tr>
        <w:tc>
          <w:tcPr>
            <w:tcW w:w="1512" w:type="dxa"/>
          </w:tcPr>
          <w:p>
            <w:pPr>
              <w:pStyle w:val="Compact"/>
              <w:spacing w:line="240" w:lineRule="auto" w:after="0"/>
              <w:jc w:val="left"/>
            </w:pPr>
            <w:r>
              <w:rPr>
                <w:sz w:val="17"/>
              </w:rPr>
              <w:t xml:space="preserve">Wiefling et al. (2019)</w:t>
            </w:r>
          </w:p>
        </w:tc>
        <w:tc>
          <w:tcPr>
            <w:tcW w:w="1512" w:type="dxa"/>
          </w:tcPr>
          <w:p>
            <w:pPr>
              <w:pStyle w:val="Compact"/>
              <w:spacing w:line="240" w:lineRule="auto" w:after="0"/>
              <w:jc w:val="left"/>
            </w:pPr>
            <w:r>
              <w:rPr>
                <w:sz w:val="17"/>
              </w:rPr>
              <w:t xml:space="preserve">Black-box tests of eight services with 224 accounts</w:t>
            </w:r>
          </w:p>
        </w:tc>
        <w:tc>
          <w:tcPr>
            <w:tcW w:w="1512" w:type="dxa"/>
          </w:tcPr>
          <w:p>
            <w:pPr>
              <w:pStyle w:val="Compact"/>
              <w:spacing w:line="240" w:lineRule="auto" w:after="0"/>
              <w:jc w:val="left"/>
            </w:pPr>
            <w:r>
              <w:rPr>
                <w:sz w:val="17"/>
              </w:rPr>
              <w:t xml:space="preserve">Address, user agent, resolution, time and similar login features scored into risk buckets</w:t>
            </w:r>
          </w:p>
        </w:tc>
        <w:tc>
          <w:tcPr>
            <w:tcW w:w="1512" w:type="dxa"/>
          </w:tcPr>
          <w:p>
            <w:pPr>
              <w:pStyle w:val="Compact"/>
              <w:spacing w:line="240" w:lineRule="auto" w:after="0"/>
              <w:jc w:val="left"/>
            </w:pPr>
            <w:r>
              <w:rPr>
                <w:sz w:val="17"/>
              </w:rPr>
              <w:t xml:space="preserve">Per login to an existing account</w:t>
            </w:r>
          </w:p>
        </w:tc>
        <w:tc>
          <w:tcPr>
            <w:tcW w:w="1512" w:type="dxa"/>
          </w:tcPr>
          <w:p>
            <w:pPr>
              <w:pStyle w:val="Compact"/>
              <w:spacing w:line="240" w:lineRule="auto" w:after="0"/>
              <w:jc w:val="left"/>
            </w:pPr>
            <w:r>
              <w:rPr>
                <w:sz w:val="17"/>
              </w:rPr>
              <w:t xml:space="preserve">Not measured; re-authentication observed</w:t>
            </w:r>
          </w:p>
        </w:tc>
        <w:tc>
          <w:tcPr>
            <w:tcW w:w="1512" w:type="dxa"/>
          </w:tcPr>
          <w:p>
            <w:pPr>
              <w:pStyle w:val="Compact"/>
              <w:spacing w:line="240" w:lineRule="auto" w:after="0"/>
              <w:jc w:val="left"/>
            </w:pPr>
            <w:r>
              <w:rPr>
                <w:sz w:val="17"/>
              </w:rPr>
              <w:t xml:space="preserve">Scores a login, not a request made before any account exists; procedures undisclosed</w:t>
            </w:r>
          </w:p>
        </w:tc>
      </w:tr>
      <w:tr>
        <w:tc>
          <w:tcPr>
            <w:tcW w:w="1512" w:type="dxa"/>
            <w:tcBorders>
              <w:bottom w:val="single" w:sz="8" w:color="000000"/>
            </w:tcBorders>
          </w:tcPr>
          <w:p>
            <w:pPr>
              <w:pStyle w:val="Compact"/>
              <w:spacing w:line="240" w:lineRule="auto" w:after="0"/>
              <w:jc w:val="left"/>
            </w:pPr>
            <w:r>
              <w:rPr>
                <w:sz w:val="17"/>
              </w:rPr>
              <w:t xml:space="preserve">This study</w:t>
            </w:r>
          </w:p>
        </w:tc>
        <w:tc>
          <w:tcPr>
            <w:tcW w:w="1512"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12"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12" w:type="dxa"/>
            <w:tcBorders>
              <w:bottom w:val="single" w:sz="8" w:color="000000"/>
            </w:tcBorders>
          </w:tcPr>
          <w:p>
            <w:pPr>
              <w:pStyle w:val="Compact"/>
              <w:spacing w:line="240" w:lineRule="auto" w:after="0"/>
              <w:jc w:val="left"/>
            </w:pPr>
            <w:r>
              <w:rPr>
                <w:sz w:val="17"/>
              </w:rPr>
              <w:t xml:space="preserve">Per 10 000-number block at the service, before the message is sent</w:t>
            </w:r>
          </w:p>
        </w:tc>
        <w:tc>
          <w:tcPr>
            <w:tcW w:w="1512"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12"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29"/>
    <w:bookmarkEnd w:id="30"/>
    <w:bookmarkStart w:id="55" w:name="threat-model-and-design"/>
    <w:p>
      <w:pPr>
        <w:pStyle w:val="Heading1"/>
      </w:pPr>
      <w:r>
        <w:rPr>
          <w:rStyle w:val="SectionNumber"/>
        </w:rPr>
        <w:t xml:space="preserve">3</w:t>
      </w:r>
      <w:r>
        <w:tab/>
      </w:r>
      <w:r>
        <w:t xml:space="preserve">Threat model and design</w:t>
      </w:r>
    </w:p>
    <w:p>
      <w:pPr>
        <w:pStyle w:val="FirstParagraph"/>
      </w:pPr>
      <w:r>
        <w:t xml:space="preserve">This section describes the baseline we replace, the attacker our design must resist, the twelve steps and two destination policies we designed, and the estimates of leakage we derive from its rules.</w:t>
      </w:r>
    </w:p>
    <w:bookmarkStart w:id="34" w:name="the-baseline-and-its-gaps"/>
    <w:p>
      <w:pPr>
        <w:pStyle w:val="Heading2"/>
      </w:pPr>
      <w:r>
        <w:rPr>
          <w:rStyle w:val="SectionNumber"/>
        </w:rPr>
        <w:t xml:space="preserve">3.1</w:t>
      </w:r>
      <w:r>
        <w:tab/>
      </w:r>
      <w:r>
        <w:t xml:space="preserve">The baseline and its gaps</w:t>
      </w:r>
    </w:p>
    <w:p>
      <w:pPr>
        <w:pStyle w:val="FirstParagraph"/>
      </w:pPr>
      <w:r>
        <w:t xml:space="preserve">The baseline, v1, is our starting point, the registration endpoint as it stood before this work: it sends a code to any unregistered number once seven controls pass, in the order of Algorithm 1. A request from a known VPN or proxy address is refused. The platform is read from a client header, and a request that claims iOS or Android skips the two checks that web requests face, a reCAPTCHA v3 score threshold and an origin check. The number’s country must be on an allow-list unless the request carries the bulk flag; the body must be within a length limit and the number not on an exclusion list unless the request comes from a test server. One message per number per minute, five requests per address per minute and static caps per platform and country complete the controls. Each cap is a counter that is read when the check runs and incremented after every check has passed, and the response names the control that refused.</w:t>
      </w:r>
    </w:p>
    <w:p>
      <w:pPr>
        <w:pStyle w:val="BodyText"/>
      </w:pPr>
      <w:r>
        <w:t xml:space="preserve">Each control rests on an assumption that an attacker within the threat model of Section 3.2 breaks. We derived the eight gaps below from the rules, not from observed abuse; Algorithm 1 marks where each opens. (A) The platform exemptions trust a client claim, so any request can send the header for iOS and skip the reCAPTCHA and origin checks. (B) Five requests per address assume that addresses are scarce; a residential proxy pool supplies a fresh address per request, nothing throttles a subnet or an autonomous system, and no client identity survives an address change. (C) A number is sent to without validation, so numbers that cannot exist, numbers on dead ranges and generated sequences cost the same as a real message. (D) The country allow-list is the only notion of destination cost; premium-rate and revenue-share prefixes inside an allowed country cost many times a standard message, and a pumper targets exactly those. (E) Every limit is per key, so a wide attack that stays under each cap burns the budget without bound; nothing watches total volume or spend. (F) A limit checks its counter and increments it as two operations, so two concurrent requests on different instances both pass. (G) The bulk and test paths skip checks but need no stronger authentication than a normal request, so a leaked flag is a bypass. (H) Every decision is pass or fail and the response names the control that refused, so an attacker can probe each threshold, stay under it, and enumerate registered numbers.</w:t>
      </w:r>
    </w:p>
    <w:p>
      <w:pPr>
        <w:pStyle w:val="CaptionedFigure"/>
      </w:pPr>
      <w:r>
        <w:drawing>
          <wp:inline>
            <wp:extent cx="4319999" cy="4270847"/>
            <wp:effectExtent b="0" l="0" r="0" t="0"/>
            <wp:docPr descr="" title="" id="32" name="Picture"/>
            <a:graphic>
              <a:graphicData uri="http://schemas.openxmlformats.org/drawingml/2006/picture">
                <pic:pic>
                  <pic:nvPicPr>
                    <pic:cNvPr descr="figures/alg1_v1.png" id="33" name="Picture"/>
                    <pic:cNvPicPr>
                      <a:picLocks noChangeArrowheads="1" noChangeAspect="1"/>
                    </pic:cNvPicPr>
                  </pic:nvPicPr>
                  <pic:blipFill>
                    <a:blip r:embed="rId31"/>
                    <a:stretch>
                      <a:fillRect/>
                    </a:stretch>
                  </pic:blipFill>
                  <pic:spPr bwMode="auto">
                    <a:xfrm>
                      <a:off x="0" y="0"/>
                      <a:ext cx="4319999" cy="4270847"/>
                    </a:xfrm>
                    <a:prstGeom prst="rect">
                      <a:avLst/>
                    </a:prstGeom>
                    <a:noFill/>
                    <a:ln w="9525">
                      <a:noFill/>
                      <a:headEnd/>
                      <a:tailEnd/>
                    </a:ln>
                  </pic:spPr>
                </pic:pic>
              </a:graphicData>
            </a:graphic>
          </wp:inline>
        </w:drawing>
      </w:r>
    </w:p>
    <w:p>
      <w:pPr>
        <w:pStyle w:val="ImageCaption"/>
      </w:pPr>
      <w:r>
        <w:rPr>
          <w:bCs/>
          <w:b/>
        </w:rPr>
        <w:t xml:space="preserve">Algorithm 1.</w:t>
      </w:r>
      <w:r>
        <w:t xml:space="preserve"> </w:t>
      </w:r>
      <w:r>
        <w:t xml:space="preserve">The v1 baseline, as the evaluated pipeline applies it to a code request; each comment names the gap the preceding rule opens.</w:t>
      </w:r>
    </w:p>
    <w:bookmarkEnd w:id="34"/>
    <w:bookmarkStart w:id="38" w:name="threat-model"/>
    <w:p>
      <w:pPr>
        <w:pStyle w:val="Heading2"/>
      </w:pPr>
      <w:r>
        <w:rPr>
          <w:rStyle w:val="SectionNumber"/>
        </w:rPr>
        <w:t xml:space="preserve">3.2</w:t>
      </w:r>
      <w:r>
        <w:tab/>
      </w:r>
      <w:r>
        <w:t xml:space="preserve">Threat model</w:t>
      </w:r>
    </w:p>
    <w:p>
      <w:pPr>
        <w:pStyle w:val="FirstParagraph"/>
      </w:pPr>
      <w:r>
        <w:t xml:space="preserve">The attacker is a party that wants the service to send as many messages as possible, or as many as possible to numbers that pay it. The first is a flooder: the service pays per message, and the attacker’s gain is the service’s loss. The second is a pumper, paid a share of the termination fee by the operator that terminates its ranges; it earns nothing on any other number, so its traffic concentrates on the blocks it is paid for. The share is not public, so in Section 5.8 we report instead the share at which each scripted pumper breaks even. Figure 2 places the attacker on the path of a request: its two goals above the path, what it controls at each of the four points below it, and at the foot what it cannot do and what the model leaves out; the paragraphs that follow give the detail.</w:t>
      </w:r>
    </w:p>
    <w:p>
      <w:pPr>
        <w:pStyle w:val="CaptionedFigure"/>
      </w:pPr>
      <w:r>
        <w:drawing>
          <wp:inline>
            <wp:extent cx="5334000" cy="2261348"/>
            <wp:effectExtent b="0" l="0" r="0" t="0"/>
            <wp:docPr descr="" title="" id="36" name="Picture"/>
            <a:graphic>
              <a:graphicData uri="http://schemas.openxmlformats.org/drawingml/2006/picture">
                <pic:pic>
                  <pic:nvPicPr>
                    <pic:cNvPr descr="figures/fig9_threat_model.png" id="37" name="Picture"/>
                    <pic:cNvPicPr>
                      <a:picLocks noChangeArrowheads="1" noChangeAspect="1"/>
                    </pic:cNvPicPr>
                  </pic:nvPicPr>
                  <pic:blipFill>
                    <a:blip r:embed="rId35"/>
                    <a:stretch>
                      <a:fillRect/>
                    </a:stretch>
                  </pic:blipFill>
                  <pic:spPr bwMode="auto">
                    <a:xfrm>
                      <a:off x="0" y="0"/>
                      <a:ext cx="5334000" cy="226134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The Threat Model on the Path of a Request.</w:t>
      </w:r>
    </w:p>
    <w:p>
      <w:pPr>
        <w:pStyle w:val="BodyText"/>
      </w:pPr>
      <w:r>
        <w:t xml:space="preserve">At the client, the attacker runs scripts behind residential proxies in the service’s own country, with a fresh address per request, or from a datacenter abroad, or spread at a low rate over twenty autonomous systems. It buys human-like reCAPTCHA v3 tokens from solving services at about 0.3 cents each, so a score threshold alone does not stop it. It mints a fresh browser fingerprint per request, pre-ages fingerprints for hours, or reuses one two-day-old profile; it can present a forged platform header; and it draws numbers at random, walks them upward, or takes them from its partner’s blocks. It knows every threshold, the parameters of the destination tests and the timing of the workers, and it sees only the one uniform response that Section 3.3 describes.</w:t>
      </w:r>
    </w:p>
    <w:p>
      <w:pPr>
        <w:pStyle w:val="BodyText"/>
      </w:pPr>
      <w:r>
        <w:t xml:space="preserve">On its own ranges, a pumper’s operator can do what a real recipient could: enter the code it receives, within a second or after a human-like delay, or only when a block’s statistic nears its threshold; report deliveries as failed, so that a billed send feeds no test; and verify on hundreds of identity-and-number pairs for ten or thirty minutes to build trusted history before flooding with the same pairs. It can spread over three to three hundred blocks, at full rate or paced to a counter’s quota, and it can buy a solution for every interactive challenge.</w:t>
      </w:r>
    </w:p>
    <w:p>
      <w:pPr>
        <w:pStyle w:val="BodyText"/>
      </w:pPr>
      <w:r>
        <w:t xml:space="preserve">Three things it cannot do. It cannot forge an app attestation, so a platform established at Step 0 is evidence rather than a claim. It cannot earn on a range its partner does not terminate, which is why the destination is the one key it cannot rotate away from. And it cannot make a stranger enter a code, so a code entered on a block that real users share is honest evidence about that block; what a code entered on the attacker’s own number buys it, we measure rather than assume. Attacks on a code after delivery (Section 2.5) and compromise of the service, its vendors or the attestation providers are outside the model. Table 2 lists the 25 profiles that instantiate these capabilities; pool size, rate and CAPTCHA class are drawn per seed.</w:t>
      </w:r>
    </w:p>
    <w:bookmarkEnd w:id="38"/>
    <w:bookmarkStart w:id="48" w:name="the-pipeline"/>
    <w:p>
      <w:pPr>
        <w:pStyle w:val="Heading2"/>
      </w:pPr>
      <w:r>
        <w:rPr>
          <w:rStyle w:val="SectionNumber"/>
        </w:rPr>
        <w:t xml:space="preserve">3.3</w:t>
      </w:r>
      <w:r>
        <w:tab/>
      </w:r>
      <w:r>
        <w:t xml:space="preserve">The pipeline</w:t>
      </w:r>
    </w:p>
    <w:p>
      <w:pPr>
        <w:pStyle w:val="FirstParagraph"/>
      </w:pPr>
      <w:r>
        <w:t xml:space="preserve">Figure 3 shows the implementation as deployed. An HTTP API, run on any number of instances, offers the client five public endpoints: an attestation challenge and an enrolment, a session endpoint where a reCAPTCHA token or an attestation buys a signed session, the request endpoint, which runs the pipeline and returns one uniform body, and the verify endpoint, which takes the code; two internal endpoints, behind a service credential, take the vendor’s delivery receipts and drive the timeouts. Behind the API sit the two procedures of Algorithm 2: the pipeline, which runs Steps 0–11 on each request, and the feedback loop, which applies each transition of a send (delivered, verified, failed, undelivered) as one compare-and-set. All state lives in one store, Redis in production and an in-memory twin with the same rules in the tests and the simulator: the sessions, every limit and reservation, the SMS history, the reputation counts, the block statistics and counters, the denylist, the adaptive multipliers and the operating mode. What the loop writes, the next request reads, which is how the outcome of one send changes the judgment of the next, and why any instance can verify any code. One worker per deployment ticks every minute to resolve the sends that timed out and to run the baseline job that sets the multipliers of Step 9 from the pipeline’s own counters. Every external dependency, attestation, reCAPTCHA, address intelligence, the HLR lookup, the SMS vendor and the downgrade channels, sits behind an adapter with an in-memory fake, and a deployment reports which adapters are fake so that production can refuse to start with any. The simulation of Section 4 runs the pipeline, the feedback loop, the worker’s two jobs and the in-memory store as drawn, without the HTTP layer, replaces the external services with their fakes, and in the main study hands the baseline job the modeled legitimate rate instead of letting it learn it (Section 5.4 runs the learning job).</w:t>
      </w:r>
    </w:p>
    <w:p>
      <w:pPr>
        <w:pStyle w:val="CaptionedFigure"/>
      </w:pPr>
      <w:r>
        <w:drawing>
          <wp:inline>
            <wp:extent cx="5334000" cy="3049405"/>
            <wp:effectExtent b="0" l="0" r="0" t="0"/>
            <wp:docPr descr="" title="" id="40" name="Picture"/>
            <a:graphic>
              <a:graphicData uri="http://schemas.openxmlformats.org/drawingml/2006/picture">
                <pic:pic>
                  <pic:nvPicPr>
                    <pic:cNvPr descr="figures/fig12_architecture.png" id="41" name="Picture"/>
                    <pic:cNvPicPr>
                      <a:picLocks noChangeArrowheads="1" noChangeAspect="1"/>
                    </pic:cNvPicPr>
                  </pic:nvPicPr>
                  <pic:blipFill>
                    <a:blip r:embed="rId39"/>
                    <a:stretch>
                      <a:fillRect/>
                    </a:stretch>
                  </pic:blipFill>
                  <pic:spPr bwMode="auto">
                    <a:xfrm>
                      <a:off x="0" y="0"/>
                      <a:ext cx="5334000" cy="304940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Architecture of the Implementation.</w:t>
      </w:r>
    </w:p>
    <w:p>
      <w:pPr>
        <w:pStyle w:val="BodyText"/>
      </w:pPr>
      <w:r>
        <w:t xml:space="preserve">We designed the pipeline so that no message is paid for before every check passes, and cheap checks run first. Trust comes from evidence the client cannot forge, an attestation, a server-signed session, and the fate of earlier codes, though such evidence can be manufactured (Section 5.8).</w:t>
      </w:r>
    </w:p>
    <w:p>
      <w:pPr>
        <w:pStyle w:val="BodyText"/>
      </w:pPr>
      <w:r>
        <w:t xml:space="preserve">A request passes the twelve steps of Figure 4 in order until one refuses it; the letters below are the gaps of Section 3.1 that each step closes. Step 0 establishes the platform from an App Attest or Play Integrity result and refuses proxy addresses (A). Step 1 binds the request to a server-signed session with a fingerprint and a replay nonce, three requests per session per ten minutes (B). Step 2 throttles the address, its /24 and its autonomous system, with lower caps for hosting networks (B, F). Steps 3 and 4, for web requests only, check the reCAPTCHA score and the origin. Step 5 prices and checks the number before anything is paid for: its country and cost class, sequential or narrow-range bursts, liveness through an HLR lookup, and the verdict stage of its block, with the bulk flag now needing an internal credential (C, D, G). Step 6 validates the body and the exclusion list, the test flag needing a credential too (G). Step 7 computes the risk score of Equation (1) and chooses one of five tiers (H). Step 8 applies a per-number backoff, sixty seconds doubling to an hour and five sends a day. Step 9 takes the source caps per source, platform and country, multiplied by the adaptive factor. Step 10 sets the operating mode from the hourly budget, elevated above 80% and emergency at 100% (E). Step 11 reserves the hourly count, the spend and any destination slot in one atomic operation, writes the state and enqueues the message (E, H). A refusal at any step returns one uniform reply, and every send resolves through the feedback loop, whose per-key and per-block outcomes are what the next request is judged on.</w:t>
      </w:r>
    </w:p>
    <w:p>
      <w:pPr>
        <w:pStyle w:val="BodyText"/>
      </w:pPr>
      <w:r>
        <w:t xml:space="preserve">Algorithm 2 gives the same pipeline as we implemented it, with the feedback loop of Section 3.4 and the block statistics of Section 3.5 as its second procedure. Read against Algorithm 1, it differs in four ways: the platform is established before anything else and from evidence, every limit is taken atomically and released on refusal, the number is priced and checked before it is paid for, and the outcome of each send flows back into the keys and the destination block that the next request will be judged on. Each limit and reservation is one atomic Redis operation, but the enclosing steps are not one transaction: on the normal path, a refused request returns its per-number claims and counter slot, and the hourly budget is reserved only for a message about to be enqueued, a reservation rather than a completed dispatch; a crash between them can leak reservations (Section 4). Address limits and source caps count requests, except that a request Step 11 challenges returns its source-cap count. Every outcome after Step 0, except the challenge, returns one HTTP 200 body after at least 400 ms, a floor that cannot hide longer work.</w:t>
      </w:r>
    </w:p>
    <w:p>
      <w:pPr>
        <w:pStyle w:val="CaptionedFigure"/>
      </w:pPr>
      <w:r>
        <w:drawing>
          <wp:inline>
            <wp:extent cx="5334000" cy="2387553"/>
            <wp:effectExtent b="0" l="0" r="0" t="0"/>
            <wp:docPr descr="" title="" id="43" name="Picture"/>
            <a:graphic>
              <a:graphicData uri="http://schemas.openxmlformats.org/drawingml/2006/picture">
                <pic:pic>
                  <pic:nvPicPr>
                    <pic:cNvPr descr="figures/fig10_steps.png" id="44" name="Picture"/>
                    <pic:cNvPicPr>
                      <a:picLocks noChangeArrowheads="1" noChangeAspect="1"/>
                    </pic:cNvPicPr>
                  </pic:nvPicPr>
                  <pic:blipFill>
                    <a:blip r:embed="rId42"/>
                    <a:stretch>
                      <a:fillRect/>
                    </a:stretch>
                  </pic:blipFill>
                  <pic:spPr bwMode="auto">
                    <a:xfrm>
                      <a:off x="0" y="0"/>
                      <a:ext cx="5334000" cy="2387553"/>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Twelve Steps of the Design and the Feedback Loop.</w:t>
      </w:r>
    </w:p>
    <w:p>
      <w:pPr>
        <w:pStyle w:val="CaptionedFigure"/>
      </w:pPr>
      <w:r>
        <w:drawing>
          <wp:inline>
            <wp:extent cx="5334000" cy="4671266"/>
            <wp:effectExtent b="0" l="0" r="0" t="0"/>
            <wp:docPr descr="" title="" id="46" name="Picture"/>
            <a:graphic>
              <a:graphicData uri="http://schemas.openxmlformats.org/drawingml/2006/picture">
                <pic:pic>
                  <pic:nvPicPr>
                    <pic:cNvPr descr="figures/alg2_v2.png" id="47" name="Picture"/>
                    <pic:cNvPicPr>
                      <a:picLocks noChangeArrowheads="1" noChangeAspect="1"/>
                    </pic:cNvPicPr>
                  </pic:nvPicPr>
                  <pic:blipFill>
                    <a:blip r:embed="rId45"/>
                    <a:stretch>
                      <a:fillRect/>
                    </a:stretch>
                  </pic:blipFill>
                  <pic:spPr bwMode="auto">
                    <a:xfrm>
                      <a:off x="0" y="0"/>
                      <a:ext cx="5334000" cy="4671266"/>
                    </a:xfrm>
                    <a:prstGeom prst="rect">
                      <a:avLst/>
                    </a:prstGeom>
                    <a:noFill/>
                    <a:ln w="9525">
                      <a:noFill/>
                      <a:headEnd/>
                      <a:tailEnd/>
                    </a:ln>
                  </pic:spPr>
                </pic:pic>
              </a:graphicData>
            </a:graphic>
          </wp:inline>
        </w:drawing>
      </w:r>
    </w:p>
    <w:p>
      <w:pPr>
        <w:pStyle w:val="ImageCaption"/>
      </w:pPr>
      <w:r>
        <w:rPr>
          <w:bCs/>
          <w:b/>
        </w:rPr>
        <w:t xml:space="preserve">Algorithm 2.</w:t>
      </w:r>
      <w:r>
        <w:t xml:space="preserve"> </w:t>
      </w:r>
      <w:r>
        <w:t xml:space="preserve">The v2 pipeline and its feedback loop, as implemented (release 2.9.0); the steps are those of Figure 4.</w:t>
      </w:r>
    </w:p>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(Ahmed, 2026).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48"/>
    <w:bookmarkStart w:id="49" w:name="the-feedback-loop"/>
    <w:p>
      <w:pPr>
        <w:pStyle w:val="Heading2"/>
      </w:pPr>
      <w:r>
        <w:rPr>
          <w:rStyle w:val="SectionNumber"/>
        </w:rPr>
        <w:t xml:space="preserve">3.4</w:t>
      </w:r>
      <w:r>
        <w:tab/>
      </w:r>
      <w:r>
        <w:t xml:space="preserve">The feedback loop</w:t>
      </w:r>
    </w:p>
    <w:p>
      <w:pPr>
        <w:pStyle w:val="FirstParagraph"/>
      </w:pPr>
      <w:r>
        <w:t xml:space="preserve">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Reputation counts land in the transition’s hour, and a block keeps its latest outage failure time; however, a block’s statistic accumulates in processing order, and a verdict is dated at the event that completes the crossing; thus, a late event can backdate a verdict that contains later evidence, moving its expiry and the next test’s start (by 10 min in one diagnostic). Simulated runs apply events in time order, but concurrent live instances may not, because a transition is committed before its effects apply; thus, the same dependence holds live unless a block’s effects are serialized.</w:t>
      </w:r>
    </w:p>
    <w:bookmarkEnd w:id="49"/>
    <w:bookmarkStart w:id="52" w:name="destination-policies"/>
    <w:p>
      <w:pPr>
        <w:pStyle w:val="Heading2"/>
      </w:pPr>
      <w:r>
        <w:rPr>
          <w:rStyle w:val="SectionNumber"/>
        </w:rPr>
        <w:t xml:space="preserve">3.5</w:t>
      </w:r>
      <w:r>
        <w:tab/>
      </w:r>
      <w:r>
        <w:t xml:space="preserve">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bookmarkStart w:id="50" w:name="sequential-tests-1"/>
    <w:p>
      <w:pPr>
        <w:pStyle w:val="Heading3"/>
      </w:pPr>
      <w:r>
        <w:rPr>
          <w:rStyle w:val="SectionNumber"/>
        </w:rPr>
        <w:t xml:space="preserve">3.5.1</w:t>
      </w:r>
      <w:r>
        <w:tab/>
      </w:r>
      <w:r>
        <w:t xml:space="preserve">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(Google LLC, 2026; Web Incubator Community Group, 2026);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bookmarkEnd w:id="50"/>
    <w:bookmarkStart w:id="51" w:name="counters"/>
    <w:p>
      <w:pPr>
        <w:pStyle w:val="Heading3"/>
      </w:pPr>
      <w:r>
        <w:rPr>
          <w:rStyle w:val="SectionNumber"/>
        </w:rPr>
        <w:t xml:space="preserve">3.5.2</w:t>
      </w:r>
      <w:r>
        <w:tab/>
      </w:r>
      <w:r>
        <w:t xml:space="preserve">Counters</w:t>
      </w:r>
    </w:p>
    <w:p>
      <w:pPr>
        <w:pStyle w:val="FirstParagraph"/>
      </w:pP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We also explored a token bucket of the same rate (burst 4 or 12; its challenge-tier bucket refills independently, unlike RFC 2697’s (Heinanen and Guerin, 1999)) and the counter combined with the tests.</w:t>
      </w:r>
    </w:p>
    <w:bookmarkEnd w:id="51"/>
    <w:bookmarkEnd w:id="52"/>
    <w:bookmarkStart w:id="53" w:name="capacity-controls"/>
    <w:p>
      <w:pPr>
        <w:pStyle w:val="Heading2"/>
      </w:pPr>
      <w:r>
        <w:rPr>
          <w:rStyle w:val="SectionNumber"/>
        </w:rPr>
        <w:t xml:space="preserve">3.6</w:t>
      </w:r>
      <w:r>
        <w:tab/>
      </w:r>
      <w:r>
        <w:t xml:space="preserve">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53"/>
    <w:bookmarkStart w:id="54" w:name="leakage-estimates"/>
    <w:p>
      <w:pPr>
        <w:pStyle w:val="Heading2"/>
      </w:pPr>
      <w:r>
        <w:rPr>
          <w:rStyle w:val="SectionNumber"/>
        </w:rPr>
        <w:t xml:space="preserve">3.7</w:t>
      </w:r>
      <w:r>
        <w:tab/>
      </w:r>
      <w:r>
        <w:t xml:space="preserve">Leakage estimates</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54"/>
    <w:bookmarkEnd w:id="55"/>
    <w:bookmarkStart w:id="66" w:name="methodology"/>
    <w:p>
      <w:pPr>
        <w:pStyle w:val="Heading1"/>
      </w:pPr>
      <w:r>
        <w:rPr>
          <w:rStyle w:val="SectionNumber"/>
        </w:rPr>
        <w:t xml:space="preserve">4</w:t>
      </w:r>
      <w:r>
        <w:tab/>
      </w:r>
      <w:r>
        <w:t xml:space="preserve">Methodology</w:t>
      </w:r>
    </w:p>
    <w:p>
      <w:pPr>
        <w:pStyle w:val="FirstParagraph"/>
      </w:pPr>
      <w:r>
        <w:t xml:space="preserve">Figure 5 summarizes how we evaluated the design. Our implementation of Algorithm 2 runs inside an event-driven simulator against scripted attackers and simulated users, one run per design, attacker, workload and seed (Algorithm 3); we group the runs into studies under two protocols that we committed before their runs; and we score each run by what the attacker got through and by what legitimate users lost. The two dashed loops of the figure are the method’s two disciplines: settings selected on tuning seeds are frozen before they meet held-out seeds and workloads, and the leakage estimates derived from the rules alone (Section 3.7) are checked against the measurements. The rest of this section gives the implementation, the simulator, the protocols and the metrics in that order.</w:t>
      </w:r>
    </w:p>
    <w:p>
      <w:pPr>
        <w:pStyle w:val="CaptionedFigure"/>
      </w:pPr>
      <w:r>
        <w:drawing>
          <wp:inline>
            <wp:extent cx="5334000" cy="1505503"/>
            <wp:effectExtent b="0" l="0" r="0" t="0"/>
            <wp:docPr descr="" title="" id="57" name="Picture"/>
            <a:graphic>
              <a:graphicData uri="http://schemas.openxmlformats.org/drawingml/2006/picture">
                <pic:pic>
                  <pic:nvPicPr>
                    <pic:cNvPr descr="figures/fig11_method.png" id="58" name="Picture"/>
                    <pic:cNvPicPr>
                      <a:picLocks noChangeArrowheads="1" noChangeAspect="1"/>
                    </pic:cNvPicPr>
                  </pic:nvPicPr>
                  <pic:blipFill>
                    <a:blip r:embed="rId56"/>
                    <a:stretch>
                      <a:fillRect/>
                    </a:stretch>
                  </pic:blipFill>
                  <pic:spPr bwMode="auto">
                    <a:xfrm>
                      <a:off x="0" y="0"/>
                      <a:ext cx="5334000" cy="1505503"/>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The Evaluation Method: Inputs, Runs, Protocols and Metrics.</w:t>
      </w:r>
    </w:p>
    <w:bookmarkStart w:id="59" w:name="implementation"/>
    <w:p>
      <w:pPr>
        <w:pStyle w:val="Heading2"/>
      </w:pPr>
      <w:r>
        <w:rPr>
          <w:rStyle w:val="SectionNumber"/>
        </w:rPr>
        <w:t xml:space="preserve">4.1</w:t>
      </w:r>
      <w:r>
        <w:tab/>
      </w:r>
      <w:r>
        <w:t xml:space="preserve">Implementation</w:t>
      </w:r>
    </w:p>
    <w:p>
      <w:pPr>
        <w:pStyle w:val="FirstParagraph"/>
      </w:pPr>
      <w:r>
        <w:t xml:space="preserve">We implemented the pipeline of Algorithm 2 in about 4 000 lines of Python on in-memory and Redis backends. Up to release 2.8.3, the in-memory store that our simulator uses let a sorted set expire a fixed time after its first write, whereas Redis kept it while written to, so the simulated outage detector and Step 5 lost recent observations. Release 2.9.0 follows Redis in every rule we compared, which differential tests check, and we reran every study with it; in earlier releases we repaired seven replay and concurrency defects, each with a regression test. Of our 453 tests, 19 run against a real</w:t>
      </w:r>
      <w:r>
        <w:t xml:space="preserve"> </w:t>
      </w:r>
      <w:r>
        <w:rPr>
          <w:rStyle w:val="VerbatimChar"/>
        </w:rPr>
        <w:t xml:space="preserve">redis-server</w:t>
      </w:r>
      <w:r>
        <w:t xml:space="preserve"> </w:t>
      </w:r>
      <w:r>
        <w:t xml:space="preserve">and 18 exercise specific interleavings of two instances, not all. Step 11 is still not one transaction: a crash after its reservations leaks reserved slots or resolves the send as undelivered. The implementation is a research prototype.</w:t>
      </w:r>
    </w:p>
    <w:bookmarkEnd w:id="59"/>
    <w:bookmarkStart w:id="63" w:name="simulation"/>
    <w:p>
      <w:pPr>
        <w:pStyle w:val="Heading2"/>
      </w:pPr>
      <w:r>
        <w:rPr>
          <w:rStyle w:val="SectionNumber"/>
        </w:rPr>
        <w:t xml:space="preserve">4.2</w:t>
      </w:r>
      <w:r>
        <w:tab/>
      </w:r>
      <w:r>
        <w:t xml:space="preserve">Simulation</w:t>
      </w:r>
    </w:p>
    <w:p>
      <w:pPr>
        <w:pStyle w:val="FirstParagraph"/>
      </w:pPr>
      <w:r>
        <w:t xml:space="preserve">We run the pipeline against scripted vendor fakes on a simulated clock, as Algorithm 3 sets out: every exogenous quantity of a request is drawn before the pipeline sees it, from one random stream for legitimate traffic and another for the attacker, so every scenario at a seed, the attack-free one included, offers the same users, and our comparisons between scenarios are paired. After a warm-up of ten minutes (30 or 130 for pumping), the attack runs over legitimate traffic at 20 requests per minute. Our simulated users verify 80% of codes after a lognormal delay (median 22 s; 2 s for the 20% using autofill); 70% of numbers are reachable on WhatsApp; 90% of users complete a challenge; 20% are returning account holders with a stable fingerprint, a trusted number and verified history, so our results for returning users describe trusted identities only.</w:t>
      </w:r>
    </w:p>
    <w:p>
      <w:pPr>
        <w:pStyle w:val="CaptionedFigure"/>
      </w:pPr>
      <w:r>
        <w:drawing>
          <wp:inline>
            <wp:extent cx="5334000" cy="2289935"/>
            <wp:effectExtent b="0" l="0" r="0" t="0"/>
            <wp:docPr descr="" title="" id="61" name="Picture"/>
            <a:graphic>
              <a:graphicData uri="http://schemas.openxmlformats.org/drawingml/2006/picture">
                <pic:pic>
                  <pic:nvPicPr>
                    <pic:cNvPr descr="figures/alg3_sim.png" id="62" name="Picture"/>
                    <pic:cNvPicPr>
                      <a:picLocks noChangeArrowheads="1" noChangeAspect="1"/>
                    </pic:cNvPicPr>
                  </pic:nvPicPr>
                  <pic:blipFill>
                    <a:blip r:embed="rId60"/>
                    <a:stretch>
                      <a:fillRect/>
                    </a:stretch>
                  </pic:blipFill>
                  <pic:spPr bwMode="auto">
                    <a:xfrm>
                      <a:off x="0" y="0"/>
                      <a:ext cx="5334000" cy="2289935"/>
                    </a:xfrm>
                    <a:prstGeom prst="rect">
                      <a:avLst/>
                    </a:prstGeom>
                    <a:noFill/>
                    <a:ln w="9525">
                      <a:noFill/>
                      <a:headEnd/>
                      <a:tailEnd/>
                    </a:ln>
                  </pic:spPr>
                </pic:pic>
              </a:graphicData>
            </a:graphic>
          </wp:inline>
        </w:drawing>
      </w:r>
    </w:p>
    <w:p>
      <w:pPr>
        <w:pStyle w:val="ImageCaption"/>
      </w:pPr>
      <w:r>
        <w:rPr>
          <w:bCs/>
          <w:b/>
        </w:rPr>
        <w:t xml:space="preserve">Algorithm 3.</w:t>
      </w:r>
      <w:r>
        <w:t xml:space="preserve"> </w:t>
      </w:r>
      <w:r>
        <w:t xml:space="preserve">One simulation run, as our evaluation harness executes it (</w:t>
      </w:r>
      <w:r>
        <w:rPr>
          <w:rStyle w:val="VerbatimChar"/>
        </w:rPr>
        <w:t xml:space="preserve">src/otp_guard/evaluation/sim.py</w:t>
      </w:r>
      <w:r>
        <w:t xml:space="preserve">, release 2.9.0); the pipeline it calls is Algorithm 2.</w:t>
      </w:r>
    </w:p>
    <w:p>
      <w:pPr>
        <w:pStyle w:val="BodyText"/>
      </w:pPr>
      <w:r>
        <w:t xml:space="preserve">Three behavioral parameters have published counterparts: genuine conversion (one provider’s 68% or more (Twilio Inc., 2026b); ours 60%–90%) and the never-converting destinations and identity churn of Section 2; the rest are our assumptions. Table 2 groups the attacker profiles we scripted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our generator, not uncertainty about real traffic.</w:t>
      </w:r>
    </w:p>
    <w:p>
      <w:pPr>
        <w:pStyle w:val="TableCaption"/>
      </w:pPr>
      <w:r>
        <w:rPr>
          <w:bCs/>
          <w:b/>
        </w:rPr>
        <w:t xml:space="preserve">Table 2</w:t>
      </w:r>
      <w:r>
        <w:t xml:space="preserve"> </w:t>
      </w:r>
      <w:r>
        <w:br/>
        <w:t xml:space="preserve">Attacker Profiles, Capabilities, and Policies.</w:t>
      </w:r>
    </w:p>
    <w:tbl>
      <w:tblPr>
        <w:tblStyle w:val="Table"/>
        <w:tblW w:w="9071" w:type="dxa"/>
        <w:jc w:val="center"/>
        <w:tblLayout w:type="fixed"/>
        <w:tblCellMar>
          <w:left w:w="57" w:type="dxa"/>
          <w:right w:w="57" w:type="dxa"/>
        </w:tblCellMar>
        <w:tblLook w:firstRow="1" w:lastRow="0" w:firstColumn="0" w:lastColumn="0" w:noHBand="0" w:noVBand="0" w:val="0020"/>
        <w:tblCaption w:val="Table 2 TBLBRK Attacker Profiles, Capabilities, and Policies."/>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63"/>
    <w:bookmarkStart w:id="64" w:name="the-two-protocols"/>
    <w:p>
      <w:pPr>
        <w:pStyle w:val="Heading2"/>
      </w:pPr>
      <w:r>
        <w:rPr>
          <w:rStyle w:val="SectionNumber"/>
        </w:rPr>
        <w:t xml:space="preserve">4.3</w:t>
      </w:r>
      <w:r>
        <w:tab/>
      </w:r>
      <w:r>
        <w:t xml:space="preserve">The two protocols</w:t>
      </w:r>
    </w:p>
    <w:p>
      <w:pPr>
        <w:pStyle w:val="FirstParagraph"/>
      </w:pPr>
      <w:r>
        <w:t xml:space="preserve">We wrote two protocols and committed each before its runs; a supplementary map (</w:t>
      </w:r>
      <w:r>
        <w:rPr>
          <w:rStyle w:val="VerbatimChar"/>
        </w:rPr>
        <w:t xml:space="preserve">results/ study_map.md</w:t>
      </w:r>
      <w:r>
        <w:t xml:space="preserve">) gives each study’s seeds. The first fixed the matched comparison and a robustness study over 12 Latin-hypercube points (conversion 0.6–0.9 and five other behavioral parameters) and a held-out family (60 to 120 attack requests a minute, 50 000 to 500 000 addresses, heterogeneous legitimate traffic), with claims C1–C5 that we count as holding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We wrote the second protocol (claims K1–K5) after the matched comparison had selected three counters and committed it before its runs; six of its seed values had served other robustness points, never selection. We reran both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64"/>
    <w:bookmarkStart w:id="65" w:name="designs-and-metrics"/>
    <w:p>
      <w:pPr>
        <w:pStyle w:val="Heading2"/>
      </w:pPr>
      <w:r>
        <w:rPr>
          <w:rStyle w:val="SectionNumber"/>
        </w:rPr>
        <w:t xml:space="preserve">4.4</w:t>
      </w:r>
      <w:r>
        <w:tab/>
      </w:r>
      <w:r>
        <w:t xml:space="preserve">Designs and metrics</w:t>
      </w:r>
    </w:p>
    <w:p>
      <w:pPr>
        <w:pStyle w:val="FirstParagraph"/>
      </w:pPr>
      <w:r>
        <w:t xml:space="preserve">We evaluate 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We call a seed</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we call it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bookmarkEnd w:id="65"/>
    <w:bookmarkEnd w:id="66"/>
    <w:bookmarkStart w:id="93" w:name="results"/>
    <w:p>
      <w:pPr>
        <w:pStyle w:val="Heading1"/>
      </w:pPr>
      <w:r>
        <w:rPr>
          <w:rStyle w:val="SectionNumber"/>
        </w:rPr>
        <w:t xml:space="preserve">5</w:t>
      </w:r>
      <w:r>
        <w:tab/>
      </w:r>
      <w:r>
        <w:t xml:space="preserve">Results</w:t>
      </w:r>
    </w:p>
    <w:bookmarkStart w:id="67" w:name="what-is-contained"/>
    <w:p>
      <w:pPr>
        <w:pStyle w:val="Heading2"/>
      </w:pPr>
      <w:r>
        <w:rPr>
          <w:rStyle w:val="SectionNumber"/>
        </w:rPr>
        <w:t xml:space="preserve">5.1</w:t>
      </w:r>
      <w:r>
        <w:tab/>
      </w:r>
      <w:r>
        <w:t xml:space="preserve">What is contained</w:t>
      </w:r>
    </w:p>
    <w:p>
      <w:pPr>
        <w:pStyle w:val="TableCaption"/>
      </w:pPr>
      <w:r>
        <w:rPr>
          <w:bCs/>
          <w:b/>
        </w:rPr>
        <w:t xml:space="preserve">Table 3</w:t>
      </w:r>
      <w:r>
        <w:t xml:space="preserve"> </w:t>
      </w:r>
      <w:r>
        <w:br/>
        <w:t xml:space="preserve">Leakage and User Impact Across Designs.</w:t>
      </w:r>
    </w:p>
    <w:tbl>
      <w:tblPr>
        <w:tblStyle w:val="Table"/>
        <w:tblW w:w="9068" w:type="dxa"/>
        <w:jc w:val="center"/>
        <w:tblLayout w:type="fixed"/>
        <w:tblCellMar>
          <w:left w:w="57" w:type="dxa"/>
          <w:right w:w="57" w:type="dxa"/>
        </w:tblCellMar>
        <w:tblLook w:firstRow="0" w:lastRow="0" w:firstColumn="0" w:lastColumn="0" w:noHBand="0" w:noVBand="0" w:val="0000"/>
        <w:tblCaption w:val="Table 3 TBLBRK Leakage and User Impact Across Designs."/>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3 gives the leaked share (%, mean of per-run shares) of about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gives every design with intervals. Datacenter rotation leaks nothing under v2 because it scores in the challenge tier and declines challenges; Step 5 refuses the premium range, and the session cap holds the single client to two messages (Table 3);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67"/>
    <w:bookmarkStart w:id="68" w:name="what-each-layer-does"/>
    <w:p>
      <w:pPr>
        <w:pStyle w:val="Heading2"/>
      </w:pPr>
      <w:r>
        <w:rPr>
          <w:rStyle w:val="SectionNumber"/>
        </w:rPr>
        <w:t xml:space="preserve">5.2</w:t>
      </w:r>
      <w:r>
        <w:tab/>
      </w:r>
      <w:r>
        <w:t xml:space="preserve">What each layer does</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68"/>
    <w:bookmarkStart w:id="69" w:name="where-reputation-stops-separating"/>
    <w:p>
      <w:pPr>
        <w:pStyle w:val="Heading2"/>
      </w:pPr>
      <w:r>
        <w:rPr>
          <w:rStyle w:val="SectionNumber"/>
        </w:rPr>
        <w:t xml:space="preserve">5.3</w:t>
      </w:r>
      <w:r>
        <w:tab/>
      </w:r>
      <w:r>
        <w:t xml:space="preserve">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(Douceur, 2002).</w:t>
      </w:r>
    </w:p>
    <w:bookmarkEnd w:id="69"/>
    <w:bookmarkStart w:id="70" w:name="what-rationing-costs"/>
    <w:p>
      <w:pPr>
        <w:pStyle w:val="Heading2"/>
      </w:pPr>
      <w:r>
        <w:rPr>
          <w:rStyle w:val="SectionNumber"/>
        </w:rPr>
        <w:t xml:space="preserve">5.4</w:t>
      </w:r>
      <w:r>
        <w:tab/>
      </w:r>
      <w:r>
        <w:t xml:space="preserve">What rationing costs</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70"/>
    <w:bookmarkStart w:id="71" w:name="pumping-against-the-tests"/>
    <w:p>
      <w:pPr>
        <w:pStyle w:val="Heading2"/>
      </w:pPr>
      <w:r>
        <w:rPr>
          <w:rStyle w:val="SectionNumber"/>
        </w:rPr>
        <w:t xml:space="preserve">5.5</w:t>
      </w:r>
      <w:r>
        <w:tab/>
      </w:r>
      <w:r>
        <w:t xml:space="preserve">Pumping against the tests</w:t>
      </w:r>
    </w:p>
    <w:p>
      <w:pPr>
        <w:pStyle w:val="TableCaption"/>
      </w:pPr>
      <w:r>
        <w:rPr>
          <w:bCs/>
          <w:b/>
        </w:rPr>
        <w:t xml:space="preserve">Table 4</w:t>
      </w:r>
      <w:r>
        <w:t xml:space="preserve"> </w:t>
      </w:r>
      <w:r>
        <w:br/>
        <w:t xml:space="preserve">Containment Results for Concentrated Pumping Attacks.</w:t>
      </w:r>
    </w:p>
    <w:tbl>
      <w:tblPr>
        <w:tblStyle w:val="Table"/>
        <w:tblW w:w="9068" w:type="dxa"/>
        <w:jc w:val="center"/>
        <w:tblLayout w:type="fixed"/>
        <w:tblCellMar>
          <w:left w:w="57" w:type="dxa"/>
          <w:right w:w="57" w:type="dxa"/>
        </w:tblCellMar>
        <w:tblLook w:firstRow="0" w:lastRow="0" w:firstColumn="0" w:lastColumn="0" w:noHBand="0" w:noVBand="0" w:val="0000"/>
        <w:tblCaption w:val="Table 4 TBLBRK Containment Results for Concentrated Pumping Attacks."/>
      </w:tblPr>
      <w:tblGrid>
        <w:gridCol w:w="2918"/>
        <w:gridCol w:w="1735"/>
        <w:gridCol w:w="867"/>
        <w:gridCol w:w="1656"/>
        <w:gridCol w:w="1183"/>
        <w:gridCol w:w="709"/>
      </w:tblGrid>
      <w:tr>
        <w:tc>
          <w:tcPr>
            <w:tcW w:w="2918" w:type="dxa"/>
            <w:tcBorders>
              <w:top w:val="single" w:sz="8" w:color="000000"/>
            </w:tcBorders>
          </w:tcPr>
          <w:p>
            <w:pPr>
              <w:pStyle w:val="Compact"/>
              <w:spacing w:line="240" w:lineRule="auto" w:after="0"/>
              <w:jc w:val="left"/>
            </w:pPr>
            <w:r>
              <w:rPr>
                <w:sz w:val="17"/>
              </w:rPr>
              <w:t xml:space="preserve">Carrier, design</w:t>
            </w:r>
          </w:p>
        </w:tc>
        <w:tc>
          <w:tcPr>
            <w:tcW w:w="1735" w:type="dxa"/>
            <w:tcBorders>
              <w:top w:val="single" w:sz="8" w:color="000000"/>
            </w:tcBorders>
          </w:tcPr>
          <w:p>
            <w:pPr>
              <w:pStyle w:val="Compact"/>
              <w:spacing w:line="240" w:lineRule="auto" w:after="0"/>
              <w:jc w:val="left"/>
            </w:pPr>
            <w:r>
              <w:rPr>
                <w:sz w:val="17"/>
              </w:rPr>
              <w:t xml:space="preserve">Leaked</w:t>
            </w:r>
          </w:p>
        </w:tc>
        <w:tc>
          <w:tcPr>
            <w:tcW w:w="867" w:type="dxa"/>
            <w:tcBorders>
              <w:top w:val="single" w:sz="8" w:color="000000"/>
            </w:tcBorders>
          </w:tcPr>
          <w:p>
            <w:pPr>
              <w:pStyle w:val="Compact"/>
              <w:spacing w:line="240" w:lineRule="auto" w:after="0"/>
              <w:jc w:val="left"/>
            </w:pPr>
            <w:r>
              <w:rPr>
                <w:sz w:val="17"/>
              </w:rPr>
              <w:t xml:space="preserve">Contained</w:t>
            </w:r>
          </w:p>
        </w:tc>
        <w:tc>
          <w:tcPr>
            <w:tcW w:w="1656" w:type="dxa"/>
            <w:tcBorders>
              <w:top w:val="single" w:sz="8" w:color="000000"/>
            </w:tcBorders>
          </w:tcPr>
          <w:p>
            <w:pPr>
              <w:pStyle w:val="Compact"/>
              <w:spacing w:line="240" w:lineRule="auto" w:after="0"/>
              <w:jc w:val="left"/>
            </w:pPr>
            <w:r>
              <w:rPr>
                <w:sz w:val="17"/>
              </w:rPr>
              <w:t xml:space="preserve">Containment</w:t>
            </w:r>
          </w:p>
        </w:tc>
        <w:tc>
          <w:tcPr>
            <w:tcW w:w="1183" w:type="dxa"/>
            <w:tcBorders>
              <w:top w:val="single" w:sz="8" w:color="000000"/>
            </w:tcBorders>
          </w:tcPr>
          <w:p>
            <w:pPr>
              <w:pStyle w:val="Compact"/>
              <w:spacing w:line="240" w:lineRule="auto" w:after="0"/>
              <w:jc w:val="left"/>
            </w:pPr>
            <w:r>
              <w:rPr>
                <w:sz w:val="17"/>
              </w:rPr>
              <w:t xml:space="preserve">First verdict</w:t>
            </w:r>
          </w:p>
        </w:tc>
        <w:tc>
          <w:tcPr>
            <w:tcW w:w="709" w:type="dxa"/>
            <w:tcBorders>
              <w:top w:val="single" w:sz="8" w:color="000000"/>
            </w:tcBorders>
          </w:tcPr>
          <w:p>
            <w:pPr>
              <w:pStyle w:val="Compact"/>
              <w:spacing w:line="240" w:lineRule="auto" w:after="0"/>
              <w:jc w:val="right"/>
            </w:pPr>
            <w:r>
              <w:rPr>
                <w:sz w:val="17"/>
              </w:rPr>
              <w:t xml:space="preserve">Codes</w:t>
            </w:r>
          </w:p>
        </w:tc>
      </w:tr>
      <w:tr>
        <w:tc>
          <w:tcPr>
            <w:tcW w:w="2918" w:type="dxa"/>
            <w:tcBorders>
              <w:bottom w:val="single" w:sz="4" w:color="000000"/>
            </w:tcBorders>
          </w:tcPr>
          <w:p>
            <w:pPr>
              <w:pStyle w:val="Compact"/>
              <w:spacing w:line="240" w:lineRule="auto" w:after="0"/>
            </w:pPr>
          </w:p>
        </w:tc>
        <w:tc>
          <w:tcPr>
            <w:tcW w:w="1735" w:type="dxa"/>
            <w:tcBorders>
              <w:bottom w:val="single" w:sz="4" w:color="000000"/>
            </w:tcBorders>
          </w:tcPr>
          <w:p>
            <w:pPr>
              <w:pStyle w:val="Compact"/>
              <w:spacing w:line="240" w:lineRule="auto" w:after="0"/>
              <w:jc w:val="left"/>
            </w:pPr>
            <w:r>
              <w:rPr>
                <w:sz w:val="17"/>
              </w:rPr>
              <w:t xml:space="preserve">(msgs)</w:t>
            </w:r>
          </w:p>
        </w:tc>
        <w:tc>
          <w:tcPr>
            <w:tcW w:w="867" w:type="dxa"/>
            <w:tcBorders>
              <w:bottom w:val="single" w:sz="4" w:color="000000"/>
            </w:tcBorders>
          </w:tcPr>
          <w:p>
            <w:pPr>
              <w:pStyle w:val="Compact"/>
              <w:spacing w:line="240" w:lineRule="auto" w:after="0"/>
              <w:jc w:val="left"/>
            </w:pPr>
            <w:r>
              <w:rPr>
                <w:sz w:val="17"/>
              </w:rPr>
              <w:t xml:space="preserve">(seeds)</w:t>
            </w:r>
          </w:p>
        </w:tc>
        <w:tc>
          <w:tcPr>
            <w:tcW w:w="1656" w:type="dxa"/>
            <w:tcBorders>
              <w:bottom w:val="single" w:sz="4" w:color="000000"/>
            </w:tcBorders>
          </w:tcPr>
          <w:p>
            <w:pPr>
              <w:pStyle w:val="Compact"/>
              <w:spacing w:line="240" w:lineRule="auto" w:after="0"/>
              <w:jc w:val="left"/>
            </w:pPr>
            <w:r>
              <w:rPr>
                <w:sz w:val="17"/>
              </w:rPr>
              <w:t xml:space="preserve">(min)</w:t>
            </w:r>
          </w:p>
        </w:tc>
        <w:tc>
          <w:tcPr>
            <w:tcW w:w="1183" w:type="dxa"/>
            <w:tcBorders>
              <w:bottom w:val="single" w:sz="4" w:color="000000"/>
            </w:tcBorders>
          </w:tcPr>
          <w:p>
            <w:pPr>
              <w:pStyle w:val="Compact"/>
              <w:spacing w:line="240" w:lineRule="auto" w:after="0"/>
              <w:jc w:val="left"/>
            </w:pPr>
            <w:r>
              <w:rPr>
                <w:sz w:val="17"/>
              </w:rPr>
              <w:t xml:space="preserve">(min)</w:t>
            </w:r>
          </w:p>
        </w:tc>
        <w:tc>
          <w:tcPr>
            <w:tcW w:w="709" w:type="dxa"/>
            <w:tcBorders>
              <w:bottom w:val="single" w:sz="4" w:color="000000"/>
            </w:tcBorders>
          </w:tcPr>
          <w:p>
            <w:pPr>
              <w:pStyle w:val="Compact"/>
              <w:spacing w:line="240" w:lineRule="auto" w:after="0"/>
              <w:jc w:val="right"/>
            </w:pPr>
            <w:r>
              <w:rPr>
                <w:sz w:val="17"/>
              </w:rPr>
              <w:t xml:space="preserve">entered</w:t>
            </w:r>
          </w:p>
        </w:tc>
      </w:tr>
      <w:tr>
        <w:tc>
          <w:tcPr>
            <w:tcW w:w="2918" w:type="dxa"/>
          </w:tcPr>
          <w:p>
            <w:pPr>
              <w:pStyle w:val="Compact"/>
              <w:spacing w:line="240" w:lineRule="auto" w:after="0"/>
              <w:jc w:val="left"/>
            </w:pPr>
            <w:r>
              <w:rPr>
                <w:sz w:val="17"/>
              </w:rPr>
              <w:t xml:space="preserve">never verifies: v1</w:t>
            </w:r>
          </w:p>
        </w:tc>
        <w:tc>
          <w:tcPr>
            <w:tcW w:w="1735" w:type="dxa"/>
          </w:tcPr>
          <w:p>
            <w:pPr>
              <w:pStyle w:val="Compact"/>
              <w:spacing w:line="240" w:lineRule="auto" w:after="0"/>
              <w:jc w:val="left"/>
            </w:pPr>
            <w:r>
              <w:rPr>
                <w:sz w:val="17"/>
              </w:rPr>
              <w:t xml:space="preserve">570 [419, 736]</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v2 default</w:t>
            </w:r>
          </w:p>
        </w:tc>
        <w:tc>
          <w:tcPr>
            <w:tcW w:w="1735" w:type="dxa"/>
          </w:tcPr>
          <w:p>
            <w:pPr>
              <w:pStyle w:val="Compact"/>
              <w:spacing w:line="240" w:lineRule="auto" w:after="0"/>
              <w:jc w:val="left"/>
            </w:pPr>
            <w:r>
              <w:rPr>
                <w:sz w:val="17"/>
              </w:rPr>
              <w:t xml:space="preserve">90 [71, 114]</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3.5 [3.1, 3.9]</w:t>
            </w:r>
          </w:p>
        </w:tc>
        <w:tc>
          <w:tcPr>
            <w:tcW w:w="1183" w:type="dxa"/>
          </w:tcPr>
          <w:p>
            <w:pPr>
              <w:pStyle w:val="Compact"/>
              <w:spacing w:line="240" w:lineRule="auto" w:after="0"/>
              <w:jc w:val="left"/>
            </w:pPr>
            <w:r>
              <w:rPr>
                <w:sz w:val="17"/>
              </w:rPr>
              <w:t xml:space="preserve">3.0</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verifies within 1 s: v2 default</w:t>
            </w:r>
          </w:p>
        </w:tc>
        <w:tc>
          <w:tcPr>
            <w:tcW w:w="1735" w:type="dxa"/>
          </w:tcPr>
          <w:p>
            <w:pPr>
              <w:pStyle w:val="Compact"/>
              <w:spacing w:line="240" w:lineRule="auto" w:after="0"/>
              <w:jc w:val="left"/>
            </w:pPr>
            <w:r>
              <w:rPr>
                <w:sz w:val="17"/>
              </w:rPr>
              <w:t xml:space="preserve">19 [17, 21]</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1.4 [1.1, 1.7]</w:t>
            </w:r>
          </w:p>
        </w:tc>
        <w:tc>
          <w:tcPr>
            <w:tcW w:w="1183" w:type="dxa"/>
          </w:tcPr>
          <w:p>
            <w:pPr>
              <w:pStyle w:val="Compact"/>
              <w:spacing w:line="240" w:lineRule="auto" w:after="0"/>
              <w:jc w:val="left"/>
            </w:pPr>
            <w:r>
              <w:rPr>
                <w:sz w:val="17"/>
              </w:rPr>
              <w:t xml:space="preserve">0.4</w:t>
            </w:r>
          </w:p>
        </w:tc>
        <w:tc>
          <w:tcPr>
            <w:tcW w:w="709" w:type="dxa"/>
          </w:tcPr>
          <w:p>
            <w:pPr>
              <w:pStyle w:val="Compact"/>
              <w:spacing w:line="240" w:lineRule="auto" w:after="0"/>
              <w:jc w:val="right"/>
            </w:pPr>
            <w:r>
              <w:rPr>
                <w:sz w:val="17"/>
              </w:rPr>
              <w:t xml:space="preserve">19</w:t>
            </w:r>
          </w:p>
        </w:tc>
      </w:tr>
      <w:tr>
        <w:tc>
          <w:tcPr>
            <w:tcW w:w="2918" w:type="dxa"/>
          </w:tcPr>
          <w:p>
            <w:pPr>
              <w:pStyle w:val="Compact"/>
              <w:spacing w:line="240" w:lineRule="auto" w:after="0"/>
              <w:jc w:val="left"/>
            </w:pPr>
            <w:r>
              <w:rPr>
                <w:sz w:val="17"/>
              </w:rPr>
              <w:t xml:space="preserve">verifies 60% after 30 s: v2 default</w:t>
            </w:r>
          </w:p>
        </w:tc>
        <w:tc>
          <w:tcPr>
            <w:tcW w:w="1735" w:type="dxa"/>
          </w:tcPr>
          <w:p>
            <w:pPr>
              <w:pStyle w:val="Compact"/>
              <w:spacing w:line="240" w:lineRule="auto" w:after="0"/>
              <w:jc w:val="left"/>
            </w:pPr>
            <w:r>
              <w:rPr>
                <w:sz w:val="17"/>
              </w:rPr>
              <w:t xml:space="preserve">452 [365, 539]</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11.6</w:t>
            </w:r>
          </w:p>
        </w:tc>
        <w:tc>
          <w:tcPr>
            <w:tcW w:w="709" w:type="dxa"/>
          </w:tcPr>
          <w:p>
            <w:pPr>
              <w:pStyle w:val="Compact"/>
              <w:spacing w:line="240" w:lineRule="auto" w:after="0"/>
              <w:jc w:val="right"/>
            </w:pPr>
            <w:r>
              <w:rPr>
                <w:sz w:val="17"/>
              </w:rPr>
              <w:t xml:space="preserve">272</w:t>
            </w:r>
          </w:p>
        </w:tc>
      </w:tr>
      <w:tr>
        <w:tc>
          <w:tcPr>
            <w:tcW w:w="2918" w:type="dxa"/>
          </w:tcPr>
          <w:p>
            <w:pPr>
              <w:pStyle w:val="Compact"/>
              <w:spacing w:line="240" w:lineRule="auto" w:after="0"/>
              <w:jc w:val="left"/>
            </w:pPr>
            <w:r>
              <w:rPr>
                <w:sz w:val="17"/>
              </w:rPr>
              <w:t xml:space="preserve">v2 default, 60 min</w:t>
            </w:r>
          </w:p>
        </w:tc>
        <w:tc>
          <w:tcPr>
            <w:tcW w:w="1735" w:type="dxa"/>
          </w:tcPr>
          <w:p>
            <w:pPr>
              <w:pStyle w:val="Compact"/>
              <w:spacing w:line="240" w:lineRule="auto" w:after="0"/>
              <w:jc w:val="left"/>
            </w:pPr>
            <w:r>
              <w:rPr>
                <w:sz w:val="17"/>
              </w:rPr>
              <w:t xml:space="preserve">1 067 [839, 1 310]</w:t>
            </w:r>
          </w:p>
        </w:tc>
        <w:tc>
          <w:tcPr>
            <w:tcW w:w="867" w:type="dxa"/>
          </w:tcPr>
          <w:p>
            <w:pPr>
              <w:pStyle w:val="Compact"/>
              <w:spacing w:line="240" w:lineRule="auto" w:after="0"/>
              <w:jc w:val="left"/>
            </w:pPr>
            <w:r>
              <w:rPr>
                <w:sz w:val="17"/>
              </w:rPr>
              <w:t xml:space="preserve">2/10</w:t>
            </w:r>
          </w:p>
        </w:tc>
        <w:tc>
          <w:tcPr>
            <w:tcW w:w="1656" w:type="dxa"/>
          </w:tcPr>
          <w:p>
            <w:pPr>
              <w:pStyle w:val="Compact"/>
              <w:spacing w:line="240" w:lineRule="auto" w:after="0"/>
              <w:jc w:val="left"/>
            </w:pPr>
            <w:r>
              <w:rPr>
                <w:sz w:val="17"/>
              </w:rPr>
              <w:t xml:space="preserve">47.0 [42.0, 52.0]</w:t>
            </w:r>
          </w:p>
        </w:tc>
        <w:tc>
          <w:tcPr>
            <w:tcW w:w="1183" w:type="dxa"/>
          </w:tcPr>
          <w:p>
            <w:pPr>
              <w:pStyle w:val="Compact"/>
              <w:spacing w:line="240" w:lineRule="auto" w:after="0"/>
              <w:jc w:val="left"/>
            </w:pPr>
            <w:r>
              <w:rPr>
                <w:sz w:val="17"/>
              </w:rPr>
              <w:t xml:space="preserve">25.5</w:t>
            </w:r>
          </w:p>
        </w:tc>
        <w:tc>
          <w:tcPr>
            <w:tcW w:w="709" w:type="dxa"/>
          </w:tcPr>
          <w:p>
            <w:pPr>
              <w:pStyle w:val="Compact"/>
              <w:spacing w:line="240" w:lineRule="auto" w:after="0"/>
              <w:jc w:val="right"/>
            </w:pPr>
            <w:r>
              <w:rPr>
                <w:sz w:val="17"/>
              </w:rPr>
              <w:t xml:space="preserve">–</w:t>
            </w:r>
          </w:p>
        </w:tc>
      </w:tr>
      <w:tr>
        <w:tc>
          <w:tcPr>
            <w:tcW w:w="2918" w:type="dxa"/>
            <w:tcBorders>
              <w:bottom w:val="single" w:sz="8" w:color="000000"/>
            </w:tcBorders>
          </w:tcPr>
          <w:p>
            <w:pPr>
              <w:pStyle w:val="Compact"/>
              <w:spacing w:line="240" w:lineRule="auto" w:after="0"/>
              <w:jc w:val="left"/>
            </w:pPr>
            <w:r>
              <w:rPr>
                <w:sz w:val="17"/>
              </w:rPr>
              <w:t xml:space="preserve">buys challenges: v2 default</w:t>
            </w:r>
          </w:p>
        </w:tc>
        <w:tc>
          <w:tcPr>
            <w:tcW w:w="1735" w:type="dxa"/>
            <w:tcBorders>
              <w:bottom w:val="single" w:sz="8" w:color="000000"/>
            </w:tcBorders>
          </w:tcPr>
          <w:p>
            <w:pPr>
              <w:pStyle w:val="Compact"/>
              <w:spacing w:line="240" w:lineRule="auto" w:after="0"/>
              <w:jc w:val="left"/>
            </w:pPr>
            <w:r>
              <w:rPr>
                <w:sz w:val="17"/>
              </w:rPr>
              <w:t xml:space="preserve">106 [87, 127]</w:t>
            </w:r>
          </w:p>
        </w:tc>
        <w:tc>
          <w:tcPr>
            <w:tcW w:w="867" w:type="dxa"/>
            <w:tcBorders>
              <w:bottom w:val="single" w:sz="8" w:color="000000"/>
            </w:tcBorders>
          </w:tcPr>
          <w:p>
            <w:pPr>
              <w:pStyle w:val="Compact"/>
              <w:spacing w:line="240" w:lineRule="auto" w:after="0"/>
              <w:jc w:val="left"/>
            </w:pPr>
            <w:r>
              <w:rPr>
                <w:sz w:val="17"/>
              </w:rPr>
              <w:t xml:space="preserve">10/10</w:t>
            </w:r>
          </w:p>
        </w:tc>
        <w:tc>
          <w:tcPr>
            <w:tcW w:w="1656" w:type="dxa"/>
            <w:tcBorders>
              <w:bottom w:val="single" w:sz="8" w:color="000000"/>
            </w:tcBorders>
          </w:tcPr>
          <w:p>
            <w:pPr>
              <w:pStyle w:val="Compact"/>
              <w:spacing w:line="240" w:lineRule="auto" w:after="0"/>
              <w:jc w:val="left"/>
            </w:pPr>
            <w:r>
              <w:rPr>
                <w:sz w:val="17"/>
              </w:rPr>
              <w:t xml:space="preserve">4.3 [3.8, 4.9]</w:t>
            </w:r>
          </w:p>
        </w:tc>
        <w:tc>
          <w:tcPr>
            <w:tcW w:w="1183" w:type="dxa"/>
            <w:tcBorders>
              <w:bottom w:val="single" w:sz="8" w:color="000000"/>
            </w:tcBorders>
          </w:tcPr>
          <w:p>
            <w:pPr>
              <w:pStyle w:val="Compact"/>
              <w:spacing w:line="240" w:lineRule="auto" w:after="0"/>
              <w:jc w:val="left"/>
            </w:pPr>
            <w:r>
              <w:rPr>
                <w:sz w:val="17"/>
              </w:rPr>
              <w:t xml:space="preserve">3.0</w:t>
            </w:r>
          </w:p>
        </w:tc>
        <w:tc>
          <w:tcPr>
            <w:tcW w:w="709" w:type="dxa"/>
            <w:tcBorders>
              <w:bottom w:val="single" w:sz="8" w:color="000000"/>
            </w:tcBorders>
          </w:tcPr>
          <w:p>
            <w:pPr>
              <w:pStyle w:val="Compact"/>
              <w:spacing w:line="240" w:lineRule="auto" w:after="0"/>
              <w:jc w:val="right"/>
            </w:pPr>
            <w:r>
              <w:rPr>
                <w:sz w:val="17"/>
              </w:rPr>
              <w:t xml:space="preserve">0</w:t>
            </w:r>
          </w:p>
        </w:tc>
      </w:tr>
    </w:tbl>
    <w:p>
      <w:pPr>
        <w:pStyle w:val="BodyText"/>
      </w:pPr>
      <w:r>
        <w:t xml:space="preserve">Table 4 covers concentrated pumpers on three blocks with caps lifted over ten seeds: messages leaked of about 574 requests in 20 minutes, seeds contained, mean minutes to containment (contained seeds) and to the first verdict (seeds with one), and codes entered. The speed test catches a carrier verifying within a second at 19 messages, while the carrier verifying 60% with human-like delay is contained in none of the ten 20-minute runs: its first verdict comes at minute 11.6 on average and 452 messages leak; in an hour, 1 067 leak and two of ten runs are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 Unsaturated, Equation (2) errs by 1.6 to 7.9 messages per run (1%–13%, ten configurations); saturated, it overstates by up to 91.</w:t>
      </w:r>
    </w:p>
    <w:bookmarkEnd w:id="71"/>
    <w:bookmarkStart w:id="90" w:name="counting-against-testing"/>
    <w:p>
      <w:pPr>
        <w:pStyle w:val="Heading2"/>
      </w:pPr>
      <w:r>
        <w:rPr>
          <w:rStyle w:val="SectionNumber"/>
        </w:rPr>
        <w:t xml:space="preserve">5.6</w:t>
      </w:r>
      <w:r>
        <w:tab/>
      </w:r>
      <w:r>
        <w:t xml:space="preserve">Counting against testing</w:t>
      </w:r>
    </w:p>
    <w:p>
      <w:pPr>
        <w:pStyle w:val="CaptionedFigure"/>
      </w:pPr>
      <w:r>
        <w:drawing>
          <wp:inline>
            <wp:extent cx="5334000" cy="3411279"/>
            <wp:effectExtent b="0" l="0" r="0" t="0"/>
            <wp:docPr descr="" title="" id="73" name="Picture"/>
            <a:graphic>
              <a:graphicData uri="http://schemas.openxmlformats.org/drawingml/2006/picture">
                <pic:pic>
                  <pic:nvPicPr>
                    <pic:cNvPr descr="figures/fig6_matched_a.png" id="74" name="Picture"/>
                    <pic:cNvPicPr>
                      <a:picLocks noChangeArrowheads="1" noChangeAspect="1"/>
                    </pic:cNvPicPr>
                  </pic:nvPicPr>
                  <pic:blipFill>
                    <a:blip r:embed="rId72"/>
                    <a:stretch>
                      <a:fillRect/>
                    </a:stretch>
                  </pic:blipFill>
                  <pic:spPr bwMode="auto">
                    <a:xfrm>
                      <a:off x="0" y="0"/>
                      <a:ext cx="5334000" cy="341127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Leakage vs. Legitimate-User Completion Across Settings.</w:t>
      </w:r>
    </w:p>
    <w:p>
      <w:pPr>
        <w:pStyle w:val="CaptionedFigure"/>
      </w:pPr>
      <w:r>
        <w:drawing>
          <wp:inline>
            <wp:extent cx="5334000" cy="3793066"/>
            <wp:effectExtent b="0" l="0" r="0" t="0"/>
            <wp:docPr descr="" title="" id="76" name="Picture"/>
            <a:graphic>
              <a:graphicData uri="http://schemas.openxmlformats.org/drawingml/2006/picture">
                <pic:pic>
                  <pic:nvPicPr>
                    <pic:cNvPr descr="figures/fig6_matched_b.png" id="77" name="Picture"/>
                    <pic:cNvPicPr>
                      <a:picLocks noChangeArrowheads="1" noChangeAspect="1"/>
                    </pic:cNvPicPr>
                  </pic:nvPicPr>
                  <pic:blipFill>
                    <a:blip r:embed="rId75"/>
                    <a:stretch>
                      <a:fillRect/>
                    </a:stretch>
                  </pic:blipFill>
                  <pic:spPr bwMode="auto">
                    <a:xfrm>
                      <a:off x="0" y="0"/>
                      <a:ext cx="5334000" cy="379306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Leakage Difference from the Default Across Attack Types.</w:t>
      </w:r>
    </w:p>
    <w:p>
      <w:pPr>
        <w:pStyle w:val="TableCaption"/>
      </w:pPr>
      <w:r>
        <w:rPr>
          <w:bCs/>
          <w:b/>
        </w:rPr>
        <w:t xml:space="preserve">Table 5</w:t>
      </w:r>
      <w:r>
        <w:t xml:space="preserve"> </w:t>
      </w:r>
      <w:r>
        <w:br/>
        <w:t xml:space="preserve">Leakage and Benign-User Impact Across Carrier Types.</w:t>
      </w:r>
    </w:p>
    <w:tbl>
      <w:tblPr>
        <w:tblStyle w:val="Table"/>
        <w:tblW w:w="9069" w:type="dxa"/>
        <w:jc w:val="center"/>
        <w:tblLayout w:type="fixed"/>
        <w:tblCellMar>
          <w:left w:w="57" w:type="dxa"/>
          <w:right w:w="57" w:type="dxa"/>
        </w:tblCellMar>
        <w:tblLook w:firstRow="1" w:lastRow="0" w:firstColumn="0" w:lastColumn="0" w:noHBand="0" w:noVBand="0" w:val="0020"/>
        <w:tblCaption w:val="Table 5 TBLBRK Leakage and Benign-User Impact Across Carrier Types."/>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78" w:name="at-a-service-target"/>
    <w:p>
      <w:pPr>
        <w:pStyle w:val="Heading3"/>
      </w:pPr>
      <w:r>
        <w:rPr>
          <w:rStyle w:val="SectionNumber"/>
        </w:rPr>
        <w:t xml:space="preserve">5.6.1</w:t>
      </w:r>
      <w:r>
        <w:tab/>
      </w:r>
      <w:r>
        <w:t xml:space="preserve">At a service target</w:t>
      </w:r>
    </w:p>
    <w:p>
      <w:pPr>
        <w:pStyle w:val="FirstParagraph"/>
      </w:pPr>
      <w:r>
        <w:t xml:space="preserve">Table 5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Figure 6 plots each setting’s completion against its leakage summed over the four pumpers’ runs of a seed (not one combined attack), with the tuning target dotted. The figures name each setting by its rule, threshold and credit, so</w:t>
      </w:r>
      <w:r>
        <w:t xml:space="preserve"> </w:t>
      </w:r>
      <w:r>
        <w:rPr>
          <w:iCs/>
          <w:i/>
        </w:rPr>
        <w:t xml:space="preserve">T</w:t>
      </w:r>
      <w:r>
        <w:t xml:space="preserve">300,</w:t>
      </w:r>
      <w:r>
        <w:t xml:space="preserve"> </w:t>
      </w:r>
      <w:r>
        <w:rPr>
          <w:iCs/>
          <w:i/>
        </w:rPr>
        <w:t xml:space="preserve">c</w:t>
      </w:r>
      <w:r>
        <w:t xml:space="preserve">0 of Table 5 is the test with threshold 300 and no credit; the three points beside the default, one under its star, are sequential settings matched to the default’s false alarms at other credits (key:</w:t>
      </w:r>
      <w:r>
        <w:t xml:space="preserve"> </w:t>
      </w:r>
      <w:r>
        <w:rPr>
          <w:rStyle w:val="VerbatimChar"/>
        </w:rPr>
        <w:t xml:space="preserve">results/ figure1_key.md</w:t>
      </w:r>
      <w:r>
        <w:t xml:space="preserve">). Figure 7 gives, carrier by carrier, each selected setting’s leakage minus the default’s, paired per seed (left of zero: leaks less than the default).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With the full grid and density-specific attacks (E5) the rule selects the same counters, and so do other objectives on the tuning runs (worst-case leakage, a first-time-loss constraint, each attacker alone, 2 000 random mixes), except the instant verifier alone and 3 mixes at 200 blocks; on fresh seeds the counter leaked least of the winners against every attacker but the instant verifier (25, against 15 and 16). On seeds 300–309 the 1 000-block counter falls 0.12 points below its target, yet no seed-and-conversion cell fails the paired check (the evaluation default minus 0.5 points).</w:t>
      </w:r>
    </w:p>
    <w:p>
      <w:pPr>
        <w:pStyle w:val="TableCaption"/>
      </w:pPr>
      <w:r>
        <w:rPr>
          <w:bCs/>
          <w:b/>
        </w:rPr>
        <w:t xml:space="preserve">Table 6</w:t>
      </w:r>
      <w:r>
        <w:t xml:space="preserve"> </w:t>
      </w:r>
      <w:r>
        <w:br/>
        <w:t xml:space="preserve">Held-Out Evaluation of the Principal Counter.</w:t>
      </w:r>
    </w:p>
    <w:tbl>
      <w:tblPr>
        <w:tblStyle w:val="Table"/>
        <w:tblW w:w="9071" w:type="dxa"/>
        <w:jc w:val="center"/>
        <w:tblLayout w:type="fixed"/>
        <w:tblCellMar>
          <w:left w:w="57" w:type="dxa"/>
          <w:right w:w="57" w:type="dxa"/>
        </w:tblCellMar>
        <w:tblLook w:firstRow="1" w:lastRow="0" w:firstColumn="0" w:lastColumn="0" w:noHBand="0" w:noVBand="0" w:val="0020"/>
        <w:tblCaption w:val="Table 6 TBLBRK Held-Out Evaluation of the Principal Counter."/>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78"/>
    <w:bookmarkStart w:id="79" w:name="on-held-out-traffic"/>
    <w:p>
      <w:pPr>
        <w:pStyle w:val="Heading3"/>
      </w:pPr>
      <w:r>
        <w:rPr>
          <w:rStyle w:val="SectionNumber"/>
        </w:rPr>
        <w:t xml:space="preserve">5.6.2</w:t>
      </w:r>
      <w:r>
        <w:tab/>
      </w:r>
      <w:r>
        <w:t xml:space="preserve">On held-out traffic</w:t>
      </w:r>
    </w:p>
    <w:p>
      <w:pPr>
        <w:pStyle w:val="FirstParagraph"/>
      </w:pPr>
      <w:r>
        <w:t xml:space="preserve">Table 6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7</w:t>
      </w:r>
      <w:r>
        <w:t xml:space="preserve"> </w:t>
      </w:r>
      <w:r>
        <w:br/>
        <w:t xml:space="preserve">Leakage and User Harm Under Shared-Block Pumping.</w:t>
      </w:r>
    </w:p>
    <w:tbl>
      <w:tblPr>
        <w:tblStyle w:val="Table"/>
        <w:tblW w:w="9069" w:type="dxa"/>
        <w:jc w:val="center"/>
        <w:tblLayout w:type="fixed"/>
        <w:tblCellMar>
          <w:left w:w="57" w:type="dxa"/>
          <w:right w:w="57" w:type="dxa"/>
        </w:tblCellMar>
        <w:tblLook w:firstRow="0" w:lastRow="0" w:firstColumn="0" w:lastColumn="0" w:noHBand="0" w:noVBand="0" w:val="0000"/>
        <w:tblCaption w:val="Table 7 TBLBRK Leakage and User Harm Under Shared-Block Pumping."/>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
      <w:pPr>
        <w:pStyle w:val="TableCaption"/>
      </w:pPr>
      <w:r>
        <w:rPr>
          <w:bCs/>
          <w:b/>
        </w:rPr>
        <w:t xml:space="preserve">Table 8</w:t>
      </w:r>
      <w:r>
        <w:t xml:space="preserve"> </w:t>
      </w:r>
      <w:r>
        <w:br/>
        <w:t xml:space="preserve">User Harm Under a Full-Block Poisoning Attack.</w:t>
      </w:r>
    </w:p>
    <w:tbl>
      <w:tblPr>
        <w:tblStyle w:val="Table"/>
        <w:tblW w:w="9070" w:type="dxa"/>
        <w:jc w:val="center"/>
        <w:tblLayout w:type="fixed"/>
        <w:tblCellMar>
          <w:left w:w="57" w:type="dxa"/>
          <w:right w:w="57" w:type="dxa"/>
        </w:tblCellMar>
        <w:tblLook w:firstRow="0" w:lastRow="0" w:firstColumn="0" w:lastColumn="0" w:noHBand="0" w:noVBand="0" w:val="0000"/>
        <w:tblCaption w:val="Table 8 TBLBRK User Harm Under a Full-Block Poisoning Attack."/>
      </w:tblPr>
      <w:tblGrid>
        <w:gridCol w:w="3066"/>
        <w:gridCol w:w="1022"/>
        <w:gridCol w:w="2683"/>
        <w:gridCol w:w="2299"/>
      </w:tblGrid>
      <w:tr>
        <w:tc>
          <w:tcPr>
            <w:tcW w:w="3066" w:type="dxa"/>
            <w:tcBorders>
              <w:top w:val="single" w:sz="8" w:color="000000"/>
            </w:tcBorders>
          </w:tcPr>
          <w:p>
            <w:pPr>
              <w:pStyle w:val="Compact"/>
              <w:spacing w:line="240" w:lineRule="auto" w:after="0"/>
            </w:pPr>
          </w:p>
        </w:tc>
        <w:tc>
          <w:tcPr>
            <w:tcW w:w="1022" w:type="dxa"/>
            <w:tcBorders>
              <w:top w:val="single" w:sz="8" w:color="000000"/>
            </w:tcBorders>
          </w:tcPr>
          <w:p>
            <w:pPr>
              <w:pStyle w:val="Compact"/>
              <w:spacing w:line="240" w:lineRule="auto" w:after="0"/>
              <w:jc w:val="right"/>
            </w:pPr>
            <w:r>
              <w:rPr>
                <w:sz w:val="17"/>
              </w:rPr>
              <w:t xml:space="preserve">Leaked</w:t>
            </w:r>
          </w:p>
        </w:tc>
        <w:tc>
          <w:tcPr>
            <w:tcW w:w="4982" w:type="dxa"/>
            <w:gridSpan w:val="2"/>
            <w:tcBorders>
              <w:top w:val="single" w:sz="8" w:color="000000"/>
            </w:tcBorders>
          </w:tcPr>
          <w:p>
            <w:pPr>
              <w:pStyle w:val="Compact"/>
              <w:spacing w:line="240" w:lineRule="auto" w:after="0"/>
              <w:jc w:val="center"/>
            </w:pPr>
            <w:r>
              <w:rPr>
                <w:sz w:val="17"/>
              </w:rPr>
              <w:t xml:space="preserve">Extra harm against attacked,</w:t>
            </w:r>
          </w:p>
        </w:tc>
      </w:tr>
      <w:tr>
        <w:tc>
          <w:tcPr>
            <w:tcW w:w="3066" w:type="dxa"/>
          </w:tcPr>
          <w:p>
            <w:pPr>
              <w:pStyle w:val="Compact"/>
              <w:spacing w:line="240" w:lineRule="auto" w:after="0"/>
            </w:pPr>
          </w:p>
        </w:tc>
        <w:tc>
          <w:tcPr>
            <w:tcW w:w="1022" w:type="dxa"/>
          </w:tcPr>
          <w:p>
            <w:pPr>
              <w:pStyle w:val="Compact"/>
              <w:spacing w:line="240" w:lineRule="auto" w:after="0"/>
            </w:pPr>
          </w:p>
        </w:tc>
        <w:tc>
          <w:tcPr>
            <w:tcW w:w="4982" w:type="dxa"/>
            <w:gridSpan w:val="2"/>
          </w:tcPr>
          <w:p>
            <w:pPr>
              <w:pStyle w:val="Compact"/>
              <w:spacing w:line="240" w:lineRule="auto" w:after="0"/>
              <w:jc w:val="center"/>
            </w:pPr>
            <w:r>
              <w:rPr>
                <w:sz w:val="17"/>
              </w:rPr>
              <w:t xml:space="preserve">no policy</w:t>
            </w:r>
          </w:p>
        </w:tc>
      </w:tr>
      <w:tr>
        <w:tc>
          <w:tcPr>
            <w:tcW w:w="3066" w:type="dxa"/>
            <w:tcBorders>
              <w:bottom w:val="single" w:sz="4" w:color="000000"/>
            </w:tcBorders>
          </w:tcPr>
          <w:p>
            <w:pPr>
              <w:pStyle w:val="Compact"/>
              <w:spacing w:line="240" w:lineRule="auto" w:after="0"/>
              <w:jc w:val="left"/>
            </w:pPr>
            <w:r>
              <w:rPr>
                <w:sz w:val="17"/>
              </w:rPr>
              <w:t xml:space="preserve">Policy</w:t>
            </w:r>
          </w:p>
        </w:tc>
        <w:tc>
          <w:tcPr>
            <w:tcW w:w="1022" w:type="dxa"/>
            <w:tcBorders>
              <w:bottom w:val="single" w:sz="4" w:color="000000"/>
            </w:tcBorders>
          </w:tcPr>
          <w:p>
            <w:pPr>
              <w:pStyle w:val="Compact"/>
              <w:spacing w:line="240" w:lineRule="auto" w:after="0"/>
              <w:jc w:val="right"/>
            </w:pPr>
            <w:r>
              <w:rPr>
                <w:sz w:val="17"/>
              </w:rPr>
              <w:t xml:space="preserve">(SMS)</w:t>
            </w:r>
          </w:p>
        </w:tc>
        <w:tc>
          <w:tcPr>
            <w:tcW w:w="2683" w:type="dxa"/>
            <w:tcBorders>
              <w:bottom w:val="single" w:sz="4" w:color="000000"/>
            </w:tcBorders>
          </w:tcPr>
          <w:p>
            <w:pPr>
              <w:pStyle w:val="Compact"/>
              <w:spacing w:line="240" w:lineRule="auto" w:after="0"/>
              <w:jc w:val="right"/>
            </w:pPr>
            <w:r>
              <w:rPr>
                <w:sz w:val="17"/>
              </w:rPr>
              <w:t xml:space="preserve">all users</w:t>
            </w:r>
          </w:p>
        </w:tc>
        <w:tc>
          <w:tcPr>
            <w:tcW w:w="2299" w:type="dxa"/>
            <w:tcBorders>
              <w:bottom w:val="single" w:sz="4" w:color="000000"/>
            </w:tcBorders>
          </w:tcPr>
          <w:p>
            <w:pPr>
              <w:pStyle w:val="Compact"/>
              <w:spacing w:line="240" w:lineRule="auto" w:after="0"/>
              <w:jc w:val="right"/>
            </w:pPr>
            <w:r>
              <w:rPr>
                <w:sz w:val="17"/>
              </w:rPr>
              <w:t xml:space="preserve">first-time users</w:t>
            </w:r>
          </w:p>
        </w:tc>
      </w:tr>
      <w:tr>
        <w:tc>
          <w:tcPr>
            <w:tcW w:w="3066" w:type="dxa"/>
          </w:tcPr>
          <w:p>
            <w:pPr>
              <w:pStyle w:val="Compact"/>
              <w:spacing w:line="240" w:lineRule="auto" w:after="0"/>
              <w:jc w:val="left"/>
            </w:pPr>
            <w:r>
              <w:rPr>
                <w:sz w:val="17"/>
              </w:rPr>
              <w:t xml:space="preserve">none</w:t>
            </w:r>
          </w:p>
        </w:tc>
        <w:tc>
          <w:tcPr>
            <w:tcW w:w="1022" w:type="dxa"/>
          </w:tcPr>
          <w:p>
            <w:pPr>
              <w:pStyle w:val="Compact"/>
              <w:spacing w:line="240" w:lineRule="auto" w:after="0"/>
              <w:jc w:val="right"/>
            </w:pPr>
            <w:r>
              <w:rPr>
                <w:sz w:val="17"/>
              </w:rPr>
              <w:t xml:space="preserve">1 976</w:t>
            </w:r>
          </w:p>
        </w:tc>
        <w:tc>
          <w:tcPr>
            <w:tcW w:w="2683" w:type="dxa"/>
          </w:tcPr>
          <w:p>
            <w:pPr>
              <w:pStyle w:val="Compact"/>
              <w:spacing w:line="240" w:lineRule="auto" w:after="0"/>
              <w:jc w:val="right"/>
            </w:pPr>
            <w:r>
              <w:rPr>
                <w:sz w:val="17"/>
              </w:rPr>
              <w:t xml:space="preserve">–</w:t>
            </w:r>
          </w:p>
        </w:tc>
        <w:tc>
          <w:tcPr>
            <w:tcW w:w="2299" w:type="dxa"/>
          </w:tcPr>
          <w:p>
            <w:pPr>
              <w:pStyle w:val="Compact"/>
              <w:spacing w:line="240" w:lineRule="auto" w:after="0"/>
              <w:jc w:val="right"/>
            </w:pPr>
            <w:r>
              <w:rPr>
                <w:sz w:val="17"/>
              </w:rPr>
              <w:t xml:space="preserve">–</w:t>
            </w:r>
          </w:p>
        </w:tc>
      </w:tr>
      <w:tr>
        <w:tc>
          <w:tcPr>
            <w:tcW w:w="3066" w:type="dxa"/>
          </w:tcPr>
          <w:p>
            <w:pPr>
              <w:pStyle w:val="Compact"/>
              <w:spacing w:line="240" w:lineRule="auto" w:after="0"/>
              <w:jc w:val="left"/>
            </w:pPr>
            <w:r>
              <w:rPr>
                <w:sz w:val="17"/>
              </w:rPr>
              <w:t xml:space="preserve">sequential, default</w:t>
            </w:r>
          </w:p>
        </w:tc>
        <w:tc>
          <w:tcPr>
            <w:tcW w:w="1022" w:type="dxa"/>
          </w:tcPr>
          <w:p>
            <w:pPr>
              <w:pStyle w:val="Compact"/>
              <w:spacing w:line="240" w:lineRule="auto" w:after="0"/>
              <w:jc w:val="right"/>
            </w:pPr>
            <w:r>
              <w:rPr>
                <w:sz w:val="17"/>
              </w:rPr>
              <w:t xml:space="preserve">1 357</w:t>
            </w:r>
          </w:p>
        </w:tc>
        <w:tc>
          <w:tcPr>
            <w:tcW w:w="2683" w:type="dxa"/>
          </w:tcPr>
          <w:p>
            <w:pPr>
              <w:pStyle w:val="Compact"/>
              <w:spacing w:line="240" w:lineRule="auto" w:after="0"/>
              <w:jc w:val="right"/>
            </w:pPr>
            <w:r>
              <w:rPr>
                <w:sz w:val="17"/>
              </w:rPr>
              <w:t xml:space="preserve">1.09 [0.59, 1.59]</w:t>
            </w:r>
          </w:p>
        </w:tc>
        <w:tc>
          <w:tcPr>
            <w:tcW w:w="2299" w:type="dxa"/>
          </w:tcPr>
          <w:p>
            <w:pPr>
              <w:pStyle w:val="Compact"/>
              <w:spacing w:line="240" w:lineRule="auto" w:after="0"/>
              <w:jc w:val="right"/>
            </w:pPr>
            <w:r>
              <w:rPr>
                <w:sz w:val="17"/>
              </w:rPr>
              <w:t xml:space="preserve">1.36</w:t>
            </w:r>
          </w:p>
        </w:tc>
      </w:tr>
      <w:tr>
        <w:tc>
          <w:tcPr>
            <w:tcW w:w="3066"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022" w:type="dxa"/>
          </w:tcPr>
          <w:p>
            <w:pPr>
              <w:pStyle w:val="Compact"/>
              <w:spacing w:line="240" w:lineRule="auto" w:after="0"/>
              <w:jc w:val="right"/>
            </w:pPr>
            <w:r>
              <w:rPr>
                <w:sz w:val="17"/>
              </w:rPr>
              <w:t xml:space="preserve">858</w:t>
            </w:r>
          </w:p>
        </w:tc>
        <w:tc>
          <w:tcPr>
            <w:tcW w:w="2683" w:type="dxa"/>
          </w:tcPr>
          <w:p>
            <w:pPr>
              <w:pStyle w:val="Compact"/>
              <w:spacing w:line="240" w:lineRule="auto" w:after="0"/>
              <w:jc w:val="right"/>
            </w:pPr>
            <w:r>
              <w:rPr>
                <w:sz w:val="17"/>
              </w:rPr>
              <w:t xml:space="preserve">2.55 [2.04, 3.07]</w:t>
            </w:r>
          </w:p>
        </w:tc>
        <w:tc>
          <w:tcPr>
            <w:tcW w:w="2299" w:type="dxa"/>
          </w:tcPr>
          <w:p>
            <w:pPr>
              <w:pStyle w:val="Compact"/>
              <w:spacing w:line="240" w:lineRule="auto" w:after="0"/>
              <w:jc w:val="right"/>
            </w:pPr>
            <w:r>
              <w:rPr>
                <w:sz w:val="17"/>
              </w:rPr>
              <w:t xml:space="preserve">3.20</w:t>
            </w:r>
          </w:p>
        </w:tc>
      </w:tr>
      <w:tr>
        <w:tc>
          <w:tcPr>
            <w:tcW w:w="3066" w:type="dxa"/>
          </w:tcPr>
          <w:p>
            <w:pPr>
              <w:pStyle w:val="Compact"/>
              <w:spacing w:line="240" w:lineRule="auto" w:after="0"/>
              <w:jc w:val="left"/>
            </w:pPr>
            <w:r>
              <w:rPr>
                <w:sz w:val="17"/>
              </w:rPr>
              <w:t xml:space="preserve">counter, 4 per 10 min</w:t>
            </w:r>
          </w:p>
        </w:tc>
        <w:tc>
          <w:tcPr>
            <w:tcW w:w="1022" w:type="dxa"/>
          </w:tcPr>
          <w:p>
            <w:pPr>
              <w:pStyle w:val="Compact"/>
              <w:spacing w:line="240" w:lineRule="auto" w:after="0"/>
              <w:jc w:val="right"/>
            </w:pPr>
            <w:r>
              <w:rPr>
                <w:sz w:val="17"/>
              </w:rPr>
              <w:t xml:space="preserve">1 662</w:t>
            </w:r>
          </w:p>
        </w:tc>
        <w:tc>
          <w:tcPr>
            <w:tcW w:w="2683" w:type="dxa"/>
          </w:tcPr>
          <w:p>
            <w:pPr>
              <w:pStyle w:val="Compact"/>
              <w:spacing w:line="240" w:lineRule="auto" w:after="0"/>
              <w:jc w:val="right"/>
            </w:pPr>
            <w:r>
              <w:rPr>
                <w:sz w:val="17"/>
              </w:rPr>
              <w:t xml:space="preserve">0.72 [0.44, 1.02]</w:t>
            </w:r>
          </w:p>
        </w:tc>
        <w:tc>
          <w:tcPr>
            <w:tcW w:w="2299" w:type="dxa"/>
          </w:tcPr>
          <w:p>
            <w:pPr>
              <w:pStyle w:val="Compact"/>
              <w:spacing w:line="240" w:lineRule="auto" w:after="0"/>
              <w:jc w:val="right"/>
            </w:pPr>
            <w:r>
              <w:rPr>
                <w:sz w:val="17"/>
              </w:rPr>
              <w:t xml:space="preserve">0.91</w:t>
            </w:r>
          </w:p>
        </w:tc>
      </w:tr>
      <w:tr>
        <w:tc>
          <w:tcPr>
            <w:tcW w:w="3066" w:type="dxa"/>
          </w:tcPr>
          <w:p>
            <w:pPr>
              <w:pStyle w:val="Compact"/>
              <w:spacing w:line="240" w:lineRule="auto" w:after="0"/>
              <w:jc w:val="left"/>
            </w:pPr>
            <w:r>
              <w:rPr>
                <w:sz w:val="17"/>
              </w:rPr>
              <w:t xml:space="preserve">counter + sequential</w:t>
            </w:r>
          </w:p>
        </w:tc>
        <w:tc>
          <w:tcPr>
            <w:tcW w:w="1022" w:type="dxa"/>
          </w:tcPr>
          <w:p>
            <w:pPr>
              <w:pStyle w:val="Compact"/>
              <w:spacing w:line="240" w:lineRule="auto" w:after="0"/>
              <w:jc w:val="right"/>
            </w:pPr>
            <w:r>
              <w:rPr>
                <w:sz w:val="17"/>
              </w:rPr>
              <w:t xml:space="preserve">1 286</w:t>
            </w:r>
          </w:p>
        </w:tc>
        <w:tc>
          <w:tcPr>
            <w:tcW w:w="2683" w:type="dxa"/>
          </w:tcPr>
          <w:p>
            <w:pPr>
              <w:pStyle w:val="Compact"/>
              <w:spacing w:line="240" w:lineRule="auto" w:after="0"/>
              <w:jc w:val="right"/>
            </w:pPr>
            <w:r>
              <w:rPr>
                <w:sz w:val="17"/>
              </w:rPr>
              <w:t xml:space="preserve">1.43 [0.88, 1.97]</w:t>
            </w:r>
          </w:p>
        </w:tc>
        <w:tc>
          <w:tcPr>
            <w:tcW w:w="2299" w:type="dxa"/>
          </w:tcPr>
          <w:p>
            <w:pPr>
              <w:pStyle w:val="Compact"/>
              <w:spacing w:line="240" w:lineRule="auto" w:after="0"/>
              <w:jc w:val="right"/>
            </w:pPr>
            <w:r>
              <w:rPr>
                <w:sz w:val="17"/>
              </w:rPr>
              <w:t xml:space="preserve">1.79</w:t>
            </w:r>
          </w:p>
        </w:tc>
      </w:tr>
      <w:tr>
        <w:tc>
          <w:tcPr>
            <w:tcW w:w="3066" w:type="dxa"/>
          </w:tcPr>
          <w:p>
            <w:pPr>
              <w:pStyle w:val="Compact"/>
              <w:spacing w:line="240" w:lineRule="auto" w:after="0"/>
              <w:jc w:val="left"/>
            </w:pPr>
            <w:r>
              <w:rPr>
                <w:sz w:val="17"/>
              </w:rPr>
              <w:t xml:space="preserve">token bucket, burst 4</w:t>
            </w:r>
          </w:p>
        </w:tc>
        <w:tc>
          <w:tcPr>
            <w:tcW w:w="1022" w:type="dxa"/>
          </w:tcPr>
          <w:p>
            <w:pPr>
              <w:pStyle w:val="Compact"/>
              <w:spacing w:line="240" w:lineRule="auto" w:after="0"/>
              <w:jc w:val="right"/>
            </w:pPr>
            <w:r>
              <w:rPr>
                <w:sz w:val="17"/>
              </w:rPr>
              <w:t xml:space="preserve">1 877</w:t>
            </w:r>
          </w:p>
        </w:tc>
        <w:tc>
          <w:tcPr>
            <w:tcW w:w="2683" w:type="dxa"/>
          </w:tcPr>
          <w:p>
            <w:pPr>
              <w:pStyle w:val="Compact"/>
              <w:spacing w:line="240" w:lineRule="auto" w:after="0"/>
              <w:jc w:val="right"/>
            </w:pPr>
            <w:r>
              <w:rPr>
                <w:sz w:val="17"/>
              </w:rPr>
              <w:t xml:space="preserve">0.12 [0.04, 0.23]</w:t>
            </w:r>
          </w:p>
        </w:tc>
        <w:tc>
          <w:tcPr>
            <w:tcW w:w="2299" w:type="dxa"/>
          </w:tcPr>
          <w:p>
            <w:pPr>
              <w:pStyle w:val="Compact"/>
              <w:spacing w:line="240" w:lineRule="auto" w:after="0"/>
              <w:jc w:val="right"/>
            </w:pPr>
            <w:r>
              <w:rPr>
                <w:sz w:val="17"/>
              </w:rPr>
              <w:t xml:space="preserve">0.16</w:t>
            </w:r>
          </w:p>
        </w:tc>
      </w:tr>
      <w:tr>
        <w:tc>
          <w:tcPr>
            <w:tcW w:w="3066" w:type="dxa"/>
            <w:tcBorders>
              <w:bottom w:val="single" w:sz="8" w:color="000000"/>
            </w:tcBorders>
          </w:tcPr>
          <w:p>
            <w:pPr>
              <w:pStyle w:val="Compact"/>
              <w:spacing w:line="240" w:lineRule="auto" w:after="0"/>
              <w:jc w:val="left"/>
            </w:pPr>
            <w:r>
              <w:rPr>
                <w:sz w:val="17"/>
              </w:rPr>
              <w:t xml:space="preserve">token bucket, burst 12</w:t>
            </w:r>
          </w:p>
        </w:tc>
        <w:tc>
          <w:tcPr>
            <w:tcW w:w="1022" w:type="dxa"/>
            <w:tcBorders>
              <w:bottom w:val="single" w:sz="8" w:color="000000"/>
            </w:tcBorders>
          </w:tcPr>
          <w:p>
            <w:pPr>
              <w:pStyle w:val="Compact"/>
              <w:spacing w:line="240" w:lineRule="auto" w:after="0"/>
              <w:jc w:val="right"/>
            </w:pPr>
            <w:r>
              <w:rPr>
                <w:sz w:val="17"/>
              </w:rPr>
              <w:t xml:space="preserve">1 974</w:t>
            </w:r>
          </w:p>
        </w:tc>
        <w:tc>
          <w:tcPr>
            <w:tcW w:w="2683" w:type="dxa"/>
            <w:tcBorders>
              <w:bottom w:val="single" w:sz="8" w:color="000000"/>
            </w:tcBorders>
          </w:tcPr>
          <w:p>
            <w:pPr>
              <w:pStyle w:val="Compact"/>
              <w:spacing w:line="240" w:lineRule="auto" w:after="0"/>
              <w:jc w:val="right"/>
            </w:pPr>
            <w:r>
              <w:rPr>
                <w:sz w:val="17"/>
              </w:rPr>
              <w:t xml:space="preserve">0.00 [0.00, 0.00]</w:t>
            </w:r>
          </w:p>
        </w:tc>
        <w:tc>
          <w:tcPr>
            <w:tcW w:w="2299"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Tables 7 and 8 report E1 at 200 blocks (60-minute attacks, seeds 300–309): a pumper on three blocks real users share, and a poisoner flooding all 200 blocks. Leakage under the pumper is summed over the four carriers’ runs of a seed, which can hide a carrier on which a policy loses (per carrier: artifact); harm is net completions lost in points, averaged over the carriers (negative: a gain), with intervals for leakage and the attacked blocks in Table 7 and for all users’ extra harm in Table 8. In Table 7,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and under the poisoner (Table 8) cost all users most of the counters and buckets and leaked more than</w:t>
      </w:r>
      <w:r>
        <w:t xml:space="preserve"> </w:t>
      </w:r>
      <w:r>
        <w:rPr>
          <w:iCs/>
          <w:i/>
        </w:rPr>
        <w:t xml:space="preserve">T</w:t>
      </w:r>
      <w:r>
        <w:t xml:space="preserve">300,</w:t>
      </w:r>
      <w:r>
        <w:t xml:space="preserve"> </w:t>
      </w:r>
      <w:r>
        <w:rPr>
          <w:iCs/>
          <w:i/>
        </w:rPr>
        <w:t xml:space="preserve">c</w:t>
      </w:r>
      <w:r>
        <w:t xml:space="preserve">0. A token bucket with a burst of 4 spared the poisoner’s users only by letting almost everything through; with two untuned settings, neither limiter dominated, and we ranked only the implemented policies. Returning users, all simulated with verified history, lost nothing.</w:t>
      </w:r>
    </w:p>
    <w:bookmarkEnd w:id="79"/>
    <w:bookmarkStart w:id="89" w:name="the-counters-boundary"/>
    <w:p>
      <w:pPr>
        <w:pStyle w:val="Heading3"/>
      </w:pPr>
      <w:r>
        <w:rPr>
          <w:rStyle w:val="SectionNumber"/>
        </w:rPr>
        <w:t xml:space="preserve">5.6.3</w:t>
      </w:r>
      <w:r>
        <w:tab/>
      </w:r>
      <w:r>
        <w:t xml:space="preserve">The counter’s boundary</w:t>
      </w:r>
    </w:p>
    <w:p>
      <w:pPr>
        <w:pStyle w:val="FirstParagraph"/>
      </w:pPr>
      <w:r>
        <w:t xml:space="preserve">Figures 8–10 show the counter’s operating boundary (E4, seeds 300–304). Figure 8 plots the attributable loss of the three hot blocks’ users against their legitimate rate, attack-free and with a never-verifying pumper on those blocks; its horizontal axis is logarithmic, and lines join sampled settings without locating a crossover. Attack-free, the counter costs a block’s users nothing at one send per ten minutes, 2.3 points at four and 5.5 at eight, far below the idealized share beyond the quota (27% at four), since most challenged users complete or switch to WhatsApp; without WhatsApp, eight sends cost 13.2. A 30-minute launch at three times the normal rate costs its blocks’ users 16 points. With a pumper on the same blocks, both policies turn that cost into a gain at up to four sends per ten minutes (the counter 6 to 15 points, the tests 1 to 10), because without a policy the pumper exhausts those blocks and the hourly budget; at eight sends, both cost their users again, the counter 4 points and the tests 9.</w:t>
      </w:r>
    </w:p>
    <w:p>
      <w:pPr>
        <w:pStyle w:val="CaptionedFigure"/>
      </w:pPr>
      <w:r>
        <w:drawing>
          <wp:inline>
            <wp:extent cx="5334000" cy="4753643"/>
            <wp:effectExtent b="0" l="0" r="0" t="0"/>
            <wp:docPr descr="" title="" id="81" name="Picture"/>
            <a:graphic>
              <a:graphicData uri="http://schemas.openxmlformats.org/drawingml/2006/picture">
                <pic:pic>
                  <pic:nvPicPr>
                    <pic:cNvPr descr="figures/fig7a_service.png" id="82" name="Picture"/>
                    <pic:cNvPicPr>
                      <a:picLocks noChangeArrowheads="1" noChangeAspect="1"/>
                    </pic:cNvPicPr>
                  </pic:nvPicPr>
                  <pic:blipFill>
                    <a:blip r:embed="rId80"/>
                    <a:stretch>
                      <a:fillRect/>
                    </a:stretch>
                  </pic:blipFill>
                  <pic:spPr bwMode="auto">
                    <a:xfrm>
                      <a:off x="0" y="0"/>
                      <a:ext cx="5334000" cy="475364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Service Boundary of the Counter: the Hot Blocks’ Users.</w:t>
      </w:r>
    </w:p>
    <w:p>
      <w:pPr>
        <w:pStyle w:val="BodyText"/>
      </w:pPr>
      <w:r>
        <w:t xml:space="preserve">Figures 9 and 10 plot leakage in 20 and 60 minutes against the blocks a pumper uses, at full rate or paced to the quota, with Equations (2)–(4) for the full-rate pumper as hollow markers; both axes are logarithmic. In twenty minutes (Figure 9) the counter leaked 25 and 81 messages on 3 and 10 blocks where the tests leaked 110 and 144, the two leaked about the same on 30 blocks (235 against 242), and from 100 blocks on both approached the no-policy line of about 700. Over 60 minutes (Figure 10)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Once 7 messages sent, exempt, to real users’ trusted numbers are set aside, no counter run that started cold (44 of 100) exceeded Equation (3); three warm ones did, by 5 or 6 messages, and none exceeded Equation (4). With these unfitted inputs Equation (5) ordered the policies’ mean leakage in 18 of 18 decisive cells (two ties at</w:t>
      </w:r>
      <w:r>
        <w:t xml:space="preserve"> </w:t>
      </w:r>
      <m:oMath>
        <m:r>
          <m:t>N</m:t>
        </m:r>
      </m:oMath>
      <w:r>
        <w:t xml:space="preserve">), and with the warm-start term in 17, missing where the estimates differ by 0.8 messages (30 blocks, 20 minutes; measured difference 6.6 [−27.2, 42.4]); per seed, 76 of 78 decisive comparisons agree. The algebraic crossing lies near five blocks for an hour and 30 for twenty minutes, where the nearest measured differences (three and 30 blocks) do not exclude zero; it is not a measured switching point. Paced to the quota, a pumper leaks about as much under the counter as with no policy (71 against 72 on three blocks in an hour), and 23 under the tests.</w:t>
      </w:r>
    </w:p>
    <w:p>
      <w:pPr>
        <w:pStyle w:val="CaptionedFigure"/>
      </w:pPr>
      <w:r>
        <w:drawing>
          <wp:inline>
            <wp:extent cx="5334000" cy="6035703"/>
            <wp:effectExtent b="0" l="0" r="0" t="0"/>
            <wp:docPr descr="" title="" id="84" name="Picture"/>
            <a:graphic>
              <a:graphicData uri="http://schemas.openxmlformats.org/drawingml/2006/picture">
                <pic:pic>
                  <pic:nvPicPr>
                    <pic:cNvPr descr="figures/fig7b_security20.png" id="85" name="Picture"/>
                    <pic:cNvPicPr>
                      <a:picLocks noChangeArrowheads="1" noChangeAspect="1"/>
                    </pic:cNvPicPr>
                  </pic:nvPicPr>
                  <pic:blipFill>
                    <a:blip r:embed="rId83"/>
                    <a:stretch>
                      <a:fillRect/>
                    </a:stretch>
                  </pic:blipFill>
                  <pic:spPr bwMode="auto">
                    <a:xfrm>
                      <a:off x="0" y="0"/>
                      <a:ext cx="5334000" cy="6035703"/>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Security Boundary of the Counter: a 20-Minute Attack.</w:t>
      </w:r>
    </w:p>
    <w:p>
      <w:pPr>
        <w:pStyle w:val="CaptionedFigure"/>
      </w:pPr>
      <w:r>
        <w:drawing>
          <wp:inline>
            <wp:extent cx="5334000" cy="6035703"/>
            <wp:effectExtent b="0" l="0" r="0" t="0"/>
            <wp:docPr descr="" title="" id="87" name="Picture"/>
            <a:graphic>
              <a:graphicData uri="http://schemas.openxmlformats.org/drawingml/2006/picture">
                <pic:pic>
                  <pic:nvPicPr>
                    <pic:cNvPr descr="figures/fig7c_security60.png" id="88" name="Picture"/>
                    <pic:cNvPicPr>
                      <a:picLocks noChangeArrowheads="1" noChangeAspect="1"/>
                    </pic:cNvPicPr>
                  </pic:nvPicPr>
                  <pic:blipFill>
                    <a:blip r:embed="rId86"/>
                    <a:stretch>
                      <a:fillRect/>
                    </a:stretch>
                  </pic:blipFill>
                  <pic:spPr bwMode="auto">
                    <a:xfrm>
                      <a:off x="0" y="0"/>
                      <a:ext cx="5334000" cy="6035703"/>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Security Boundary of the Counter: a 60-Minute Attack.</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w:t>
      </w:r>
    </w:p>
    <w:bookmarkEnd w:id="89"/>
    <w:bookmarkEnd w:id="90"/>
    <w:bookmarkStart w:id="91" w:name="the-cost-to-legitimate-users"/>
    <w:p>
      <w:pPr>
        <w:pStyle w:val="Heading2"/>
      </w:pPr>
      <w:r>
        <w:rPr>
          <w:rStyle w:val="SectionNumber"/>
        </w:rPr>
        <w:t xml:space="preserve">5.7</w:t>
      </w:r>
      <w:r>
        <w:tab/>
      </w:r>
      <w:r>
        <w:t xml:space="preserve">The cost to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(6.3% without WhatsApp; 23.9% with a 24-hour denylist). One that stops after ten minutes leaves verdicts meeting 406.5 requests afterwards, an attributable loss of 46.2 [16.9, 79.8]. Grading limits the harm; it caps it neither at the challenge nor at the attack’s duration.</w:t>
      </w:r>
    </w:p>
    <w:bookmarkEnd w:id="91"/>
    <w:bookmarkStart w:id="92" w:name="adaptation-economics-and-overhead"/>
    <w:p>
      <w:pPr>
        <w:pStyle w:val="Heading2"/>
      </w:pPr>
      <w:r>
        <w:rPr>
          <w:rStyle w:val="SectionNumber"/>
        </w:rPr>
        <w:t xml:space="preserve">5.8</w:t>
      </w:r>
      <w:r>
        <w:tab/>
      </w:r>
      <w:r>
        <w:t xml:space="preserve">Adaptation, economics and overhead</w:t>
      </w:r>
    </w:p>
    <w:p>
      <w:pPr>
        <w:pStyle w:val="FirstParagraph"/>
      </w:pPr>
      <w:r>
        <w:t xml:space="preserve">The leakages of these scripted adaptations are not bounds. Against v2 with caps lifted, a datacenter attacker buying every challenge solution leaks 55, and a threshold-aware carrier and a receipt faker leak 570 each, drawing no verdict.</w:t>
      </w:r>
    </w:p>
    <w:p>
      <w:pPr>
        <w:pStyle w:val="BodyText"/>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w:t>
      </w:r>
    </w:p>
    <w:p>
      <w:pPr>
        <w:pStyle w:val="BodyText"/>
      </w:pPr>
      <w:r>
        <w:t xml:space="preserve">On a real Redis (four vCPUs, four workers), we measured sends at 13.8 ms (median) and 21.1 ms (99th percentile), and 133 requests per second passed at concurrency 128 with the 400 ms floor and 50 ms vendor calls. With fast vendors, response times distinguished no pair of five outcome classes (smallest Kolmogorov–Smirnov</w:t>
      </w:r>
      <w:r>
        <w:t xml:space="preserve"> </w:t>
      </w:r>
      <m:oMath>
        <m:r>
          <m:t>p</m:t>
        </m:r>
        <m:r>
          <m:rPr>
            <m:sty m:val="p"/>
          </m:rPr>
          <m:t>=</m:t>
        </m:r>
        <m:r>
          <m:t>0.051</m:t>
        </m:r>
      </m:oMath>
      <w:r>
        <w:t xml:space="preserve">). Under an adversarial mixture, 81% of sends overran the floor, and response-time thresholds separated sends from refusals with 88% balanced accuracy on the fitted run and, fitted on a new run, 95 to 99.9% on two others: a separation on that machine, not a deployment accuracy.</w:t>
      </w:r>
    </w:p>
    <w:bookmarkEnd w:id="92"/>
    <w:bookmarkEnd w:id="93"/>
    <w:bookmarkStart w:id="97" w:name="discussion-and-limitations"/>
    <w:p>
      <w:pPr>
        <w:pStyle w:val="Heading1"/>
      </w:pPr>
      <w:r>
        <w:rPr>
          <w:rStyle w:val="SectionNumber"/>
        </w:rPr>
        <w:t xml:space="preserve">6</w:t>
      </w:r>
      <w:r>
        <w:tab/>
      </w:r>
      <w:r>
        <w:t xml:space="preserve">Discussion and limitations</w:t>
      </w:r>
    </w:p>
    <w:bookmarkStart w:id="94" w:name="lessons"/>
    <w:p>
      <w:pPr>
        <w:pStyle w:val="Heading2"/>
      </w:pPr>
      <w:r>
        <w:rPr>
          <w:rStyle w:val="SectionNumber"/>
        </w:rPr>
        <w:t xml:space="preserve">6.1</w:t>
      </w:r>
      <w:r>
        <w:tab/>
      </w:r>
      <w:r>
        <w:t xml:space="preserve">Lessons</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over longer campaigns, verdicts expire and the tests leak again. Equation (5) summarizes this for pumpers that solve no challenge and hold no exemption. Its inputs are in an operator’s logs; the cost of an excess send, competition under attack, and exemption abuse come only from the simulation. The counter and tests together, with a quota set from each block’s traffic, is a hypothesis for real traffic, not a recommendation.</w:t>
      </w:r>
    </w:p>
    <w:bookmarkEnd w:id="94"/>
    <w:bookmarkStart w:id="95" w:name="against-the-benchmarks"/>
    <w:p>
      <w:pPr>
        <w:pStyle w:val="Heading2"/>
      </w:pPr>
      <w:r>
        <w:rPr>
          <w:rStyle w:val="SectionNumber"/>
        </w:rPr>
        <w:t xml:space="preserve">6.2</w:t>
      </w:r>
      <w:r>
        <w:tab/>
      </w:r>
      <w:r>
        <w:t xml:space="preserve">Against the benchmarks</w:t>
      </w:r>
    </w:p>
    <w:p>
      <w:pPr>
        <w:pStyle w:val="FirstParagraph"/>
      </w:pPr>
      <w:r>
        <w:t xml:space="preserve">Table 9 sets the seven designs of Section 4 against the nine source-side attackers on the same traffic and seeds, with source caps lifted so that only the behavioral layers act (intervals in supplementary Table S1). Each design adds one thing to the baseline, and the table says what it bought. Correcting the platform header alone (v1-corrected) changed only the forged-header attack, from 100% to 99.5%: that attacker is the farm with a header, and the header was never what held it. Sessions and a hard budget (budget-only) removed the single client’s leakage (5.6% to 0.3%) and cut the premium pumper’s from 99.4% to 94.9%, nothing else. A refusing counter of five sends per block a day (block-limit) held the premium pumper and the walked numbers to 1%, the two attacks that concentrate on a few blocks, and left the rest where v1 had them. The behavioral layers of v2, with either block test, were what removed datacenter rotation (69% to 0) and most of the reused profile (99.5% to 22.5%); the conversion and speed tests differ only on the walked numbers (11.5% against 13.3%). No design in the table separates the residential bot (37.2%) or the farm (99.5%): those are held only by the adaptive caps of Table 3, at the price Section 5.4 reports. On the destination, the in-study benchmarks are the no-policy and default arms of Tables 4, 5 and 7: against the never-verifying pumper v1 leaked 570 messages, the default tests 90 and the selected counter 24, and under the shared-block pumper of Table 7 the counter leaked 403 messages where the default tests leaked 1 149 and no policy 5 509, neither policy costing all users anything on average.</w:t>
      </w:r>
    </w:p>
    <w:p>
      <w:pPr>
        <w:pStyle w:val="TableCaption"/>
      </w:pPr>
      <w:r>
        <w:rPr>
          <w:bCs/>
          <w:b/>
        </w:rPr>
        <w:t xml:space="preserve">Table 9</w:t>
      </w:r>
      <w:r>
        <w:t xml:space="preserve"> </w:t>
      </w:r>
      <w:r>
        <w:br/>
        <w:t xml:space="preserve">In-Study Benchmarks: Leaked Share of Attack Requests by Design, Caps Lifted.</w:t>
      </w:r>
    </w:p>
    <w:tbl>
      <w:tblPr>
        <w:tblStyle w:val="Table"/>
        <w:tblW w:w="9068" w:type="dxa"/>
        <w:jc w:val="center"/>
        <w:tblLayout w:type="fixed"/>
        <w:tblCellMar>
          <w:left w:w="57" w:type="dxa"/>
          <w:right w:w="57" w:type="dxa"/>
        </w:tblCellMar>
        <w:tblLook w:firstRow="1" w:lastRow="0" w:firstColumn="0" w:lastColumn="0" w:noHBand="0" w:noVBand="0" w:val="0020"/>
        <w:tblCaption w:val="Table 9 TBLBRK In-Study Benchmarks: Leaked Share of Attack Requests by Design, Caps Lifted."/>
      </w:tblPr>
      <w:tblGrid>
        <w:gridCol w:w="2761"/>
        <w:gridCol w:w="920"/>
        <w:gridCol w:w="920"/>
        <w:gridCol w:w="1051"/>
        <w:gridCol w:w="788"/>
        <w:gridCol w:w="920"/>
        <w:gridCol w:w="920"/>
        <w:gridCol w:w="788"/>
      </w:tblGrid>
      <w:tr>
        <w:trPr>
          <w:tblHeader w:val="true"/>
        </w:trPr>
        <w:tc>
          <w:tcPr>
            <w:tcW w:w="2761" w:type="dxa"/>
            <w:tcBorders>
              <w:top w:val="single" w:sz="8" w:color="000000"/>
              <w:bottom w:val="single" w:sz="4" w:color="000000"/>
            </w:tcBorders>
          </w:tcPr>
          <w:p>
            <w:pPr>
              <w:pStyle w:val="Compact"/>
              <w:spacing w:line="240" w:lineRule="auto" w:after="0"/>
              <w:jc w:val="left"/>
            </w:pPr>
            <w:r>
              <w:rPr>
                <w:sz w:val="17"/>
              </w:rPr>
              <w:t xml:space="preserve">Attacker</w:t>
            </w:r>
          </w:p>
        </w:tc>
        <w:tc>
          <w:tcPr>
            <w:tcW w:w="920" w:type="dxa"/>
            <w:tcBorders>
              <w:top w:val="single" w:sz="8" w:color="000000"/>
              <w:bottom w:val="single" w:sz="4" w:color="000000"/>
            </w:tcBorders>
          </w:tcPr>
          <w:p>
            <w:pPr>
              <w:pStyle w:val="Compact"/>
              <w:spacing w:line="240" w:lineRule="auto" w:after="0"/>
              <w:jc w:val="right"/>
            </w:pPr>
            <w:r>
              <w:rPr>
                <w:sz w:val="17"/>
              </w:rPr>
              <w:t xml:space="preserve">v1</w:t>
            </w:r>
          </w:p>
        </w:tc>
        <w:tc>
          <w:tcPr>
            <w:tcW w:w="920" w:type="dxa"/>
            <w:tcBorders>
              <w:top w:val="single" w:sz="8" w:color="000000"/>
              <w:bottom w:val="single" w:sz="4" w:color="000000"/>
            </w:tcBorders>
          </w:tcPr>
          <w:p>
            <w:pPr>
              <w:pStyle w:val="Compact"/>
              <w:spacing w:line="240" w:lineRule="auto" w:after="0"/>
              <w:jc w:val="right"/>
            </w:pPr>
            <w:r>
              <w:rPr>
                <w:sz w:val="17"/>
              </w:rPr>
              <w:t xml:space="preserve">v1-c.</w:t>
            </w:r>
          </w:p>
        </w:tc>
        <w:tc>
          <w:tcPr>
            <w:tcW w:w="1051" w:type="dxa"/>
            <w:tcBorders>
              <w:top w:val="single" w:sz="8" w:color="000000"/>
              <w:bottom w:val="single" w:sz="4" w:color="000000"/>
            </w:tcBorders>
          </w:tcPr>
          <w:p>
            <w:pPr>
              <w:pStyle w:val="Compact"/>
              <w:spacing w:line="240" w:lineRule="auto" w:after="0"/>
              <w:jc w:val="right"/>
            </w:pPr>
            <w:r>
              <w:rPr>
                <w:sz w:val="17"/>
              </w:rPr>
              <w:t xml:space="preserve">budget</w:t>
            </w:r>
          </w:p>
        </w:tc>
        <w:tc>
          <w:tcPr>
            <w:tcW w:w="788" w:type="dxa"/>
            <w:tcBorders>
              <w:top w:val="single" w:sz="8" w:color="000000"/>
              <w:bottom w:val="single" w:sz="4" w:color="000000"/>
            </w:tcBorders>
          </w:tcPr>
          <w:p>
            <w:pPr>
              <w:pStyle w:val="Compact"/>
              <w:spacing w:line="240" w:lineRule="auto" w:after="0"/>
              <w:jc w:val="right"/>
            </w:pPr>
            <w:r>
              <w:rPr>
                <w:sz w:val="17"/>
              </w:rPr>
              <w:t xml:space="preserve">BL</w:t>
            </w:r>
          </w:p>
        </w:tc>
        <w:tc>
          <w:tcPr>
            <w:tcW w:w="920" w:type="dxa"/>
            <w:tcBorders>
              <w:top w:val="single" w:sz="8" w:color="000000"/>
              <w:bottom w:val="single" w:sz="4" w:color="000000"/>
            </w:tcBorders>
          </w:tcPr>
          <w:p>
            <w:pPr>
              <w:pStyle w:val="Compact"/>
              <w:spacing w:line="240" w:lineRule="auto" w:after="0"/>
              <w:jc w:val="right"/>
            </w:pPr>
            <w:r>
              <w:rPr>
                <w:sz w:val="17"/>
              </w:rPr>
              <w:t xml:space="preserve">conv.</w:t>
            </w:r>
          </w:p>
        </w:tc>
        <w:tc>
          <w:tcPr>
            <w:tcW w:w="920" w:type="dxa"/>
            <w:tcBorders>
              <w:top w:val="single" w:sz="8" w:color="000000"/>
              <w:bottom w:val="single" w:sz="4" w:color="000000"/>
            </w:tcBorders>
          </w:tcPr>
          <w:p>
            <w:pPr>
              <w:pStyle w:val="Compact"/>
              <w:spacing w:line="240" w:lineRule="auto" w:after="0"/>
              <w:jc w:val="right"/>
            </w:pPr>
            <w:r>
              <w:rPr>
                <w:sz w:val="17"/>
              </w:rPr>
              <w:t xml:space="preserve">speed</w:t>
            </w:r>
          </w:p>
        </w:tc>
        <w:tc>
          <w:tcPr>
            <w:tcW w:w="788" w:type="dxa"/>
            <w:tcBorders>
              <w:top w:val="single" w:sz="8" w:color="000000"/>
              <w:bottom w:val="single" w:sz="4" w:color="000000"/>
            </w:tcBorders>
          </w:tcPr>
          <w:p>
            <w:pPr>
              <w:pStyle w:val="Compact"/>
              <w:spacing w:line="240" w:lineRule="auto" w:after="0"/>
              <w:jc w:val="right"/>
            </w:pPr>
            <w:r>
              <w:rPr>
                <w:sz w:val="17"/>
              </w:rPr>
              <w:t xml:space="preserve">v2</w:t>
            </w:r>
          </w:p>
        </w:tc>
      </w:tr>
      <w:tr>
        <w:tc>
          <w:tcPr>
            <w:tcW w:w="2761" w:type="dxa"/>
          </w:tcPr>
          <w:p>
            <w:pPr>
              <w:pStyle w:val="Compact"/>
              <w:spacing w:line="240" w:lineRule="auto" w:after="0"/>
              <w:jc w:val="left"/>
            </w:pPr>
            <w:r>
              <w:rPr>
                <w:sz w:val="17"/>
              </w:rPr>
              <w:t xml:space="preserve">Single client</w:t>
            </w:r>
          </w:p>
        </w:tc>
        <w:tc>
          <w:tcPr>
            <w:tcW w:w="920" w:type="dxa"/>
          </w:tcPr>
          <w:p>
            <w:pPr>
              <w:pStyle w:val="Compact"/>
              <w:spacing w:line="240" w:lineRule="auto" w:after="0"/>
              <w:jc w:val="right"/>
            </w:pPr>
            <w:r>
              <w:rPr>
                <w:sz w:val="17"/>
              </w:rPr>
              <w:t xml:space="preserve">5.6</w:t>
            </w:r>
          </w:p>
        </w:tc>
        <w:tc>
          <w:tcPr>
            <w:tcW w:w="920" w:type="dxa"/>
          </w:tcPr>
          <w:p>
            <w:pPr>
              <w:pStyle w:val="Compact"/>
              <w:spacing w:line="240" w:lineRule="auto" w:after="0"/>
              <w:jc w:val="right"/>
            </w:pPr>
            <w:r>
              <w:rPr>
                <w:sz w:val="17"/>
              </w:rPr>
              <w:t xml:space="preserve">5.6</w:t>
            </w:r>
          </w:p>
        </w:tc>
        <w:tc>
          <w:tcPr>
            <w:tcW w:w="1051" w:type="dxa"/>
          </w:tcPr>
          <w:p>
            <w:pPr>
              <w:pStyle w:val="Compact"/>
              <w:spacing w:line="240" w:lineRule="auto" w:after="0"/>
              <w:jc w:val="right"/>
            </w:pPr>
            <w:r>
              <w:rPr>
                <w:sz w:val="17"/>
              </w:rPr>
              <w:t xml:space="preserve">0.3</w:t>
            </w:r>
          </w:p>
        </w:tc>
        <w:tc>
          <w:tcPr>
            <w:tcW w:w="788" w:type="dxa"/>
          </w:tcPr>
          <w:p>
            <w:pPr>
              <w:pStyle w:val="Compact"/>
              <w:spacing w:line="240" w:lineRule="auto" w:after="0"/>
              <w:jc w:val="right"/>
            </w:pPr>
            <w:r>
              <w:rPr>
                <w:sz w:val="17"/>
              </w:rPr>
              <w:t xml:space="preserve">0.3</w:t>
            </w:r>
          </w:p>
        </w:tc>
        <w:tc>
          <w:tcPr>
            <w:tcW w:w="920" w:type="dxa"/>
          </w:tcPr>
          <w:p>
            <w:pPr>
              <w:pStyle w:val="Compact"/>
              <w:spacing w:line="240" w:lineRule="auto" w:after="0"/>
              <w:jc w:val="right"/>
            </w:pPr>
            <w:r>
              <w:rPr>
                <w:sz w:val="17"/>
              </w:rPr>
              <w:t xml:space="preserve">0.3</w:t>
            </w:r>
          </w:p>
        </w:tc>
        <w:tc>
          <w:tcPr>
            <w:tcW w:w="920" w:type="dxa"/>
          </w:tcPr>
          <w:p>
            <w:pPr>
              <w:pStyle w:val="Compact"/>
              <w:spacing w:line="240" w:lineRule="auto" w:after="0"/>
              <w:jc w:val="right"/>
            </w:pPr>
            <w:r>
              <w:rPr>
                <w:sz w:val="17"/>
              </w:rPr>
              <w:t xml:space="preserve">0.3</w:t>
            </w:r>
          </w:p>
        </w:tc>
        <w:tc>
          <w:tcPr>
            <w:tcW w:w="788" w:type="dxa"/>
          </w:tcPr>
          <w:p>
            <w:pPr>
              <w:pStyle w:val="Compact"/>
              <w:spacing w:line="240" w:lineRule="auto" w:after="0"/>
              <w:jc w:val="right"/>
            </w:pPr>
            <w:r>
              <w:rPr>
                <w:sz w:val="17"/>
              </w:rPr>
              <w:t xml:space="preserve">0.3</w:t>
            </w:r>
          </w:p>
        </w:tc>
      </w:tr>
      <w:tr>
        <w:tc>
          <w:tcPr>
            <w:tcW w:w="2761" w:type="dxa"/>
          </w:tcPr>
          <w:p>
            <w:pPr>
              <w:pStyle w:val="Compact"/>
              <w:spacing w:line="240" w:lineRule="auto" w:after="0"/>
              <w:jc w:val="left"/>
            </w:pPr>
            <w:r>
              <w:rPr>
                <w:sz w:val="17"/>
              </w:rPr>
              <w:t xml:space="preserve">Datacenter rotation</w:t>
            </w:r>
          </w:p>
        </w:tc>
        <w:tc>
          <w:tcPr>
            <w:tcW w:w="920" w:type="dxa"/>
          </w:tcPr>
          <w:p>
            <w:pPr>
              <w:pStyle w:val="Compact"/>
              <w:spacing w:line="240" w:lineRule="auto" w:after="0"/>
              <w:jc w:val="right"/>
            </w:pPr>
            <w:r>
              <w:rPr>
                <w:sz w:val="17"/>
              </w:rPr>
              <w:t xml:space="preserve">69.0</w:t>
            </w:r>
          </w:p>
        </w:tc>
        <w:tc>
          <w:tcPr>
            <w:tcW w:w="920" w:type="dxa"/>
          </w:tcPr>
          <w:p>
            <w:pPr>
              <w:pStyle w:val="Compact"/>
              <w:spacing w:line="240" w:lineRule="auto" w:after="0"/>
              <w:jc w:val="right"/>
            </w:pPr>
            <w:r>
              <w:rPr>
                <w:sz w:val="17"/>
              </w:rPr>
              <w:t xml:space="preserve">69.0</w:t>
            </w:r>
          </w:p>
        </w:tc>
        <w:tc>
          <w:tcPr>
            <w:tcW w:w="1051" w:type="dxa"/>
          </w:tcPr>
          <w:p>
            <w:pPr>
              <w:pStyle w:val="Compact"/>
              <w:spacing w:line="240" w:lineRule="auto" w:after="0"/>
              <w:jc w:val="right"/>
            </w:pPr>
            <w:r>
              <w:rPr>
                <w:sz w:val="17"/>
              </w:rPr>
              <w:t xml:space="preserve">69.0</w:t>
            </w:r>
          </w:p>
        </w:tc>
        <w:tc>
          <w:tcPr>
            <w:tcW w:w="788" w:type="dxa"/>
          </w:tcPr>
          <w:p>
            <w:pPr>
              <w:pStyle w:val="Compact"/>
              <w:spacing w:line="240" w:lineRule="auto" w:after="0"/>
              <w:jc w:val="right"/>
            </w:pPr>
            <w:r>
              <w:rPr>
                <w:sz w:val="17"/>
              </w:rPr>
              <w:t xml:space="preserve">69.0</w:t>
            </w:r>
          </w:p>
        </w:tc>
        <w:tc>
          <w:tcPr>
            <w:tcW w:w="920" w:type="dxa"/>
          </w:tcPr>
          <w:p>
            <w:pPr>
              <w:pStyle w:val="Compact"/>
              <w:spacing w:line="240" w:lineRule="auto" w:after="0"/>
              <w:jc w:val="right"/>
            </w:pPr>
            <w:r>
              <w:rPr>
                <w:sz w:val="17"/>
              </w:rPr>
              <w:t xml:space="preserve">0.0</w:t>
            </w:r>
          </w:p>
        </w:tc>
        <w:tc>
          <w:tcPr>
            <w:tcW w:w="920" w:type="dxa"/>
          </w:tcPr>
          <w:p>
            <w:pPr>
              <w:pStyle w:val="Compact"/>
              <w:spacing w:line="240" w:lineRule="auto" w:after="0"/>
              <w:jc w:val="right"/>
            </w:pPr>
            <w:r>
              <w:rPr>
                <w:sz w:val="17"/>
              </w:rPr>
              <w:t xml:space="preserve">0.0</w:t>
            </w:r>
          </w:p>
        </w:tc>
        <w:tc>
          <w:tcPr>
            <w:tcW w:w="788" w:type="dxa"/>
          </w:tcPr>
          <w:p>
            <w:pPr>
              <w:pStyle w:val="Compact"/>
              <w:spacing w:line="240" w:lineRule="auto" w:after="0"/>
              <w:jc w:val="right"/>
            </w:pPr>
            <w:r>
              <w:rPr>
                <w:sz w:val="17"/>
              </w:rPr>
              <w:t xml:space="preserve">0.0</w:t>
            </w:r>
          </w:p>
        </w:tc>
      </w:tr>
      <w:tr>
        <w:tc>
          <w:tcPr>
            <w:tcW w:w="2761" w:type="dxa"/>
          </w:tcPr>
          <w:p>
            <w:pPr>
              <w:pStyle w:val="Compact"/>
              <w:spacing w:line="240" w:lineRule="auto" w:after="0"/>
              <w:jc w:val="left"/>
            </w:pPr>
            <w:r>
              <w:rPr>
                <w:sz w:val="17"/>
              </w:rPr>
              <w:t xml:space="preserve">Premium pumping</w:t>
            </w:r>
          </w:p>
        </w:tc>
        <w:tc>
          <w:tcPr>
            <w:tcW w:w="920" w:type="dxa"/>
          </w:tcPr>
          <w:p>
            <w:pPr>
              <w:pStyle w:val="Compact"/>
              <w:spacing w:line="240" w:lineRule="auto" w:after="0"/>
              <w:jc w:val="right"/>
            </w:pPr>
            <w:r>
              <w:rPr>
                <w:sz w:val="17"/>
              </w:rPr>
              <w:t xml:space="preserve">99.4</w:t>
            </w:r>
          </w:p>
        </w:tc>
        <w:tc>
          <w:tcPr>
            <w:tcW w:w="920" w:type="dxa"/>
          </w:tcPr>
          <w:p>
            <w:pPr>
              <w:pStyle w:val="Compact"/>
              <w:spacing w:line="240" w:lineRule="auto" w:after="0"/>
              <w:jc w:val="right"/>
            </w:pPr>
            <w:r>
              <w:rPr>
                <w:sz w:val="17"/>
              </w:rPr>
              <w:t xml:space="preserve">99.4</w:t>
            </w:r>
          </w:p>
        </w:tc>
        <w:tc>
          <w:tcPr>
            <w:tcW w:w="1051" w:type="dxa"/>
          </w:tcPr>
          <w:p>
            <w:pPr>
              <w:pStyle w:val="Compact"/>
              <w:spacing w:line="240" w:lineRule="auto" w:after="0"/>
              <w:jc w:val="right"/>
            </w:pPr>
            <w:r>
              <w:rPr>
                <w:sz w:val="17"/>
              </w:rPr>
              <w:t xml:space="preserve">94.9</w:t>
            </w:r>
          </w:p>
        </w:tc>
        <w:tc>
          <w:tcPr>
            <w:tcW w:w="788" w:type="dxa"/>
          </w:tcPr>
          <w:p>
            <w:pPr>
              <w:pStyle w:val="Compact"/>
              <w:spacing w:line="240" w:lineRule="auto" w:after="0"/>
              <w:jc w:val="right"/>
            </w:pPr>
            <w:r>
              <w:rPr>
                <w:sz w:val="17"/>
              </w:rPr>
              <w:t xml:space="preserve">1.0</w:t>
            </w:r>
          </w:p>
        </w:tc>
        <w:tc>
          <w:tcPr>
            <w:tcW w:w="920" w:type="dxa"/>
          </w:tcPr>
          <w:p>
            <w:pPr>
              <w:pStyle w:val="Compact"/>
              <w:spacing w:line="240" w:lineRule="auto" w:after="0"/>
              <w:jc w:val="right"/>
            </w:pPr>
            <w:r>
              <w:rPr>
                <w:sz w:val="17"/>
              </w:rPr>
              <w:t xml:space="preserve">0.0</w:t>
            </w:r>
          </w:p>
        </w:tc>
        <w:tc>
          <w:tcPr>
            <w:tcW w:w="920" w:type="dxa"/>
          </w:tcPr>
          <w:p>
            <w:pPr>
              <w:pStyle w:val="Compact"/>
              <w:spacing w:line="240" w:lineRule="auto" w:after="0"/>
              <w:jc w:val="right"/>
            </w:pPr>
            <w:r>
              <w:rPr>
                <w:sz w:val="17"/>
              </w:rPr>
              <w:t xml:space="preserve">0.0</w:t>
            </w:r>
          </w:p>
        </w:tc>
        <w:tc>
          <w:tcPr>
            <w:tcW w:w="788" w:type="dxa"/>
          </w:tcPr>
          <w:p>
            <w:pPr>
              <w:pStyle w:val="Compact"/>
              <w:spacing w:line="240" w:lineRule="auto" w:after="0"/>
              <w:jc w:val="right"/>
            </w:pPr>
            <w:r>
              <w:rPr>
                <w:sz w:val="17"/>
              </w:rPr>
              <w:t xml:space="preserve">0.0</w:t>
            </w:r>
          </w:p>
        </w:tc>
      </w:tr>
      <w:tr>
        <w:tc>
          <w:tcPr>
            <w:tcW w:w="2761" w:type="dxa"/>
          </w:tcPr>
          <w:p>
            <w:pPr>
              <w:pStyle w:val="Compact"/>
              <w:spacing w:line="240" w:lineRule="auto" w:after="0"/>
              <w:jc w:val="left"/>
            </w:pPr>
            <w:r>
              <w:rPr>
                <w:sz w:val="17"/>
              </w:rPr>
              <w:t xml:space="preserve">Sequential numbers</w:t>
            </w:r>
          </w:p>
        </w:tc>
        <w:tc>
          <w:tcPr>
            <w:tcW w:w="920" w:type="dxa"/>
          </w:tcPr>
          <w:p>
            <w:pPr>
              <w:pStyle w:val="Compact"/>
              <w:spacing w:line="240" w:lineRule="auto" w:after="0"/>
              <w:jc w:val="right"/>
            </w:pPr>
            <w:r>
              <w:rPr>
                <w:sz w:val="17"/>
              </w:rPr>
              <w:t xml:space="preserve">99.4</w:t>
            </w:r>
          </w:p>
        </w:tc>
        <w:tc>
          <w:tcPr>
            <w:tcW w:w="920" w:type="dxa"/>
          </w:tcPr>
          <w:p>
            <w:pPr>
              <w:pStyle w:val="Compact"/>
              <w:spacing w:line="240" w:lineRule="auto" w:after="0"/>
              <w:jc w:val="right"/>
            </w:pPr>
            <w:r>
              <w:rPr>
                <w:sz w:val="17"/>
              </w:rPr>
              <w:t xml:space="preserve">99.4</w:t>
            </w:r>
          </w:p>
        </w:tc>
        <w:tc>
          <w:tcPr>
            <w:tcW w:w="1051" w:type="dxa"/>
          </w:tcPr>
          <w:p>
            <w:pPr>
              <w:pStyle w:val="Compact"/>
              <w:spacing w:line="240" w:lineRule="auto" w:after="0"/>
              <w:jc w:val="right"/>
            </w:pPr>
            <w:r>
              <w:rPr>
                <w:sz w:val="17"/>
              </w:rPr>
              <w:t xml:space="preserve">99.4</w:t>
            </w:r>
          </w:p>
        </w:tc>
        <w:tc>
          <w:tcPr>
            <w:tcW w:w="788" w:type="dxa"/>
          </w:tcPr>
          <w:p>
            <w:pPr>
              <w:pStyle w:val="Compact"/>
              <w:spacing w:line="240" w:lineRule="auto" w:after="0"/>
              <w:jc w:val="right"/>
            </w:pPr>
            <w:r>
              <w:rPr>
                <w:sz w:val="17"/>
              </w:rPr>
              <w:t xml:space="preserve">1.0</w:t>
            </w:r>
          </w:p>
        </w:tc>
        <w:tc>
          <w:tcPr>
            <w:tcW w:w="920" w:type="dxa"/>
          </w:tcPr>
          <w:p>
            <w:pPr>
              <w:pStyle w:val="Compact"/>
              <w:spacing w:line="240" w:lineRule="auto" w:after="0"/>
              <w:jc w:val="right"/>
            </w:pPr>
            <w:r>
              <w:rPr>
                <w:sz w:val="17"/>
              </w:rPr>
              <w:t xml:space="preserve">11.5</w:t>
            </w:r>
          </w:p>
        </w:tc>
        <w:tc>
          <w:tcPr>
            <w:tcW w:w="920" w:type="dxa"/>
          </w:tcPr>
          <w:p>
            <w:pPr>
              <w:pStyle w:val="Compact"/>
              <w:spacing w:line="240" w:lineRule="auto" w:after="0"/>
              <w:jc w:val="right"/>
            </w:pPr>
            <w:r>
              <w:rPr>
                <w:sz w:val="17"/>
              </w:rPr>
              <w:t xml:space="preserve">13.3</w:t>
            </w:r>
          </w:p>
        </w:tc>
        <w:tc>
          <w:tcPr>
            <w:tcW w:w="788" w:type="dxa"/>
          </w:tcPr>
          <w:p>
            <w:pPr>
              <w:pStyle w:val="Compact"/>
              <w:spacing w:line="240" w:lineRule="auto" w:after="0"/>
              <w:jc w:val="right"/>
            </w:pPr>
            <w:r>
              <w:rPr>
                <w:sz w:val="17"/>
              </w:rPr>
              <w:t xml:space="preserve">11.5</w:t>
            </w:r>
          </w:p>
        </w:tc>
      </w:tr>
      <w:tr>
        <w:tc>
          <w:tcPr>
            <w:tcW w:w="2761" w:type="dxa"/>
          </w:tcPr>
          <w:p>
            <w:pPr>
              <w:pStyle w:val="Compact"/>
              <w:spacing w:line="240" w:lineRule="auto" w:after="0"/>
              <w:jc w:val="left"/>
            </w:pPr>
            <w:r>
              <w:rPr>
                <w:sz w:val="17"/>
              </w:rPr>
              <w:t xml:space="preserve">Reused profile</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22.5</w:t>
            </w:r>
          </w:p>
        </w:tc>
        <w:tc>
          <w:tcPr>
            <w:tcW w:w="920" w:type="dxa"/>
          </w:tcPr>
          <w:p>
            <w:pPr>
              <w:pStyle w:val="Compact"/>
              <w:spacing w:line="240" w:lineRule="auto" w:after="0"/>
              <w:jc w:val="right"/>
            </w:pPr>
            <w:r>
              <w:rPr>
                <w:sz w:val="17"/>
              </w:rPr>
              <w:t xml:space="preserve">22.5</w:t>
            </w:r>
          </w:p>
        </w:tc>
        <w:tc>
          <w:tcPr>
            <w:tcW w:w="788" w:type="dxa"/>
          </w:tcPr>
          <w:p>
            <w:pPr>
              <w:pStyle w:val="Compact"/>
              <w:spacing w:line="240" w:lineRule="auto" w:after="0"/>
              <w:jc w:val="right"/>
            </w:pPr>
            <w:r>
              <w:rPr>
                <w:sz w:val="17"/>
              </w:rPr>
              <w:t xml:space="preserve">22.5</w:t>
            </w:r>
          </w:p>
        </w:tc>
      </w:tr>
      <w:tr>
        <w:tc>
          <w:tcPr>
            <w:tcW w:w="2761" w:type="dxa"/>
          </w:tcPr>
          <w:p>
            <w:pPr>
              <w:pStyle w:val="Compact"/>
              <w:spacing w:line="240" w:lineRule="auto" w:after="0"/>
              <w:jc w:val="left"/>
            </w:pPr>
            <w:r>
              <w:rPr>
                <w:sz w:val="17"/>
              </w:rPr>
              <w:t xml:space="preserve">Residential bot</w:t>
            </w:r>
          </w:p>
        </w:tc>
        <w:tc>
          <w:tcPr>
            <w:tcW w:w="920"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1051" w:type="dxa"/>
          </w:tcPr>
          <w:p>
            <w:pPr>
              <w:pStyle w:val="Compact"/>
              <w:spacing w:line="240" w:lineRule="auto" w:after="0"/>
              <w:jc w:val="right"/>
            </w:pPr>
            <w:r>
              <w:rPr>
                <w:sz w:val="17"/>
              </w:rPr>
              <w:t xml:space="preserve">37.2</w:t>
            </w:r>
          </w:p>
        </w:tc>
        <w:tc>
          <w:tcPr>
            <w:tcW w:w="788"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788" w:type="dxa"/>
          </w:tcPr>
          <w:p>
            <w:pPr>
              <w:pStyle w:val="Compact"/>
              <w:spacing w:line="240" w:lineRule="auto" w:after="0"/>
              <w:jc w:val="right"/>
            </w:pPr>
            <w:r>
              <w:rPr>
                <w:sz w:val="17"/>
              </w:rPr>
              <w:t xml:space="preserve">37.2</w:t>
            </w:r>
          </w:p>
        </w:tc>
      </w:tr>
      <w:tr>
        <w:tc>
          <w:tcPr>
            <w:tcW w:w="2761" w:type="dxa"/>
          </w:tcPr>
          <w:p>
            <w:pPr>
              <w:pStyle w:val="Compact"/>
              <w:spacing w:line="240" w:lineRule="auto" w:after="0"/>
              <w:jc w:val="left"/>
            </w:pPr>
            <w:r>
              <w:rPr>
                <w:sz w:val="17"/>
              </w:rPr>
              <w:t xml:space="preserve">Farmed CAPTCHA</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r>
      <w:tr>
        <w:tc>
          <w:tcPr>
            <w:tcW w:w="2761" w:type="dxa"/>
          </w:tcPr>
          <w:p>
            <w:pPr>
              <w:pStyle w:val="Compact"/>
              <w:spacing w:line="240" w:lineRule="auto" w:after="0"/>
              <w:jc w:val="left"/>
            </w:pPr>
            <w:r>
              <w:rPr>
                <w:sz w:val="17"/>
              </w:rPr>
              <w:t xml:space="preserve">Aged fingerprints</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r>
      <w:tr>
        <w:tc>
          <w:tcPr>
            <w:tcW w:w="2761" w:type="dxa"/>
            <w:tcBorders>
              <w:bottom w:val="single" w:sz="8" w:color="000000"/>
            </w:tcBorders>
          </w:tcPr>
          <w:p>
            <w:pPr>
              <w:pStyle w:val="Compact"/>
              <w:spacing w:line="240" w:lineRule="auto" w:after="0"/>
              <w:jc w:val="left"/>
            </w:pPr>
            <w:r>
              <w:rPr>
                <w:sz w:val="17"/>
              </w:rPr>
              <w:t xml:space="preserve">Forged header</w:t>
            </w:r>
          </w:p>
        </w:tc>
        <w:tc>
          <w:tcPr>
            <w:tcW w:w="920" w:type="dxa"/>
            <w:tcBorders>
              <w:bottom w:val="single" w:sz="8" w:color="000000"/>
            </w:tcBorders>
          </w:tcPr>
          <w:p>
            <w:pPr>
              <w:pStyle w:val="Compact"/>
              <w:spacing w:line="240" w:lineRule="auto" w:after="0"/>
              <w:jc w:val="right"/>
            </w:pPr>
            <w:r>
              <w:rPr>
                <w:sz w:val="17"/>
              </w:rPr>
              <w:t xml:space="preserve">100.0</w:t>
            </w:r>
          </w:p>
        </w:tc>
        <w:tc>
          <w:tcPr>
            <w:tcW w:w="920" w:type="dxa"/>
            <w:tcBorders>
              <w:bottom w:val="single" w:sz="8" w:color="000000"/>
            </w:tcBorders>
          </w:tcPr>
          <w:p>
            <w:pPr>
              <w:pStyle w:val="Compact"/>
              <w:spacing w:line="240" w:lineRule="auto" w:after="0"/>
              <w:jc w:val="right"/>
            </w:pPr>
            <w:r>
              <w:rPr>
                <w:sz w:val="17"/>
              </w:rPr>
              <w:t xml:space="preserve">99.5</w:t>
            </w:r>
          </w:p>
        </w:tc>
        <w:tc>
          <w:tcPr>
            <w:tcW w:w="1051" w:type="dxa"/>
            <w:tcBorders>
              <w:bottom w:val="single" w:sz="8" w:color="000000"/>
            </w:tcBorders>
          </w:tcPr>
          <w:p>
            <w:pPr>
              <w:pStyle w:val="Compact"/>
              <w:spacing w:line="240" w:lineRule="auto" w:after="0"/>
              <w:jc w:val="right"/>
            </w:pPr>
            <w:r>
              <w:rPr>
                <w:sz w:val="17"/>
              </w:rPr>
              <w:t xml:space="preserve">99.5</w:t>
            </w:r>
          </w:p>
        </w:tc>
        <w:tc>
          <w:tcPr>
            <w:tcW w:w="788" w:type="dxa"/>
            <w:tcBorders>
              <w:bottom w:val="single" w:sz="8" w:color="000000"/>
            </w:tcBorders>
          </w:tcPr>
          <w:p>
            <w:pPr>
              <w:pStyle w:val="Compact"/>
              <w:spacing w:line="240" w:lineRule="auto" w:after="0"/>
              <w:jc w:val="right"/>
            </w:pPr>
            <w:r>
              <w:rPr>
                <w:sz w:val="17"/>
              </w:rPr>
              <w:t xml:space="preserve">99.5</w:t>
            </w:r>
          </w:p>
        </w:tc>
        <w:tc>
          <w:tcPr>
            <w:tcW w:w="920" w:type="dxa"/>
            <w:tcBorders>
              <w:bottom w:val="single" w:sz="8" w:color="000000"/>
            </w:tcBorders>
          </w:tcPr>
          <w:p>
            <w:pPr>
              <w:pStyle w:val="Compact"/>
              <w:spacing w:line="240" w:lineRule="auto" w:after="0"/>
              <w:jc w:val="right"/>
            </w:pPr>
            <w:r>
              <w:rPr>
                <w:sz w:val="17"/>
              </w:rPr>
              <w:t xml:space="preserve">99.5</w:t>
            </w:r>
          </w:p>
        </w:tc>
        <w:tc>
          <w:tcPr>
            <w:tcW w:w="920" w:type="dxa"/>
            <w:tcBorders>
              <w:bottom w:val="single" w:sz="8" w:color="000000"/>
            </w:tcBorders>
          </w:tcPr>
          <w:p>
            <w:pPr>
              <w:pStyle w:val="Compact"/>
              <w:spacing w:line="240" w:lineRule="auto" w:after="0"/>
              <w:jc w:val="right"/>
            </w:pPr>
            <w:r>
              <w:rPr>
                <w:sz w:val="17"/>
              </w:rPr>
              <w:t xml:space="preserve">99.5</w:t>
            </w:r>
          </w:p>
        </w:tc>
        <w:tc>
          <w:tcPr>
            <w:tcW w:w="788" w:type="dxa"/>
            <w:tcBorders>
              <w:bottom w:val="single" w:sz="8" w:color="000000"/>
            </w:tcBorders>
          </w:tcPr>
          <w:p>
            <w:pPr>
              <w:pStyle w:val="Compact"/>
              <w:spacing w:line="240" w:lineRule="auto" w:after="0"/>
              <w:jc w:val="right"/>
            </w:pPr>
            <w:r>
              <w:rPr>
                <w:sz w:val="17"/>
              </w:rPr>
              <w:t xml:space="preserve">99.5</w:t>
            </w:r>
          </w:p>
        </w:tc>
      </w:tr>
    </w:tbl>
    <w:p>
      <w:pPr>
        <w:pStyle w:val="BodyText"/>
      </w:pPr>
      <w:r>
        <w:t xml:space="preserve">The nearest external work is set out in Table 1, and it can be compared only on what each needs and reports, since none ran on the same traffic. Huh et al. (2025) report 89.6% recall at 0.19% false positives for a supervised model on one service’s real logs. The class of attack their model targets, a few requests per identity over many fresh identities, is the farm here, which the behavioral layers do not separate and the caps only ration, at 54% of first-time users refused; what the layers do contain without labels are the attacks with a signature in the request (0 to 11.5% leaked with caps lifted; the farm behind a forged header is the farm) and most of the reused profile. Zaliskyi and Odarchenko (2026) report that fixed-window prefix counts blocked 95% and 63% of two incidents at the price of 58% of a legitimate campaign. The graded counter here is the same family of control, a ten-minute window on a 10 000-number block with a challenge rather than a 24-hour quarantine; it leaked 24 of about 574 requests from each outcome-reading pumper at an attack-free cost of 0.06 points of completion, on simulated traffic with no campaigns in it, and it failed its service claims on blocks the attacker shares. Twilio’s products report claimed false-positive rates and no leakage. What we report that none of the three does is an attack-free benign cost, a cost under attack for the users who share a block with the attacker, a selection fixed before the evaluation runs and tested on held-out seeds and workloads, and an implementation anyone can run; what the three have and we lack is real traffic.</w:t>
      </w:r>
    </w:p>
    <w:bookmarkEnd w:id="95"/>
    <w:bookmarkStart w:id="96" w:name="limitations"/>
    <w:p>
      <w:pPr>
        <w:pStyle w:val="Heading2"/>
      </w:pPr>
      <w:r>
        <w:rPr>
          <w:rStyle w:val="SectionNumber"/>
        </w:rPr>
        <w:t xml:space="preserve">6.3</w:t>
      </w:r>
      <w:r>
        <w:tab/>
      </w:r>
      <w:r>
        <w:t xml:space="preserve">Limitations</w:t>
      </w:r>
    </w:p>
    <w:p>
      <w:pPr>
        <w:pStyle w:val="FirstParagraph"/>
      </w:pPr>
      <w:r>
        <w:t xml:space="preserve">We simulated everything and assumed the calibration. We wrote both protocols for our own generator, the second knowing which counters had won. Some results follow from the generator (a perfect premium list, a datacenter attacker that declines challenges, returning users who always present verified history), and our selection rule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96"/>
    <w:bookmarkEnd w:id="97"/>
    <w:bookmarkStart w:id="98" w:name="conclusions-and-future-work"/>
    <w:p>
      <w:pPr>
        <w:pStyle w:val="Heading1"/>
      </w:pPr>
      <w:r>
        <w:rPr>
          <w:rStyle w:val="SectionNumber"/>
        </w:rPr>
        <w:t xml:space="preserve">7</w:t>
      </w:r>
      <w:r>
        <w:tab/>
      </w:r>
      <w:r>
        <w:t xml:space="preserve">Conclusions and future work</w:t>
      </w:r>
    </w:p>
    <w:p>
      <w:pPr>
        <w:pStyle w:val="FirstParagraph"/>
      </w:pPr>
      <w:r>
        <w:t xml:space="preserve">We asked how a service that verifies phone numbers by SMS should defend an endpoint that must answer strangers, and in particular which of two label-free destination signals, the number of sends to a number block or the outcomes of the codes sent, it should act on when a pumper is paid on the destination. We answered it in simulation: we ran our twelve-step redesign of a seven-control baseline against 25 scripted attacker profiles and six other designs, and compared the two destination policies under two protocols we committed before their runs, with the cost to legitimate users made part of the result.</w:t>
      </w:r>
    </w:p>
    <w:p>
      <w:pPr>
        <w:pStyle w:val="BodyText"/>
      </w:pPr>
      <w:r>
        <w:t xml:space="preserve">On the source side, our design contains the attacks that carry a signature in the request, a single address, a datacenter range or a premium prefix, at a low cost to simulated users, holds walked numbers and a reused profile to 11.5% and 22.5% of their requests, and the ablation attributes these gains to the adaptive caps, the risk engine, the feedback loop and the block key. Against a residential attacker that resembles a person, outcome-based reputation stops separating once its failures land on keys that legitimate users share; in the settings run, it separated an attacker only on keys its sends dominated. What remains is rationing, whose cost depends on how well the cap tracks the legitimate rate: the deployed job leaked 193 messages with a clean three-week profile and 340 more on a cold start, while the default cap refused 41% of legitimate users. On the destination, counting sends leaked less in aggregate than our outcome tests against concentrated pumpers, although not reliably against an instantly verifying carrier; the frozen counter failed its service claims when the attacker shared blocks with real users and lost its advantage against wide, paced and trust-building pumpers. Within an hour, unfitted estimates ordered the policies’ mean leakage in 18 of 18 decisive boundary cells with the cold-start bound and 17 with the warm-start bound, missing a near tie; the crossing was algebraic, not a measured switching point. Without an attack, the default tests raise 0.5 verdict events a day on 200 busy blocks at 80% conversion and 6.5 at 65%, and a counter of four sends per ten minutes costs a block’s users 2.3 points.</w:t>
      </w:r>
    </w:p>
    <w:p>
      <w:pPr>
        <w:pStyle w:val="BodyText"/>
      </w:pPr>
      <w:r>
        <w:t xml:space="preserve">Against the six benchmark designs run on the same traffic (Section 6.2), the behavioral layers are what removed datacenter rotation and most of the reused profile, a per-block counter alone held the premium and walked-number attacks, and no design separated the residential farm. For an operator, the practical content is an ordering, not a recommendation. Against short, concentrated pumping on a few blocks, a counter of sends per block whose quota matches the block’s legitimate traffic leaked less than tests of code outcomes and cost its users less, and the inputs of the estimate that orders the two, the attack rate, the blocks touched and the time a send stays unresolved, are in an operator’s logs; the cost of an excess send, the competition for a quota on a shared block and the abuse of exemptions come only from the simulation. The quota must match the traffic: counters selected for sparser blocks cost 4.7 and 5.8 points on busier ones even without an attack. Every number describes scripted attackers and simulated users under assumed calibration, not real traffic, and close rankings rest on ten or fewer seeds.</w:t>
      </w:r>
    </w:p>
    <w:p>
      <w:pPr>
        <w:pStyle w:val="BodyText"/>
      </w:pPr>
      <w:r>
        <w:t xml:space="preserve">Replaying real traffic is the experiment our work most needs: it would test the assumed calibration, the cost of an excess send to users who share a block, and the quota a counter needs per block. The policies left outside the evaluation, per-client quotas within a block, bounded exemptions, tuned token buckets and windowed or time-uniform statistics, could then be compared under the same predeclared protocols.</w:t>
      </w:r>
    </w:p>
    <w:bookmarkEnd w:id="98"/>
    <w:bookmarkStart w:id="99" w:name="X071796dd6bc546c91e96cca1cf5ff96599de61f"/>
    <w:p>
      <w:pPr>
        <w:pStyle w:val="Heading1"/>
      </w:pPr>
      <w:r>
        <w:t xml:space="preserve">Declaration of generative AI and AI-assisted technologies in the writing process</w:t>
      </w:r>
    </w:p>
    <w:p>
      <w:pPr>
        <w:pStyle w:val="FirstParagraph"/>
      </w:pPr>
      <w:r>
        <w:t xml:space="preserve">The author used Claude (Anthropic) for code, evaluation, drafting and editing; checked numbers against the recorded results and claims against the code; and takes full responsibility for the content.</w:t>
      </w:r>
    </w:p>
    <w:bookmarkEnd w:id="99"/>
    <w:bookmarkStart w:id="100" w:name="credit-authorship-contribution-statement"/>
    <w:p>
      <w:pPr>
        <w:pStyle w:val="Heading1"/>
      </w:pPr>
      <w:r>
        <w:t xml:space="preserve">CRediT authorship contribution statement</w:t>
      </w:r>
    </w:p>
    <w:p>
      <w:pPr>
        <w:pStyle w:val="FirstParagraph"/>
      </w:pPr>
      <w:r>
        <w:rPr>
          <w:bCs/>
          <w:b/>
        </w:rPr>
        <w:t xml:space="preserve">Naveed Ahmed:</w:t>
      </w:r>
      <w:r>
        <w:t xml:space="preserve"> </w:t>
      </w:r>
      <w:r>
        <w:t xml:space="preserve">Conceptualization, Methodology, Software, Validation, Investigation, Writing – original draft, Writing – review &amp; editing.</w:t>
      </w:r>
    </w:p>
    <w:bookmarkEnd w:id="100"/>
    <w:bookmarkStart w:id="101"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this work.</w:t>
      </w:r>
    </w:p>
    <w:bookmarkEnd w:id="101"/>
    <w:bookmarkStart w:id="103"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102">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103"/>
    <w:bookmarkStart w:id="112" w:name="references"/>
    <w:p>
      <w:pPr>
        <w:pStyle w:val="Heading1"/>
      </w:pPr>
      <w:r>
        <w:t xml:space="preserve">References</w:t>
      </w:r>
    </w:p>
    <w:p>
      <w:pPr>
        <w:pStyle w:val="FirstParagraph"/>
        <w:spacing w:line="240" w:lineRule="auto" w:after="60"/>
        <w:ind w:left="454" w:hanging="454"/>
      </w:pPr>
      <w:r>
        <w:rPr>
          <w:sz w:val="20"/>
          <w:szCs w:val="20"/>
        </w:rPr>
      </w:r>
      <w:r>
        <w:rPr>
          <w:sz w:val="20"/>
          <w:szCs w:val="20"/>
        </w:rPr>
      </w:r>
      <w:r>
        <w:rPr>
          <w:sz w:val="20"/>
          <w:szCs w:val="20"/>
        </w:rPr>
        <w:t xml:space="preserve">Ahmed, 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102">
        <w:r>
          <w:rPr>
            <w:rStyle w:val="Hyperlink"/>
            <w:sz w:val="20"/>
            <w:szCs w:val="20"/>
          </w:rPr>
          <w:t xml:space="preserve">https://github.com/nahmedpsu/OTP-DDOS</w:t>
        </w:r>
      </w:hyperlink>
      <w:r>
        <w:rPr>
          <w:sz w:val="20"/>
          <w:szCs w:val="20"/>
        </w:rPr>
        <w:t xml:space="preserve">, tag v2.9.1</w:t>
      </w:r>
      <w:r>
        <w:rPr>
          <w:sz w:val="20"/>
          <w:szCs w:val="20"/>
        </w:rPr>
        <w:t xml:space="preserve">.</w:t>
      </w:r>
      <w:r>
        <w:rPr>
          <w:sz w:val="20"/>
          <w:szCs w:val="20"/>
        </w:rPr>
        <w:t xml:space="preserve"> </w:t>
      </w:r>
      <w:r>
        <w:rPr>
          <w:sz w:val="20"/>
          <w:szCs w:val="20"/>
        </w:rPr>
        <w:t xml:space="preserve">Results produced by 2.9.0 (commit 9af3100), whose executable code 2.9.1 keeps; 2.8.0 results (commit 1c277a0) in results/historical_2.8</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Commsrisk</w:t>
      </w:r>
      <w:r>
        <w:rPr>
          <w:sz w:val="20"/>
          <w:szCs w:val="20"/>
        </w:rPr>
        <w:t xml:space="preserve">,</w:t>
      </w:r>
      <w:r>
        <w:rPr>
          <w:sz w:val="20"/>
          <w:szCs w:val="20"/>
        </w:rPr>
        <w:t xml:space="preserve"> </w:t>
      </w:r>
      <w:r>
        <w:rPr>
          <w:sz w:val="20"/>
          <w:szCs w:val="20"/>
        </w:rPr>
        <w:t xml:space="preserve">2023</w:t>
      </w:r>
      <w:r>
        <w:rPr>
          <w:sz w:val="20"/>
          <w:szCs w:val="20"/>
        </w:rPr>
        <w:t xml:space="preserve">.</w:t>
      </w:r>
      <w:r>
        <w:rPr>
          <w:sz w:val="20"/>
          <w:szCs w:val="20"/>
        </w:rPr>
        <w:t xml:space="preserve"> </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 </w:t>
      </w:r>
      <w:hyperlink r:id="rId104">
        <w:r>
          <w:rPr>
            <w:rStyle w:val="Hyperlink"/>
            <w:sz w:val="20"/>
            <w:szCs w:val="20"/>
          </w:rPr>
          <w:t xml:space="preserve">https://commsrisk.com/elon-musk-says-twitter-lost-60mn-a-year-because-390-telcos-used-bot-accounts-to-pump-a2p-sms/</w:t>
        </w:r>
      </w:hyperlink>
      <w:r>
        <w:rPr>
          <w:sz w:val="20"/>
          <w:szCs w:val="20"/>
        </w:rPr>
        <w:t xml:space="preserve">.</w:t>
      </w:r>
      <w:r>
        <w:rPr>
          <w:sz w:val="20"/>
          <w:szCs w:val="20"/>
        </w:rPr>
        <w:t xml:space="preserve"> </w:t>
      </w:r>
      <w:r>
        <w:rPr>
          <w:sz w:val="20"/>
          <w:szCs w:val="20"/>
        </w:rPr>
        <w:t xml:space="preserve">Trade press; the figure is the company’s own claim</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Dean, D.</w:t>
      </w:r>
      <w:r>
        <w:rPr>
          <w:sz w:val="20"/>
          <w:szCs w:val="20"/>
        </w:rPr>
        <w:t xml:space="preserve">,</w:t>
      </w:r>
      <w:r>
        <w:rPr>
          <w:sz w:val="20"/>
          <w:szCs w:val="20"/>
        </w:rPr>
        <w:t xml:space="preserve"> </w:t>
      </w:r>
      <w:r>
        <w:rPr>
          <w:sz w:val="20"/>
          <w:szCs w:val="20"/>
        </w:rPr>
        <w:t xml:space="preserve">Stubblefield, A.</w:t>
      </w:r>
      <w:r>
        <w:rPr>
          <w:sz w:val="20"/>
          <w:szCs w:val="20"/>
        </w:rPr>
        <w:t xml:space="preserve">,</w:t>
      </w:r>
      <w:r>
        <w:rPr>
          <w:sz w:val="20"/>
          <w:szCs w:val="20"/>
        </w:rPr>
        <w:t xml:space="preserve"> </w:t>
      </w:r>
      <w:r>
        <w:rPr>
          <w:sz w:val="20"/>
          <w:szCs w:val="20"/>
        </w:rPr>
        <w:t xml:space="preserve">2001</w:t>
      </w:r>
      <w:r>
        <w:rPr>
          <w:sz w:val="20"/>
          <w:szCs w:val="20"/>
        </w:rPr>
        <w:t xml:space="preserve">.</w:t>
      </w:r>
      <w:r>
        <w:rPr>
          <w:sz w:val="20"/>
          <w:szCs w:val="20"/>
        </w:rPr>
        <w:t xml:space="preserve"> </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 in:</w:t>
      </w:r>
      <w:r>
        <w:rPr>
          <w:sz w:val="20"/>
          <w:szCs w:val="20"/>
        </w:rPr>
        <w:t xml:space="preserve"> </w:t>
      </w:r>
      <w:r>
        <w:rPr>
          <w:sz w:val="20"/>
          <w:szCs w:val="20"/>
        </w:rPr>
        <w:t xml:space="preserve">10th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Dionysiou, A.</w:t>
      </w:r>
      <w:r>
        <w:rPr>
          <w:sz w:val="20"/>
          <w:szCs w:val="20"/>
        </w:rPr>
        <w:t xml:space="preserve">,</w:t>
      </w:r>
      <w:r>
        <w:rPr>
          <w:sz w:val="20"/>
          <w:szCs w:val="20"/>
        </w:rPr>
        <w:t xml:space="preserve"> </w:t>
      </w:r>
      <w:r>
        <w:rPr>
          <w:sz w:val="20"/>
          <w:szCs w:val="20"/>
        </w:rPr>
        <w:t xml:space="preserve">Athanasopoulos, E.</w:t>
      </w:r>
      <w:r>
        <w:rPr>
          <w:sz w:val="20"/>
          <w:szCs w:val="20"/>
        </w:rPr>
        <w:t xml:space="preserve">,</w:t>
      </w:r>
      <w:r>
        <w:rPr>
          <w:sz w:val="20"/>
          <w:szCs w:val="20"/>
        </w:rPr>
        <w:t xml:space="preserve"> </w:t>
      </w:r>
      <w:r>
        <w:rPr>
          <w:sz w:val="20"/>
          <w:szCs w:val="20"/>
        </w:rPr>
        <w:t xml:space="preserve">2020</w:t>
      </w:r>
      <w:r>
        <w:rPr>
          <w:sz w:val="20"/>
          <w:szCs w:val="20"/>
        </w:rPr>
        <w:t xml:space="preserve">.</w:t>
      </w:r>
      <w:r>
        <w:rPr>
          <w:sz w:val="20"/>
          <w:szCs w:val="20"/>
        </w:rPr>
        <w:t xml:space="preserve"> </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97</w:t>
      </w:r>
      <w:r>
        <w:rPr>
          <w:sz w:val="20"/>
          <w:szCs w:val="20"/>
        </w:rPr>
        <w:t xml:space="preserve">,</w:t>
      </w:r>
      <w:r>
        <w:rPr>
          <w:sz w:val="20"/>
          <w:szCs w:val="20"/>
        </w:rPr>
        <w:t xml:space="preserve"> </w:t>
      </w:r>
      <w:r>
        <w:rPr>
          <w:sz w:val="20"/>
          <w:szCs w:val="20"/>
        </w:rPr>
        <w:t xml:space="preserve">101947</w:t>
      </w:r>
      <w:r>
        <w:rPr>
          <w:sz w:val="20"/>
          <w:szCs w:val="20"/>
        </w:rPr>
        <w:t xml:space="preserve">. https://doi.org/10.1016/j.cose.2020.101947.</w:t>
      </w:r>
    </w:p>
    <w:p>
      <w:pPr>
        <w:pStyle w:val="BodyText"/>
        <w:spacing w:line="240" w:lineRule="auto" w:after="60"/>
        <w:ind w:left="454" w:hanging="454"/>
      </w:pPr>
      <w:r>
        <w:rPr>
          <w:sz w:val="20"/>
          <w:szCs w:val="20"/>
        </w:rPr>
      </w:r>
      <w:r>
        <w:rPr>
          <w:sz w:val="20"/>
          <w:szCs w:val="20"/>
        </w:rPr>
      </w:r>
      <w:r>
        <w:rPr>
          <w:sz w:val="20"/>
          <w:szCs w:val="20"/>
        </w:rPr>
        <w:t xml:space="preserve">Douceur, J.R.</w:t>
      </w:r>
      <w:r>
        <w:rPr>
          <w:sz w:val="20"/>
          <w:szCs w:val="20"/>
        </w:rPr>
        <w:t xml:space="preserve">,</w:t>
      </w:r>
      <w:r>
        <w:rPr>
          <w:sz w:val="20"/>
          <w:szCs w:val="20"/>
        </w:rPr>
        <w:t xml:space="preserve"> </w:t>
      </w:r>
      <w:r>
        <w:rPr>
          <w:sz w:val="20"/>
          <w:szCs w:val="20"/>
        </w:rPr>
        <w:t xml:space="preserve">2002</w:t>
      </w:r>
      <w:r>
        <w:rPr>
          <w:sz w:val="20"/>
          <w:szCs w:val="20"/>
        </w:rPr>
        <w:t xml:space="preserve">.</w:t>
      </w:r>
      <w:r>
        <w:rPr>
          <w:sz w:val="20"/>
          <w:szCs w:val="20"/>
        </w:rPr>
        <w:t xml:space="preserve"> </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 in:</w:t>
      </w:r>
      <w:r>
        <w:rPr>
          <w:sz w:val="20"/>
          <w:szCs w:val="20"/>
        </w:rPr>
        <w:t xml:space="preserve"> </w:t>
      </w:r>
      <w:r>
        <w:rPr>
          <w:sz w:val="20"/>
          <w:szCs w:val="20"/>
        </w:rPr>
        <w:t xml:space="preserve">Peer-to-Peer Systems (IPTPS 2002)</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251–260</w:t>
      </w:r>
      <w:r>
        <w:rPr>
          <w:sz w:val="20"/>
          <w:szCs w:val="20"/>
        </w:rPr>
        <w:t xml:space="preserve">. https://doi.org/10.1007/3-540-45748-8_24.</w:t>
      </w:r>
    </w:p>
    <w:p>
      <w:pPr>
        <w:pStyle w:val="BodyText"/>
        <w:spacing w:line="240" w:lineRule="auto" w:after="60"/>
        <w:ind w:left="454" w:hanging="454"/>
      </w:pPr>
      <w:r>
        <w:rPr>
          <w:sz w:val="20"/>
          <w:szCs w:val="20"/>
        </w:rPr>
      </w:r>
      <w:r>
        <w:rPr>
          <w:sz w:val="20"/>
          <w:szCs w:val="20"/>
        </w:rPr>
      </w:r>
      <w:r>
        <w:rPr>
          <w:sz w:val="20"/>
          <w:szCs w:val="20"/>
        </w:rPr>
        <w:t xml:space="preserve">Google LLC</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105">
        <w:r>
          <w:rPr>
            <w:rStyle w:val="Hyperlink"/>
            <w:sz w:val="20"/>
            <w:szCs w:val="20"/>
          </w:rPr>
          <w:t xml:space="preserve">https://developers.google.com/identity/sms-retriever/overview</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Heinanen, J.</w:t>
      </w:r>
      <w:r>
        <w:rPr>
          <w:sz w:val="20"/>
          <w:szCs w:val="20"/>
        </w:rPr>
        <w:t xml:space="preserve">,</w:t>
      </w:r>
      <w:r>
        <w:rPr>
          <w:sz w:val="20"/>
          <w:szCs w:val="20"/>
        </w:rPr>
        <w:t xml:space="preserve"> </w:t>
      </w:r>
      <w:r>
        <w:rPr>
          <w:sz w:val="20"/>
          <w:szCs w:val="20"/>
        </w:rPr>
        <w:t xml:space="preserve">Guerin, R.</w:t>
      </w:r>
      <w:r>
        <w:rPr>
          <w:sz w:val="20"/>
          <w:szCs w:val="20"/>
        </w:rPr>
        <w:t xml:space="preserve">,</w:t>
      </w:r>
      <w:r>
        <w:rPr>
          <w:sz w:val="20"/>
          <w:szCs w:val="20"/>
        </w:rPr>
        <w:t xml:space="preserve"> </w:t>
      </w:r>
      <w:r>
        <w:rPr>
          <w:sz w:val="20"/>
          <w:szCs w:val="20"/>
        </w:rPr>
        <w:t xml:space="preserve">1999</w:t>
      </w:r>
      <w:r>
        <w:rPr>
          <w:sz w:val="20"/>
          <w:szCs w:val="20"/>
        </w:rPr>
        <w:t xml:space="preserve">.</w:t>
      </w:r>
      <w:r>
        <w:rPr>
          <w:sz w:val="20"/>
          <w:szCs w:val="20"/>
        </w:rPr>
        <w:t xml:space="preserve"> </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w:t>
      </w:r>
      <w:r>
        <w:rPr>
          <w:sz w:val="20"/>
          <w:szCs w:val="20"/>
        </w:rPr>
        <w:t xml:space="preserve">. https://doi.org/10.17487/RFC2697.</w:t>
      </w:r>
    </w:p>
    <w:p>
      <w:pPr>
        <w:pStyle w:val="BodyText"/>
        <w:spacing w:line="240" w:lineRule="auto" w:after="60"/>
        <w:ind w:left="454" w:hanging="454"/>
      </w:pPr>
      <w:r>
        <w:rPr>
          <w:sz w:val="20"/>
          <w:szCs w:val="20"/>
        </w:rPr>
      </w:r>
      <w:r>
        <w:rPr>
          <w:sz w:val="20"/>
          <w:szCs w:val="20"/>
        </w:rPr>
      </w:r>
      <w:r>
        <w:rPr>
          <w:sz w:val="20"/>
          <w:szCs w:val="20"/>
        </w:rPr>
        <w:t xml:space="preserve">Howard, S.R.</w:t>
      </w:r>
      <w:r>
        <w:rPr>
          <w:sz w:val="20"/>
          <w:szCs w:val="20"/>
        </w:rPr>
        <w:t xml:space="preserve">,</w:t>
      </w:r>
      <w:r>
        <w:rPr>
          <w:sz w:val="20"/>
          <w:szCs w:val="20"/>
        </w:rPr>
        <w:t xml:space="preserve"> </w:t>
      </w:r>
      <w:r>
        <w:rPr>
          <w:sz w:val="20"/>
          <w:szCs w:val="20"/>
        </w:rPr>
        <w:t xml:space="preserve">Ramdas, A.</w:t>
      </w:r>
      <w:r>
        <w:rPr>
          <w:sz w:val="20"/>
          <w:szCs w:val="20"/>
        </w:rPr>
        <w:t xml:space="preserve">,</w:t>
      </w:r>
      <w:r>
        <w:rPr>
          <w:sz w:val="20"/>
          <w:szCs w:val="20"/>
        </w:rPr>
        <w:t xml:space="preserve"> </w:t>
      </w:r>
      <w:r>
        <w:rPr>
          <w:sz w:val="20"/>
          <w:szCs w:val="20"/>
        </w:rPr>
        <w:t xml:space="preserve">McAuliffe, J.</w:t>
      </w:r>
      <w:r>
        <w:rPr>
          <w:sz w:val="20"/>
          <w:szCs w:val="20"/>
        </w:rPr>
        <w:t xml:space="preserve">,</w:t>
      </w:r>
      <w:r>
        <w:rPr>
          <w:sz w:val="20"/>
          <w:szCs w:val="20"/>
        </w:rPr>
        <w:t xml:space="preserve"> </w:t>
      </w:r>
      <w:r>
        <w:rPr>
          <w:sz w:val="20"/>
          <w:szCs w:val="20"/>
        </w:rPr>
        <w:t xml:space="preserve">Sekhon, J.</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Time-uniform, nonparametric, nonasymptotic confidence sequences</w:t>
      </w:r>
      <w:r>
        <w:rPr>
          <w:sz w:val="20"/>
          <w:szCs w:val="20"/>
        </w:rPr>
        <w:t xml:space="preserve">.</w:t>
      </w:r>
      <w:r>
        <w:rPr>
          <w:sz w:val="20"/>
          <w:szCs w:val="20"/>
        </w:rPr>
        <w:t xml:space="preserve"> </w:t>
      </w:r>
      <w:r>
        <w:rPr>
          <w:sz w:val="20"/>
          <w:szCs w:val="20"/>
        </w:rPr>
        <w:t xml:space="preserve">The Annals of Statistics</w:t>
      </w:r>
      <w:r>
        <w:rPr>
          <w:sz w:val="20"/>
          <w:szCs w:val="20"/>
        </w:rPr>
        <w:t xml:space="preserve"> </w:t>
      </w:r>
      <w:r>
        <w:rPr>
          <w:sz w:val="20"/>
          <w:szCs w:val="20"/>
        </w:rPr>
        <w:t xml:space="preserve">49</w:t>
      </w:r>
      <w:r>
        <w:rPr>
          <w:sz w:val="20"/>
          <w:szCs w:val="20"/>
        </w:rPr>
        <w:t xml:space="preserve">,</w:t>
      </w:r>
      <w:r>
        <w:rPr>
          <w:sz w:val="20"/>
          <w:szCs w:val="20"/>
        </w:rPr>
        <w:t xml:space="preserve"> </w:t>
      </w:r>
      <w:r>
        <w:rPr>
          <w:sz w:val="20"/>
          <w:szCs w:val="20"/>
        </w:rPr>
        <w:t xml:space="preserve">1055–1080</w:t>
      </w:r>
      <w:r>
        <w:rPr>
          <w:sz w:val="20"/>
          <w:szCs w:val="20"/>
        </w:rPr>
        <w:t xml:space="preserve">. https://doi.org/10.1214/20-AOS1991.</w:t>
      </w:r>
    </w:p>
    <w:p>
      <w:pPr>
        <w:pStyle w:val="BodyText"/>
        <w:spacing w:line="240" w:lineRule="auto" w:after="60"/>
        <w:ind w:left="454" w:hanging="454"/>
      </w:pPr>
      <w:r>
        <w:rPr>
          <w:sz w:val="20"/>
          <w:szCs w:val="20"/>
        </w:rPr>
      </w:r>
      <w:r>
        <w:rPr>
          <w:sz w:val="20"/>
          <w:szCs w:val="20"/>
        </w:rPr>
      </w:r>
      <w:r>
        <w:rPr>
          <w:sz w:val="20"/>
          <w:szCs w:val="20"/>
        </w:rPr>
        <w:t xml:space="preserve">Huh, J.H.</w:t>
      </w:r>
      <w:r>
        <w:rPr>
          <w:sz w:val="20"/>
          <w:szCs w:val="20"/>
        </w:rPr>
        <w:t xml:space="preserve">,</w:t>
      </w:r>
      <w:r>
        <w:rPr>
          <w:sz w:val="20"/>
          <w:szCs w:val="20"/>
        </w:rPr>
        <w:t xml:space="preserve"> </w:t>
      </w:r>
      <w:r>
        <w:rPr>
          <w:sz w:val="20"/>
          <w:szCs w:val="20"/>
        </w:rPr>
        <w:t xml:space="preserve">Shin, H.</w:t>
      </w:r>
      <w:r>
        <w:rPr>
          <w:sz w:val="20"/>
          <w:szCs w:val="20"/>
        </w:rPr>
        <w:t xml:space="preserve">,</w:t>
      </w:r>
      <w:r>
        <w:rPr>
          <w:sz w:val="20"/>
          <w:szCs w:val="20"/>
        </w:rPr>
        <w:t xml:space="preserve"> </w:t>
      </w:r>
      <w:r>
        <w:rPr>
          <w:sz w:val="20"/>
          <w:szCs w:val="20"/>
        </w:rPr>
        <w:t xml:space="preserve">Ahn, S.</w:t>
      </w:r>
      <w:r>
        <w:rPr>
          <w:sz w:val="20"/>
          <w:szCs w:val="20"/>
        </w:rPr>
        <w:t xml:space="preserve">,</w:t>
      </w:r>
      <w:r>
        <w:rPr>
          <w:sz w:val="20"/>
          <w:szCs w:val="20"/>
        </w:rPr>
        <w:t xml:space="preserve"> </w:t>
      </w:r>
      <w:r>
        <w:rPr>
          <w:sz w:val="20"/>
          <w:szCs w:val="20"/>
        </w:rPr>
        <w:t xml:space="preserve">Yi, H.</w:t>
      </w:r>
      <w:r>
        <w:rPr>
          <w:sz w:val="20"/>
          <w:szCs w:val="20"/>
        </w:rPr>
        <w:t xml:space="preserve">,</w:t>
      </w:r>
      <w:r>
        <w:rPr>
          <w:sz w:val="20"/>
          <w:szCs w:val="20"/>
        </w:rPr>
        <w:t xml:space="preserve"> </w:t>
      </w:r>
      <w:r>
        <w:rPr>
          <w:sz w:val="20"/>
          <w:szCs w:val="20"/>
        </w:rPr>
        <w:t xml:space="preserve">Cho, J.</w:t>
      </w:r>
      <w:r>
        <w:rPr>
          <w:sz w:val="20"/>
          <w:szCs w:val="20"/>
        </w:rPr>
        <w:t xml:space="preserve">,</w:t>
      </w:r>
      <w:r>
        <w:rPr>
          <w:sz w:val="20"/>
          <w:szCs w:val="20"/>
        </w:rPr>
        <w:t xml:space="preserve"> </w:t>
      </w:r>
      <w:r>
        <w:rPr>
          <w:sz w:val="20"/>
          <w:szCs w:val="20"/>
        </w:rPr>
        <w:t xml:space="preserve">Kim, T.</w:t>
      </w:r>
      <w:r>
        <w:rPr>
          <w:sz w:val="20"/>
          <w:szCs w:val="20"/>
        </w:rPr>
        <w:t xml:space="preserve">,</w:t>
      </w:r>
      <w:r>
        <w:rPr>
          <w:sz w:val="20"/>
          <w:szCs w:val="20"/>
        </w:rPr>
        <w:t xml:space="preserve"> </w:t>
      </w:r>
      <w:r>
        <w:rPr>
          <w:sz w:val="20"/>
          <w:szCs w:val="20"/>
        </w:rPr>
        <w:t xml:space="preserve">Lim, M.</w:t>
      </w:r>
      <w:r>
        <w:rPr>
          <w:sz w:val="20"/>
          <w:szCs w:val="20"/>
        </w:rPr>
        <w:t xml:space="preserve">,</w:t>
      </w:r>
      <w:r>
        <w:rPr>
          <w:sz w:val="20"/>
          <w:szCs w:val="20"/>
        </w:rPr>
        <w:t xml:space="preserve"> </w:t>
      </w:r>
      <w:r>
        <w:rPr>
          <w:sz w:val="20"/>
          <w:szCs w:val="20"/>
        </w:rPr>
        <w:t xml:space="preserve">Choi, N.</w:t>
      </w:r>
      <w:r>
        <w:rPr>
          <w:sz w:val="20"/>
          <w:szCs w:val="20"/>
        </w:rPr>
        <w:t xml:space="preserve">,</w:t>
      </w:r>
      <w:r>
        <w:rPr>
          <w:sz w:val="20"/>
          <w:szCs w:val="20"/>
        </w:rPr>
        <w:t xml:space="preserve"> </w:t>
      </w:r>
      <w:r>
        <w:rPr>
          <w:sz w:val="20"/>
          <w:szCs w:val="20"/>
        </w:rPr>
        <w:t xml:space="preserve">2025</w:t>
      </w:r>
      <w:r>
        <w:rPr>
          <w:sz w:val="20"/>
          <w:szCs w:val="20"/>
        </w:rPr>
        <w:t xml:space="preserve">.</w:t>
      </w:r>
      <w:r>
        <w:rPr>
          <w:sz w:val="20"/>
          <w:szCs w:val="20"/>
        </w:rPr>
        <w:t xml:space="preserve"> </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 in:</w:t>
      </w:r>
      <w:r>
        <w:rPr>
          <w:sz w:val="20"/>
          <w:szCs w:val="20"/>
        </w:rPr>
        <w:t xml:space="preserve"> </w:t>
      </w:r>
      <w:r>
        <w:rPr>
          <w:sz w:val="20"/>
          <w:szCs w:val="20"/>
        </w:rPr>
        <w:t xml:space="preserve">34th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r>
        <w:rPr>
          <w:sz w:val="20"/>
          <w:szCs w:val="20"/>
        </w:rPr>
        <w:t xml:space="preserve"> </w:t>
      </w:r>
      <w:r>
        <w:rPr>
          <w:sz w:val="20"/>
          <w:szCs w:val="20"/>
        </w:rPr>
        <w:t xml:space="preserve">Seattle, WA</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Mi, X.</w:t>
      </w:r>
      <w:r>
        <w:rPr>
          <w:sz w:val="20"/>
          <w:szCs w:val="20"/>
        </w:rPr>
        <w:t xml:space="preserve">,</w:t>
      </w:r>
      <w:r>
        <w:rPr>
          <w:sz w:val="20"/>
          <w:szCs w:val="20"/>
        </w:rPr>
        <w:t xml:space="preserve"> </w:t>
      </w:r>
      <w:r>
        <w:rPr>
          <w:sz w:val="20"/>
          <w:szCs w:val="20"/>
        </w:rPr>
        <w:t xml:space="preserve">Feng, X.</w:t>
      </w:r>
      <w:r>
        <w:rPr>
          <w:sz w:val="20"/>
          <w:szCs w:val="20"/>
        </w:rPr>
        <w:t xml:space="preserve">,</w:t>
      </w:r>
      <w:r>
        <w:rPr>
          <w:sz w:val="20"/>
          <w:szCs w:val="20"/>
        </w:rPr>
        <w:t xml:space="preserve"> </w:t>
      </w:r>
      <w:r>
        <w:rPr>
          <w:sz w:val="20"/>
          <w:szCs w:val="20"/>
        </w:rPr>
        <w:t xml:space="preserve">Liao, X.</w:t>
      </w:r>
      <w:r>
        <w:rPr>
          <w:sz w:val="20"/>
          <w:szCs w:val="20"/>
        </w:rPr>
        <w:t xml:space="preserve">,</w:t>
      </w:r>
      <w:r>
        <w:rPr>
          <w:sz w:val="20"/>
          <w:szCs w:val="20"/>
        </w:rPr>
        <w:t xml:space="preserve"> </w:t>
      </w:r>
      <w:r>
        <w:rPr>
          <w:sz w:val="20"/>
          <w:szCs w:val="20"/>
        </w:rPr>
        <w:t xml:space="preserve">Liu, B.</w:t>
      </w:r>
      <w:r>
        <w:rPr>
          <w:sz w:val="20"/>
          <w:szCs w:val="20"/>
        </w:rPr>
        <w:t xml:space="preserve">,</w:t>
      </w:r>
      <w:r>
        <w:rPr>
          <w:sz w:val="20"/>
          <w:szCs w:val="20"/>
        </w:rPr>
        <w:t xml:space="preserve"> </w:t>
      </w:r>
      <w:r>
        <w:rPr>
          <w:sz w:val="20"/>
          <w:szCs w:val="20"/>
        </w:rPr>
        <w:t xml:space="preserve">Wang, X.</w:t>
      </w:r>
      <w:r>
        <w:rPr>
          <w:sz w:val="20"/>
          <w:szCs w:val="20"/>
        </w:rPr>
        <w:t xml:space="preserve">,</w:t>
      </w:r>
      <w:r>
        <w:rPr>
          <w:sz w:val="20"/>
          <w:szCs w:val="20"/>
        </w:rPr>
        <w:t xml:space="preserve"> </w:t>
      </w:r>
      <w:r>
        <w:rPr>
          <w:sz w:val="20"/>
          <w:szCs w:val="20"/>
        </w:rPr>
        <w:t xml:space="preserve">Qian, F.</w:t>
      </w:r>
      <w:r>
        <w:rPr>
          <w:sz w:val="20"/>
          <w:szCs w:val="20"/>
        </w:rPr>
        <w:t xml:space="preserve">,</w:t>
      </w:r>
      <w:r>
        <w:rPr>
          <w:sz w:val="20"/>
          <w:szCs w:val="20"/>
        </w:rPr>
        <w:t xml:space="preserve"> </w:t>
      </w:r>
      <w:r>
        <w:rPr>
          <w:sz w:val="20"/>
          <w:szCs w:val="20"/>
        </w:rPr>
        <w:t xml:space="preserve">Li, Z.</w:t>
      </w:r>
      <w:r>
        <w:rPr>
          <w:sz w:val="20"/>
          <w:szCs w:val="20"/>
        </w:rPr>
        <w:t xml:space="preserve">,</w:t>
      </w:r>
      <w:r>
        <w:rPr>
          <w:sz w:val="20"/>
          <w:szCs w:val="20"/>
        </w:rPr>
        <w:t xml:space="preserve"> </w:t>
      </w:r>
      <w:r>
        <w:rPr>
          <w:sz w:val="20"/>
          <w:szCs w:val="20"/>
        </w:rPr>
        <w:t xml:space="preserve">Alrizah, S.</w:t>
      </w:r>
      <w:r>
        <w:rPr>
          <w:sz w:val="20"/>
          <w:szCs w:val="20"/>
        </w:rPr>
        <w:t xml:space="preserve">,</w:t>
      </w:r>
      <w:r>
        <w:rPr>
          <w:sz w:val="20"/>
          <w:szCs w:val="20"/>
        </w:rPr>
        <w:t xml:space="preserve"> </w:t>
      </w:r>
      <w:r>
        <w:rPr>
          <w:sz w:val="20"/>
          <w:szCs w:val="20"/>
        </w:rPr>
        <w:t xml:space="preserve">Chen, L.</w:t>
      </w:r>
      <w:r>
        <w:rPr>
          <w:sz w:val="20"/>
          <w:szCs w:val="20"/>
        </w:rPr>
        <w:t xml:space="preserve">,</w:t>
      </w:r>
      <w:r>
        <w:rPr>
          <w:sz w:val="20"/>
          <w:szCs w:val="20"/>
        </w:rPr>
        <w:t xml:space="preserve"> </w:t>
      </w:r>
      <w:r>
        <w:rPr>
          <w:sz w:val="20"/>
          <w:szCs w:val="20"/>
        </w:rPr>
        <w:t xml:space="preserve">Qian, Y.</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 in:</w:t>
      </w:r>
      <w:r>
        <w:rPr>
          <w:sz w:val="20"/>
          <w:szCs w:val="20"/>
        </w:rPr>
        <w:t xml:space="preserve"> </w:t>
      </w:r>
      <w:r>
        <w:rPr>
          <w:sz w:val="20"/>
          <w:szCs w:val="20"/>
        </w:rPr>
        <w:t xml:space="preserve">2019 IEEE Symposium on Security and Privacy (S&amp;P)</w:t>
      </w:r>
      <w:r>
        <w:rPr>
          <w:sz w:val="20"/>
          <w:szCs w:val="20"/>
        </w:rPr>
        <w:t xml:space="preserve">,</w:t>
      </w:r>
      <w:r>
        <w:rPr>
          <w:sz w:val="20"/>
          <w:szCs w:val="20"/>
        </w:rPr>
        <w:t xml:space="preserve"> </w:t>
      </w:r>
      <w:r>
        <w:rPr>
          <w:sz w:val="20"/>
          <w:szCs w:val="20"/>
        </w:rPr>
        <w:t xml:space="preserve">IEEE</w:t>
      </w:r>
      <w:r>
        <w:rPr>
          <w:sz w:val="20"/>
          <w:szCs w:val="20"/>
        </w:rPr>
        <w:t xml:space="preserve">. https://doi.org/10.1109/SP.2019.00011.</w:t>
      </w:r>
    </w:p>
    <w:p>
      <w:pPr>
        <w:pStyle w:val="BodyText"/>
        <w:spacing w:line="240" w:lineRule="auto" w:after="60"/>
        <w:ind w:left="454" w:hanging="454"/>
      </w:pPr>
      <w:r>
        <w:rPr>
          <w:sz w:val="20"/>
          <w:szCs w:val="20"/>
        </w:rPr>
      </w:r>
      <w:r>
        <w:rPr>
          <w:sz w:val="20"/>
          <w:szCs w:val="20"/>
        </w:rPr>
      </w:r>
      <w:r>
        <w:rPr>
          <w:sz w:val="20"/>
          <w:szCs w:val="20"/>
        </w:rPr>
        <w:t xml:space="preserve">MITRE Corporation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 </w:t>
      </w:r>
      <w:hyperlink r:id="rId106">
        <w:r>
          <w:rPr>
            <w:rStyle w:val="Hyperlink"/>
            <w:sz w:val="20"/>
            <w:szCs w:val="20"/>
          </w:rPr>
          <w:t xml:space="preserve">https://attack.mitre.org/techniques/T1496/003/</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Motoyama, M.</w:t>
      </w:r>
      <w:r>
        <w:rPr>
          <w:sz w:val="20"/>
          <w:szCs w:val="20"/>
        </w:rPr>
        <w:t xml:space="preserve">,</w:t>
      </w:r>
      <w:r>
        <w:rPr>
          <w:sz w:val="20"/>
          <w:szCs w:val="20"/>
        </w:rPr>
        <w:t xml:space="preserve"> </w:t>
      </w:r>
      <w:r>
        <w:rPr>
          <w:sz w:val="20"/>
          <w:szCs w:val="20"/>
        </w:rPr>
        <w:t xml:space="preserve">Levchenko, K.</w:t>
      </w:r>
      <w:r>
        <w:rPr>
          <w:sz w:val="20"/>
          <w:szCs w:val="20"/>
        </w:rPr>
        <w:t xml:space="preserve">,</w:t>
      </w:r>
      <w:r>
        <w:rPr>
          <w:sz w:val="20"/>
          <w:szCs w:val="20"/>
        </w:rPr>
        <w:t xml:space="preserve"> </w:t>
      </w:r>
      <w:r>
        <w:rPr>
          <w:sz w:val="20"/>
          <w:szCs w:val="20"/>
        </w:rPr>
        <w:t xml:space="preserve">Kanich, C.</w:t>
      </w:r>
      <w:r>
        <w:rPr>
          <w:sz w:val="20"/>
          <w:szCs w:val="20"/>
        </w:rPr>
        <w:t xml:space="preserve">,</w:t>
      </w:r>
      <w:r>
        <w:rPr>
          <w:sz w:val="20"/>
          <w:szCs w:val="20"/>
        </w:rPr>
        <w:t xml:space="preserve"> </w:t>
      </w:r>
      <w:r>
        <w:rPr>
          <w:sz w:val="20"/>
          <w:szCs w:val="20"/>
        </w:rPr>
        <w:t xml:space="preserve">McCoy, D.</w:t>
      </w:r>
      <w:r>
        <w:rPr>
          <w:sz w:val="20"/>
          <w:szCs w:val="20"/>
        </w:rPr>
        <w:t xml:space="preserve">,</w:t>
      </w:r>
      <w:r>
        <w:rPr>
          <w:sz w:val="20"/>
          <w:szCs w:val="20"/>
        </w:rPr>
        <w:t xml:space="preserve"> </w:t>
      </w:r>
      <w:r>
        <w:rPr>
          <w:sz w:val="20"/>
          <w:szCs w:val="20"/>
        </w:rPr>
        <w:t xml:space="preserve">Voelker, G.M.</w:t>
      </w:r>
      <w:r>
        <w:rPr>
          <w:sz w:val="20"/>
          <w:szCs w:val="20"/>
        </w:rPr>
        <w:t xml:space="preserve">,</w:t>
      </w:r>
      <w:r>
        <w:rPr>
          <w:sz w:val="20"/>
          <w:szCs w:val="20"/>
        </w:rPr>
        <w:t xml:space="preserve"> </w:t>
      </w:r>
      <w:r>
        <w:rPr>
          <w:sz w:val="20"/>
          <w:szCs w:val="20"/>
        </w:rPr>
        <w:t xml:space="preserve">Savage, S.</w:t>
      </w:r>
      <w:r>
        <w:rPr>
          <w:sz w:val="20"/>
          <w:szCs w:val="20"/>
        </w:rPr>
        <w:t xml:space="preserve">,</w:t>
      </w:r>
      <w:r>
        <w:rPr>
          <w:sz w:val="20"/>
          <w:szCs w:val="20"/>
        </w:rPr>
        <w:t xml:space="preserve"> </w:t>
      </w:r>
      <w:r>
        <w:rPr>
          <w:sz w:val="20"/>
          <w:szCs w:val="20"/>
        </w:rPr>
        <w:t xml:space="preserve">2010</w:t>
      </w:r>
      <w:r>
        <w:rPr>
          <w:sz w:val="20"/>
          <w:szCs w:val="20"/>
        </w:rPr>
        <w:t xml:space="preserve">.</w:t>
      </w:r>
      <w:r>
        <w:rPr>
          <w:sz w:val="20"/>
          <w:szCs w:val="20"/>
        </w:rPr>
        <w:t xml:space="preserve"> </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 in:</w:t>
      </w:r>
      <w:r>
        <w:rPr>
          <w:sz w:val="20"/>
          <w:szCs w:val="20"/>
        </w:rPr>
        <w:t xml:space="preserve"> </w:t>
      </w:r>
      <w:r>
        <w:rPr>
          <w:sz w:val="20"/>
          <w:szCs w:val="20"/>
        </w:rPr>
        <w:t xml:space="preserve">19th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Mulliner, C.</w:t>
      </w:r>
      <w:r>
        <w:rPr>
          <w:sz w:val="20"/>
          <w:szCs w:val="20"/>
        </w:rPr>
        <w:t xml:space="preserve">,</w:t>
      </w:r>
      <w:r>
        <w:rPr>
          <w:sz w:val="20"/>
          <w:szCs w:val="20"/>
        </w:rPr>
        <w:t xml:space="preserve"> </w:t>
      </w:r>
      <w:r>
        <w:rPr>
          <w:sz w:val="20"/>
          <w:szCs w:val="20"/>
        </w:rPr>
        <w:t xml:space="preserve">Borgaonkar, R.</w:t>
      </w:r>
      <w:r>
        <w:rPr>
          <w:sz w:val="20"/>
          <w:szCs w:val="20"/>
        </w:rPr>
        <w:t xml:space="preserve">,</w:t>
      </w:r>
      <w:r>
        <w:rPr>
          <w:sz w:val="20"/>
          <w:szCs w:val="20"/>
        </w:rPr>
        <w:t xml:space="preserve"> </w:t>
      </w:r>
      <w:r>
        <w:rPr>
          <w:sz w:val="20"/>
          <w:szCs w:val="20"/>
        </w:rPr>
        <w:t xml:space="preserve">Stewin, P.</w:t>
      </w:r>
      <w:r>
        <w:rPr>
          <w:sz w:val="20"/>
          <w:szCs w:val="20"/>
        </w:rPr>
        <w:t xml:space="preserve">,</w:t>
      </w:r>
      <w:r>
        <w:rPr>
          <w:sz w:val="20"/>
          <w:szCs w:val="20"/>
        </w:rPr>
        <w:t xml:space="preserve"> </w:t>
      </w:r>
      <w:r>
        <w:rPr>
          <w:sz w:val="20"/>
          <w:szCs w:val="20"/>
        </w:rPr>
        <w:t xml:space="preserve">Seifert, J.P.</w:t>
      </w:r>
      <w:r>
        <w:rPr>
          <w:sz w:val="20"/>
          <w:szCs w:val="20"/>
        </w:rPr>
        <w:t xml:space="preserve">,</w:t>
      </w:r>
      <w:r>
        <w:rPr>
          <w:sz w:val="20"/>
          <w:szCs w:val="20"/>
        </w:rPr>
        <w:t xml:space="preserve"> </w:t>
      </w:r>
      <w:r>
        <w:rPr>
          <w:sz w:val="20"/>
          <w:szCs w:val="20"/>
        </w:rPr>
        <w:t xml:space="preserve">2013</w:t>
      </w:r>
      <w:r>
        <w:rPr>
          <w:sz w:val="20"/>
          <w:szCs w:val="20"/>
        </w:rPr>
        <w:t xml:space="preserve">.</w:t>
      </w:r>
      <w:r>
        <w:rPr>
          <w:sz w:val="20"/>
          <w:szCs w:val="20"/>
        </w:rPr>
        <w:t xml:space="preserve"> </w:t>
      </w:r>
      <w:r>
        <w:rPr>
          <w:sz w:val="20"/>
          <w:szCs w:val="20"/>
        </w:rPr>
        <w:t xml:space="preserve">SMS</w:t>
      </w:r>
      <w:r>
        <w:rPr>
          <w:sz w:val="20"/>
          <w:szCs w:val="20"/>
        </w:rPr>
        <w:t xml:space="preserve">-based one-time passwords: Attacks and defense</w:t>
      </w:r>
      <w:r>
        <w:rPr>
          <w:sz w:val="20"/>
          <w:szCs w:val="20"/>
        </w:rPr>
        <w:t xml:space="preserve">, in:</w:t>
      </w:r>
      <w:r>
        <w:rPr>
          <w:sz w:val="20"/>
          <w:szCs w:val="20"/>
        </w:rPr>
        <w:t xml:space="preserve"> </w:t>
      </w:r>
      <w:r>
        <w:rPr>
          <w:sz w:val="20"/>
          <w:szCs w:val="20"/>
        </w:rPr>
        <w:t xml:space="preserve">Detection of Intrusions and Malware, and Vulnerability Assessment (DIMVA 2013)</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150–159</w:t>
      </w:r>
      <w:r>
        <w:rPr>
          <w:sz w:val="20"/>
          <w:szCs w:val="20"/>
        </w:rPr>
        <w:t xml:space="preserve">. https://doi.org/10.1007/978-3-642-39235-1_9.</w:t>
      </w:r>
    </w:p>
    <w:p>
      <w:pPr>
        <w:pStyle w:val="BodyText"/>
        <w:spacing w:line="240" w:lineRule="auto" w:after="60"/>
        <w:ind w:left="454" w:hanging="454"/>
      </w:pPr>
      <w:r>
        <w:rPr>
          <w:sz w:val="20"/>
          <w:szCs w:val="20"/>
        </w:rPr>
      </w:r>
      <w:r>
        <w:rPr>
          <w:sz w:val="20"/>
          <w:szCs w:val="20"/>
        </w:rPr>
      </w:r>
      <w:r>
        <w:rPr>
          <w:sz w:val="20"/>
          <w:szCs w:val="20"/>
        </w:rPr>
        <w:t xml:space="preserve">NIST/SEMATECH</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107">
        <w:r>
          <w:rPr>
            <w:rStyle w:val="Hyperlink"/>
            <w:sz w:val="20"/>
            <w:szCs w:val="20"/>
          </w:rPr>
          <w:t xml:space="preserve">https://www.itl.nist.gov/div898/handbook/pmc/section3/pmc323.htm</w:t>
        </w:r>
      </w:hyperlink>
      <w:r>
        <w:rPr>
          <w:sz w:val="20"/>
          <w:szCs w:val="20"/>
        </w:rPr>
        <w:t xml:space="preserve">.</w:t>
      </w:r>
      <w:r>
        <w:rPr>
          <w:sz w:val="20"/>
          <w:szCs w:val="20"/>
        </w:rPr>
        <w:t xml:space="preserve"> </w:t>
      </w:r>
      <w:r>
        <w:rPr>
          <w:sz w:val="20"/>
          <w:szCs w:val="20"/>
        </w:rPr>
        <w:t xml:space="preserve">Accessed 2026-10-02</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Page, E.S.</w:t>
      </w:r>
      <w:r>
        <w:rPr>
          <w:sz w:val="20"/>
          <w:szCs w:val="20"/>
        </w:rPr>
        <w:t xml:space="preserve">,</w:t>
      </w:r>
      <w:r>
        <w:rPr>
          <w:sz w:val="20"/>
          <w:szCs w:val="20"/>
        </w:rPr>
        <w:t xml:space="preserve"> </w:t>
      </w:r>
      <w:r>
        <w:rPr>
          <w:sz w:val="20"/>
          <w:szCs w:val="20"/>
        </w:rPr>
        <w:t xml:space="preserve">1954</w:t>
      </w:r>
      <w:r>
        <w:rPr>
          <w:sz w:val="20"/>
          <w:szCs w:val="20"/>
        </w:rPr>
        <w:t xml:space="preserve">.</w:t>
      </w:r>
      <w:r>
        <w:rPr>
          <w:sz w:val="20"/>
          <w:szCs w:val="20"/>
        </w:rPr>
        <w:t xml:space="preserve"> </w:t>
      </w:r>
      <w:r>
        <w:rPr>
          <w:sz w:val="20"/>
          <w:szCs w:val="20"/>
        </w:rPr>
        <w:t xml:space="preserve">Continuous inspection schemes</w:t>
      </w:r>
      <w:r>
        <w:rPr>
          <w:sz w:val="20"/>
          <w:szCs w:val="20"/>
        </w:rPr>
        <w:t xml:space="preserve">.</w:t>
      </w:r>
      <w:r>
        <w:rPr>
          <w:sz w:val="20"/>
          <w:szCs w:val="20"/>
        </w:rPr>
        <w:t xml:space="preserve"> </w:t>
      </w:r>
      <w:r>
        <w:rPr>
          <w:sz w:val="20"/>
          <w:szCs w:val="20"/>
        </w:rPr>
        <w:t xml:space="preserve">Biometrika</w:t>
      </w:r>
      <w:r>
        <w:rPr>
          <w:sz w:val="20"/>
          <w:szCs w:val="20"/>
        </w:rPr>
        <w:t xml:space="preserve"> </w:t>
      </w:r>
      <w:r>
        <w:rPr>
          <w:sz w:val="20"/>
          <w:szCs w:val="20"/>
        </w:rPr>
        <w:t xml:space="preserve">41</w:t>
      </w:r>
      <w:r>
        <w:rPr>
          <w:sz w:val="20"/>
          <w:szCs w:val="20"/>
        </w:rPr>
        <w:t xml:space="preserve">,</w:t>
      </w:r>
      <w:r>
        <w:rPr>
          <w:sz w:val="20"/>
          <w:szCs w:val="20"/>
        </w:rPr>
        <w:t xml:space="preserve"> </w:t>
      </w:r>
      <w:r>
        <w:rPr>
          <w:sz w:val="20"/>
          <w:szCs w:val="20"/>
        </w:rPr>
        <w:t xml:space="preserve">100–115</w:t>
      </w:r>
      <w:r>
        <w:rPr>
          <w:sz w:val="20"/>
          <w:szCs w:val="20"/>
        </w:rPr>
        <w:t xml:space="preserve">. https://doi.org/10.2307/2333009.</w:t>
      </w:r>
    </w:p>
    <w:p>
      <w:pPr>
        <w:pStyle w:val="BodyText"/>
        <w:spacing w:line="240" w:lineRule="auto" w:after="60"/>
        <w:ind w:left="454" w:hanging="454"/>
      </w:pPr>
      <w:r>
        <w:rPr>
          <w:sz w:val="20"/>
          <w:szCs w:val="20"/>
        </w:rPr>
      </w:r>
      <w:r>
        <w:rPr>
          <w:sz w:val="20"/>
          <w:szCs w:val="20"/>
        </w:rPr>
      </w:r>
      <w:r>
        <w:rPr>
          <w:sz w:val="20"/>
          <w:szCs w:val="20"/>
        </w:rPr>
        <w:t xml:space="preserve">Richter, P.</w:t>
      </w:r>
      <w:r>
        <w:rPr>
          <w:sz w:val="20"/>
          <w:szCs w:val="20"/>
        </w:rPr>
        <w:t xml:space="preserve">,</w:t>
      </w:r>
      <w:r>
        <w:rPr>
          <w:sz w:val="20"/>
          <w:szCs w:val="20"/>
        </w:rPr>
        <w:t xml:space="preserve"> </w:t>
      </w:r>
      <w:r>
        <w:rPr>
          <w:sz w:val="20"/>
          <w:szCs w:val="20"/>
        </w:rPr>
        <w:t xml:space="preserve">Wolsing, F.</w:t>
      </w:r>
      <w:r>
        <w:rPr>
          <w:sz w:val="20"/>
          <w:szCs w:val="20"/>
        </w:rPr>
        <w:t xml:space="preserve">,</w:t>
      </w:r>
      <w:r>
        <w:rPr>
          <w:sz w:val="20"/>
          <w:szCs w:val="20"/>
        </w:rPr>
        <w:t xml:space="preserve"> </w:t>
      </w:r>
      <w:r>
        <w:rPr>
          <w:sz w:val="20"/>
          <w:szCs w:val="20"/>
        </w:rPr>
        <w:t xml:space="preserve">Chandrasekaran, A.</w:t>
      </w:r>
      <w:r>
        <w:rPr>
          <w:sz w:val="20"/>
          <w:szCs w:val="20"/>
        </w:rPr>
        <w:t xml:space="preserve">,</w:t>
      </w:r>
      <w:r>
        <w:rPr>
          <w:sz w:val="20"/>
          <w:szCs w:val="20"/>
        </w:rPr>
        <w:t xml:space="preserve"> </w:t>
      </w:r>
      <w:r>
        <w:rPr>
          <w:sz w:val="20"/>
          <w:szCs w:val="20"/>
        </w:rPr>
        <w:t xml:space="preserve">Padmanabhan, R.</w:t>
      </w:r>
      <w:r>
        <w:rPr>
          <w:sz w:val="20"/>
          <w:szCs w:val="20"/>
        </w:rPr>
        <w:t xml:space="preserve">,</w:t>
      </w:r>
      <w:r>
        <w:rPr>
          <w:sz w:val="20"/>
          <w:szCs w:val="20"/>
        </w:rPr>
        <w:t xml:space="preserve"> </w:t>
      </w:r>
      <w:r>
        <w:rPr>
          <w:sz w:val="20"/>
          <w:szCs w:val="20"/>
        </w:rPr>
        <w:t xml:space="preserve">Allman, M.</w:t>
      </w:r>
      <w:r>
        <w:rPr>
          <w:sz w:val="20"/>
          <w:szCs w:val="20"/>
        </w:rPr>
        <w:t xml:space="preserve">,</w:t>
      </w:r>
      <w:r>
        <w:rPr>
          <w:sz w:val="20"/>
          <w:szCs w:val="20"/>
        </w:rPr>
        <w:t xml:space="preserve"> </w:t>
      </w:r>
      <w:r>
        <w:rPr>
          <w:sz w:val="20"/>
          <w:szCs w:val="20"/>
        </w:rPr>
        <w:t xml:space="preserve">Bush, R.</w:t>
      </w:r>
      <w:r>
        <w:rPr>
          <w:sz w:val="20"/>
          <w:szCs w:val="20"/>
        </w:rPr>
        <w:t xml:space="preserve">,</w:t>
      </w:r>
      <w:r>
        <w:rPr>
          <w:sz w:val="20"/>
          <w:szCs w:val="20"/>
        </w:rPr>
        <w:t xml:space="preserve"> </w:t>
      </w:r>
      <w:r>
        <w:rPr>
          <w:sz w:val="20"/>
          <w:szCs w:val="20"/>
        </w:rPr>
        <w:t xml:space="preserve">Feldmann, A.</w:t>
      </w:r>
      <w:r>
        <w:rPr>
          <w:sz w:val="20"/>
          <w:szCs w:val="20"/>
        </w:rPr>
        <w:t xml:space="preserve">,</w:t>
      </w:r>
      <w:r>
        <w:rPr>
          <w:sz w:val="20"/>
          <w:szCs w:val="20"/>
        </w:rPr>
        <w:t xml:space="preserve"> </w:t>
      </w:r>
      <w:r>
        <w:rPr>
          <w:sz w:val="20"/>
          <w:szCs w:val="20"/>
        </w:rPr>
        <w:t xml:space="preserve">2016</w:t>
      </w:r>
      <w:r>
        <w:rPr>
          <w:sz w:val="20"/>
          <w:szCs w:val="20"/>
        </w:rPr>
        <w:t xml:space="preserve">.</w:t>
      </w:r>
      <w:r>
        <w:rPr>
          <w:sz w:val="20"/>
          <w:szCs w:val="20"/>
        </w:rPr>
        <w:t xml:space="preserve"> </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 in:</w:t>
      </w:r>
      <w:r>
        <w:rPr>
          <w:sz w:val="20"/>
          <w:szCs w:val="20"/>
        </w:rPr>
        <w:t xml:space="preserve"> </w:t>
      </w:r>
      <w:r>
        <w:rPr>
          <w:sz w:val="20"/>
          <w:szCs w:val="20"/>
        </w:rPr>
        <w:t xml:space="preserve">Proceedings of the 2016 ACM Internet Measurement Conference (IMC)</w:t>
      </w:r>
      <w:r>
        <w:rPr>
          <w:sz w:val="20"/>
          <w:szCs w:val="20"/>
        </w:rPr>
        <w:t xml:space="preserve">,</w:t>
      </w:r>
      <w:r>
        <w:rPr>
          <w:sz w:val="20"/>
          <w:szCs w:val="20"/>
        </w:rPr>
        <w:t xml:space="preserve"> </w:t>
      </w:r>
      <w:r>
        <w:rPr>
          <w:sz w:val="20"/>
          <w:szCs w:val="20"/>
        </w:rPr>
        <w:t xml:space="preserve">ACM</w:t>
      </w:r>
      <w:r>
        <w:rPr>
          <w:sz w:val="20"/>
          <w:szCs w:val="20"/>
        </w:rPr>
        <w:t xml:space="preserve">. https://doi.org/10.1145/2987443.2987474.</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Understanding and detecting international revenue share fraud</w:t>
      </w:r>
      <w:r>
        <w:rPr>
          <w:sz w:val="20"/>
          <w:szCs w:val="20"/>
        </w:rPr>
        <w:t xml:space="preserve">, in:</w:t>
      </w:r>
      <w:r>
        <w:rPr>
          <w:sz w:val="20"/>
          <w:szCs w:val="20"/>
        </w:rPr>
        <w:t xml:space="preserve"> </w:t>
      </w:r>
      <w:r>
        <w:rPr>
          <w:sz w:val="20"/>
          <w:szCs w:val="20"/>
        </w:rPr>
        <w:t xml:space="preserve">Network and Distributed System Security Symposium (NDSS)</w:t>
      </w:r>
      <w:r>
        <w:rPr>
          <w:sz w:val="20"/>
          <w:szCs w:val="20"/>
        </w:rPr>
        <w:t xml:space="preserve">,</w:t>
      </w:r>
      <w:r>
        <w:rPr>
          <w:sz w:val="20"/>
          <w:szCs w:val="20"/>
        </w:rPr>
        <w:t xml:space="preserve"> </w:t>
      </w:r>
      <w:r>
        <w:rPr>
          <w:sz w:val="20"/>
          <w:szCs w:val="20"/>
        </w:rPr>
        <w:t xml:space="preserve">Internet Society</w:t>
      </w:r>
      <w:r>
        <w:rPr>
          <w:sz w:val="20"/>
          <w:szCs w:val="20"/>
        </w:rPr>
        <w:t xml:space="preserve">. https://doi.org/10.14722/ndss.2021.24051.</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Ahamad, M.</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SoK</w:t>
      </w:r>
      <w:r>
        <w:rPr>
          <w:sz w:val="20"/>
          <w:szCs w:val="20"/>
        </w:rPr>
        <w:t xml:space="preserve">: Fraud in telephony networks</w:t>
      </w:r>
      <w:r>
        <w:rPr>
          <w:sz w:val="20"/>
          <w:szCs w:val="20"/>
        </w:rPr>
        <w:t xml:space="preserve">, in:</w:t>
      </w:r>
      <w:r>
        <w:rPr>
          <w:sz w:val="20"/>
          <w:szCs w:val="20"/>
        </w:rPr>
        <w:t xml:space="preserve"> </w:t>
      </w:r>
      <w:r>
        <w:rPr>
          <w:sz w:val="20"/>
          <w:szCs w:val="20"/>
        </w:rPr>
        <w:t xml:space="preserve">2017 IEEE European Symposium on Security and Privacy (EuroS&amp;P)</w:t>
      </w:r>
      <w:r>
        <w:rPr>
          <w:sz w:val="20"/>
          <w:szCs w:val="20"/>
        </w:rPr>
        <w:t xml:space="preserve">,</w:t>
      </w:r>
      <w:r>
        <w:rPr>
          <w:sz w:val="20"/>
          <w:szCs w:val="20"/>
        </w:rPr>
        <w:t xml:space="preserve"> </w:t>
      </w:r>
      <w:r>
        <w:rPr>
          <w:sz w:val="20"/>
          <w:szCs w:val="20"/>
        </w:rPr>
        <w:t xml:space="preserve">IEEE</w:t>
      </w:r>
      <w:r>
        <w:rPr>
          <w:sz w:val="20"/>
          <w:szCs w:val="20"/>
        </w:rPr>
        <w:t xml:space="preserve">. https://doi.org/10.1109/EuroSP.2017.40.</w:t>
      </w:r>
    </w:p>
    <w:p>
      <w:pPr>
        <w:pStyle w:val="BodyText"/>
        <w:spacing w:line="240" w:lineRule="auto" w:after="60"/>
        <w:ind w:left="454" w:hanging="454"/>
      </w:pPr>
      <w:r>
        <w:rPr>
          <w:sz w:val="20"/>
          <w:szCs w:val="20"/>
        </w:rPr>
      </w:r>
      <w:r>
        <w:rPr>
          <w:sz w:val="20"/>
          <w:szCs w:val="20"/>
        </w:rPr>
      </w:r>
      <w:r>
        <w:rPr>
          <w:sz w:val="20"/>
          <w:szCs w:val="20"/>
        </w:rPr>
        <w:t xml:space="preserve">Siadati, H.</w:t>
      </w:r>
      <w:r>
        <w:rPr>
          <w:sz w:val="20"/>
          <w:szCs w:val="20"/>
        </w:rPr>
        <w:t xml:space="preserve">,</w:t>
      </w:r>
      <w:r>
        <w:rPr>
          <w:sz w:val="20"/>
          <w:szCs w:val="20"/>
        </w:rPr>
        <w:t xml:space="preserve"> </w:t>
      </w:r>
      <w:r>
        <w:rPr>
          <w:sz w:val="20"/>
          <w:szCs w:val="20"/>
        </w:rPr>
        <w:t xml:space="preserve">Nguyen, T.</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Jakobsson, M.</w:t>
      </w:r>
      <w:r>
        <w:rPr>
          <w:sz w:val="20"/>
          <w:szCs w:val="20"/>
        </w:rPr>
        <w:t xml:space="preserve">,</w:t>
      </w:r>
      <w:r>
        <w:rPr>
          <w:sz w:val="20"/>
          <w:szCs w:val="20"/>
        </w:rPr>
        <w:t xml:space="preserve"> </w:t>
      </w:r>
      <w:r>
        <w:rPr>
          <w:sz w:val="20"/>
          <w:szCs w:val="20"/>
        </w:rPr>
        <w:t xml:space="preserve">Memon, N.</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65</w:t>
      </w:r>
      <w:r>
        <w:rPr>
          <w:sz w:val="20"/>
          <w:szCs w:val="20"/>
        </w:rPr>
        <w:t xml:space="preserve">,</w:t>
      </w:r>
      <w:r>
        <w:rPr>
          <w:sz w:val="20"/>
          <w:szCs w:val="20"/>
        </w:rPr>
        <w:t xml:space="preserve"> </w:t>
      </w:r>
      <w:r>
        <w:rPr>
          <w:sz w:val="20"/>
          <w:szCs w:val="20"/>
        </w:rPr>
        <w:t xml:space="preserve">14–28</w:t>
      </w:r>
      <w:r>
        <w:rPr>
          <w:sz w:val="20"/>
          <w:szCs w:val="20"/>
        </w:rPr>
        <w:t xml:space="preserve">. https://doi.org/10.1016/j.cose.2016.09.009.</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a.</w:t>
      </w:r>
      <w:r>
        <w:rPr>
          <w:sz w:val="20"/>
          <w:szCs w:val="20"/>
        </w:rPr>
        <w:t xml:space="preserve"> </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108">
        <w:r>
          <w:rPr>
            <w:rStyle w:val="Hyperlink"/>
            <w:sz w:val="20"/>
            <w:szCs w:val="20"/>
          </w:rPr>
          <w:t xml:space="preserve">https://www.twilio.com/docs/lookup/v2-api/sms-pumping-risk</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b.</w:t>
      </w:r>
      <w:r>
        <w:rPr>
          <w:sz w:val="20"/>
          <w:szCs w:val="20"/>
        </w:rPr>
        <w:t xml:space="preserve"> </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 </w:t>
      </w:r>
      <w:hyperlink r:id="rId109">
        <w:r>
          <w:rPr>
            <w:rStyle w:val="Hyperlink"/>
            <w:sz w:val="20"/>
            <w:szCs w:val="20"/>
          </w:rPr>
          <w:t xml:space="preserve">https://www.twilio.com/en-us/user-authentication-identity/verify</w:t>
        </w:r>
      </w:hyperlink>
      <w:r>
        <w:rPr>
          <w:sz w:val="20"/>
          <w:szCs w:val="20"/>
        </w:rPr>
        <w:t xml:space="preserve">.</w:t>
      </w:r>
      <w:r>
        <w:rPr>
          <w:sz w:val="20"/>
          <w:szCs w:val="20"/>
        </w:rPr>
        <w:t xml:space="preserve"> </w:t>
      </w:r>
      <w:r>
        <w:rPr>
          <w:sz w:val="20"/>
          <w:szCs w:val="20"/>
        </w:rPr>
        <w:t xml:space="preserve">Accessed 2026-10-03</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c.</w:t>
      </w:r>
      <w:r>
        <w:rPr>
          <w:sz w:val="20"/>
          <w:szCs w:val="20"/>
        </w:rPr>
        <w:t xml:space="preserve"> </w:t>
      </w:r>
      <w:r>
        <w:rPr>
          <w:sz w:val="20"/>
          <w:szCs w:val="20"/>
        </w:rPr>
        <w:t xml:space="preserve">Verify fraud guard</w:t>
      </w:r>
      <w:r>
        <w:rPr>
          <w:sz w:val="20"/>
          <w:szCs w:val="20"/>
        </w:rPr>
        <w:t xml:space="preserve">.</w:t>
      </w:r>
      <w:r>
        <w:rPr>
          <w:sz w:val="20"/>
          <w:szCs w:val="20"/>
        </w:rPr>
        <w:t xml:space="preserve"> </w:t>
      </w:r>
      <w:hyperlink r:id="rId110">
        <w:r>
          <w:rPr>
            <w:rStyle w:val="Hyperlink"/>
            <w:sz w:val="20"/>
            <w:szCs w:val="20"/>
          </w:rPr>
          <w:t xml:space="preserve">https://www.twilio.com/docs/verify/preventing-toll-fraud/sms-fraud-guard</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Veeravalli, V.V.</w:t>
      </w:r>
      <w:r>
        <w:rPr>
          <w:sz w:val="20"/>
          <w:szCs w:val="20"/>
        </w:rPr>
        <w:t xml:space="preserve">,</w:t>
      </w:r>
      <w:r>
        <w:rPr>
          <w:sz w:val="20"/>
          <w:szCs w:val="20"/>
        </w:rPr>
        <w:t xml:space="preserve"> </w:t>
      </w:r>
      <w:r>
        <w:rPr>
          <w:sz w:val="20"/>
          <w:szCs w:val="20"/>
        </w:rPr>
        <w:t xml:space="preserve">Banerjee, T.</w:t>
      </w:r>
      <w:r>
        <w:rPr>
          <w:sz w:val="20"/>
          <w:szCs w:val="20"/>
        </w:rPr>
        <w:t xml:space="preserve">,</w:t>
      </w:r>
      <w:r>
        <w:rPr>
          <w:sz w:val="20"/>
          <w:szCs w:val="20"/>
        </w:rPr>
        <w:t xml:space="preserve"> </w:t>
      </w:r>
      <w:r>
        <w:rPr>
          <w:sz w:val="20"/>
          <w:szCs w:val="20"/>
        </w:rPr>
        <w:t xml:space="preserve">2012</w:t>
      </w:r>
      <w:r>
        <w:rPr>
          <w:sz w:val="20"/>
          <w:szCs w:val="20"/>
        </w:rPr>
        <w:t xml:space="preserve">.</w:t>
      </w:r>
      <w:r>
        <w:rPr>
          <w:sz w:val="20"/>
          <w:szCs w:val="20"/>
        </w:rPr>
        <w:t xml:space="preserve"> </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Wald, A.</w:t>
      </w:r>
      <w:r>
        <w:rPr>
          <w:sz w:val="20"/>
          <w:szCs w:val="20"/>
        </w:rPr>
        <w:t xml:space="preserve">,</w:t>
      </w:r>
      <w:r>
        <w:rPr>
          <w:sz w:val="20"/>
          <w:szCs w:val="20"/>
        </w:rPr>
        <w:t xml:space="preserve"> </w:t>
      </w:r>
      <w:r>
        <w:rPr>
          <w:sz w:val="20"/>
          <w:szCs w:val="20"/>
        </w:rPr>
        <w:t xml:space="preserve">1945</w:t>
      </w:r>
      <w:r>
        <w:rPr>
          <w:sz w:val="20"/>
          <w:szCs w:val="20"/>
        </w:rPr>
        <w:t xml:space="preserve">.</w:t>
      </w:r>
      <w:r>
        <w:rPr>
          <w:sz w:val="20"/>
          <w:szCs w:val="20"/>
        </w:rPr>
        <w:t xml:space="preserve"> </w:t>
      </w:r>
      <w:r>
        <w:rPr>
          <w:sz w:val="20"/>
          <w:szCs w:val="20"/>
        </w:rPr>
        <w:t xml:space="preserve">Sequential tests of statistical hypotheses</w:t>
      </w:r>
      <w:r>
        <w:rPr>
          <w:sz w:val="20"/>
          <w:szCs w:val="20"/>
        </w:rPr>
        <w:t xml:space="preserve">.</w:t>
      </w:r>
      <w:r>
        <w:rPr>
          <w:sz w:val="20"/>
          <w:szCs w:val="20"/>
        </w:rPr>
        <w:t xml:space="preserve"> </w:t>
      </w:r>
      <w:r>
        <w:rPr>
          <w:sz w:val="20"/>
          <w:szCs w:val="20"/>
        </w:rPr>
        <w:t xml:space="preserve">The Annals of Mathematical Statistics</w:t>
      </w:r>
      <w:r>
        <w:rPr>
          <w:sz w:val="20"/>
          <w:szCs w:val="20"/>
        </w:rPr>
        <w:t xml:space="preserve"> </w:t>
      </w:r>
      <w:r>
        <w:rPr>
          <w:sz w:val="20"/>
          <w:szCs w:val="20"/>
        </w:rPr>
        <w:t xml:space="preserve">16</w:t>
      </w:r>
      <w:r>
        <w:rPr>
          <w:sz w:val="20"/>
          <w:szCs w:val="20"/>
        </w:rPr>
        <w:t xml:space="preserve">,</w:t>
      </w:r>
      <w:r>
        <w:rPr>
          <w:sz w:val="20"/>
          <w:szCs w:val="20"/>
        </w:rPr>
        <w:t xml:space="preserve"> </w:t>
      </w:r>
      <w:r>
        <w:rPr>
          <w:sz w:val="20"/>
          <w:szCs w:val="20"/>
        </w:rPr>
        <w:t xml:space="preserve">117–186</w:t>
      </w:r>
      <w:r>
        <w:rPr>
          <w:sz w:val="20"/>
          <w:szCs w:val="20"/>
        </w:rPr>
        <w:t xml:space="preserve">. https://doi.org/10.1214/aoms/1177731118.</w:t>
      </w:r>
    </w:p>
    <w:p>
      <w:pPr>
        <w:pStyle w:val="BodyText"/>
        <w:spacing w:line="240" w:lineRule="auto" w:after="60"/>
        <w:ind w:left="454" w:hanging="454"/>
      </w:pPr>
      <w:r>
        <w:rPr>
          <w:sz w:val="20"/>
          <w:szCs w:val="20"/>
        </w:rPr>
      </w:r>
      <w:r>
        <w:rPr>
          <w:sz w:val="20"/>
          <w:szCs w:val="20"/>
        </w:rPr>
      </w:r>
      <w:r>
        <w:rPr>
          <w:sz w:val="20"/>
          <w:szCs w:val="20"/>
        </w:rPr>
        <w:t xml:space="preserve">Web Incubator Community Group</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WebOTP API</w:t>
      </w:r>
      <w:r>
        <w:rPr>
          <w:sz w:val="20"/>
          <w:szCs w:val="20"/>
        </w:rPr>
        <w:t xml:space="preserve">.</w:t>
      </w:r>
      <w:r>
        <w:rPr>
          <w:sz w:val="20"/>
          <w:szCs w:val="20"/>
        </w:rPr>
        <w:t xml:space="preserve"> </w:t>
      </w:r>
      <w:hyperlink r:id="rId111">
        <w:r>
          <w:rPr>
            <w:rStyle w:val="Hyperlink"/>
            <w:sz w:val="20"/>
            <w:szCs w:val="20"/>
          </w:rPr>
          <w:t xml:space="preserve">https://github.com/WICG/WebOTP</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Wiefling, S.</w:t>
      </w:r>
      <w:r>
        <w:rPr>
          <w:sz w:val="20"/>
          <w:szCs w:val="20"/>
        </w:rPr>
        <w:t xml:space="preserve">,</w:t>
      </w:r>
      <w:r>
        <w:rPr>
          <w:sz w:val="20"/>
          <w:szCs w:val="20"/>
        </w:rPr>
        <w:t xml:space="preserve"> </w:t>
      </w:r>
      <w:r>
        <w:rPr>
          <w:sz w:val="20"/>
          <w:szCs w:val="20"/>
        </w:rPr>
        <w:t xml:space="preserve">Lo Iacono, L.</w:t>
      </w:r>
      <w:r>
        <w:rPr>
          <w:sz w:val="20"/>
          <w:szCs w:val="20"/>
        </w:rPr>
        <w:t xml:space="preserve">,</w:t>
      </w:r>
      <w:r>
        <w:rPr>
          <w:sz w:val="20"/>
          <w:szCs w:val="20"/>
        </w:rPr>
        <w:t xml:space="preserve"> </w:t>
      </w:r>
      <w:r>
        <w:rPr>
          <w:sz w:val="20"/>
          <w:szCs w:val="20"/>
        </w:rPr>
        <w:t xml:space="preserve">D</w:t>
      </w:r>
      <w:r>
        <w:rPr>
          <w:sz w:val="20"/>
          <w:szCs w:val="20"/>
        </w:rPr>
        <w:t xml:space="preserve">ü</w:t>
      </w:r>
      <w:r>
        <w:rPr>
          <w:sz w:val="20"/>
          <w:szCs w:val="20"/>
        </w:rPr>
        <w:t xml:space="preserve">rmuth, M.</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 in:</w:t>
      </w:r>
      <w:r>
        <w:rPr>
          <w:sz w:val="20"/>
          <w:szCs w:val="20"/>
        </w:rPr>
        <w:t xml:space="preserve"> </w:t>
      </w:r>
      <w:r>
        <w:rPr>
          <w:sz w:val="20"/>
          <w:szCs w:val="20"/>
        </w:rPr>
        <w:t xml:space="preserve">ICT Systems Security and Privacy Protection (IFIP SEC 2019)</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134–148</w:t>
      </w:r>
      <w:r>
        <w:rPr>
          <w:sz w:val="20"/>
          <w:szCs w:val="20"/>
        </w:rPr>
        <w:t xml:space="preserve">. https://doi.org/10.1007/978-3-030-22312-0_10.</w:t>
      </w:r>
    </w:p>
    <w:p>
      <w:pPr>
        <w:pStyle w:val="BodyText"/>
        <w:spacing w:line="240" w:lineRule="auto" w:after="60"/>
        <w:ind w:left="454" w:hanging="454"/>
      </w:pPr>
      <w:r>
        <w:rPr>
          <w:sz w:val="20"/>
          <w:szCs w:val="20"/>
        </w:rPr>
      </w:r>
      <w:r>
        <w:rPr>
          <w:sz w:val="20"/>
          <w:szCs w:val="20"/>
        </w:rPr>
      </w:r>
      <w:r>
        <w:rPr>
          <w:sz w:val="20"/>
          <w:szCs w:val="20"/>
        </w:rPr>
        <w:t xml:space="preserve">Zaliskyi, M.</w:t>
      </w:r>
      <w:r>
        <w:rPr>
          <w:sz w:val="20"/>
          <w:szCs w:val="20"/>
        </w:rPr>
        <w:t xml:space="preserve">,</w:t>
      </w:r>
      <w:r>
        <w:rPr>
          <w:sz w:val="20"/>
          <w:szCs w:val="20"/>
        </w:rPr>
        <w:t xml:space="preserve"> </w:t>
      </w:r>
      <w:r>
        <w:rPr>
          <w:sz w:val="20"/>
          <w:szCs w:val="20"/>
        </w:rPr>
        <w:t xml:space="preserve">Odarchenko, M.</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sz w:val="20"/>
          <w:szCs w:val="20"/>
        </w:rPr>
        <w:t xml:space="preserve">Science-Based Technologies</w:t>
      </w:r>
      <w:r>
        <w:rPr>
          <w:sz w:val="20"/>
          <w:szCs w:val="20"/>
        </w:rPr>
        <w:t xml:space="preserve"> </w:t>
      </w:r>
      <w:r>
        <w:rPr>
          <w:sz w:val="20"/>
          <w:szCs w:val="20"/>
        </w:rPr>
        <w:t xml:space="preserve">69</w:t>
      </w:r>
      <w:r>
        <w:rPr>
          <w:sz w:val="20"/>
          <w:szCs w:val="20"/>
        </w:rPr>
        <w:t xml:space="preserve">,</w:t>
      </w:r>
      <w:r>
        <w:rPr>
          <w:sz w:val="20"/>
          <w:szCs w:val="20"/>
        </w:rPr>
        <w:t xml:space="preserve"> </w:t>
      </w:r>
      <w:r>
        <w:rPr>
          <w:sz w:val="20"/>
          <w:szCs w:val="20"/>
        </w:rPr>
        <w:t xml:space="preserve">89–98</w:t>
      </w:r>
      <w:r>
        <w:rPr>
          <w:sz w:val="20"/>
          <w:szCs w:val="20"/>
        </w:rPr>
        <w:t xml:space="preserve">. https://doi.org/10.18372/2310-5461.69.20735.</w:t>
      </w:r>
    </w:p>
    <w:bookmarkEnd w:id="112"/>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45" Type="http://schemas.openxmlformats.org/officeDocument/2006/relationships/image" Target="media/rId45.png"/><Relationship Id="rId60" Type="http://schemas.openxmlformats.org/officeDocument/2006/relationships/image" Target="media/rId60.png"/><Relationship Id="rId42" Type="http://schemas.openxmlformats.org/officeDocument/2006/relationships/image" Target="media/rId42.png"/><Relationship Id="rId56" Type="http://schemas.openxmlformats.org/officeDocument/2006/relationships/image" Target="media/rId56.png"/><Relationship Id="rId39" Type="http://schemas.openxmlformats.org/officeDocument/2006/relationships/image" Target="media/rId39.png"/><Relationship Id="rId72" Type="http://schemas.openxmlformats.org/officeDocument/2006/relationships/image" Target="media/rId72.png"/><Relationship Id="rId75" Type="http://schemas.openxmlformats.org/officeDocument/2006/relationships/image" Target="media/rId75.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21" Type="http://schemas.openxmlformats.org/officeDocument/2006/relationships/image" Target="media/rId21.png"/><Relationship Id="rId35" Type="http://schemas.openxmlformats.org/officeDocument/2006/relationships/image" Target="media/rId35.png"/><Relationship Id="rId106" Type="http://schemas.openxmlformats.org/officeDocument/2006/relationships/hyperlink" Target="https://attack.mitre.org/techniques/T1496/003/" TargetMode="External"/><Relationship Id="rId104" Type="http://schemas.openxmlformats.org/officeDocument/2006/relationships/hyperlink" Target="https://commsrisk.com/elon-musk-says-twitter-lost-60mn-a-year-because-390-telcos-used-bot-accounts-to-pump-a2p-sms/" TargetMode="External"/><Relationship Id="rId105" Type="http://schemas.openxmlformats.org/officeDocument/2006/relationships/hyperlink" Target="https://developers.google.com/identity/sms-retriever/overview" TargetMode="External"/><Relationship Id="rId111" Type="http://schemas.openxmlformats.org/officeDocument/2006/relationships/hyperlink" Target="https://github.com/WICG/WebOTP" TargetMode="External"/><Relationship Id="rId102" Type="http://schemas.openxmlformats.org/officeDocument/2006/relationships/hyperlink" Target="https://github.com/nahmedpsu/OTP-DDOS" TargetMode="External"/><Relationship Id="rId107" Type="http://schemas.openxmlformats.org/officeDocument/2006/relationships/hyperlink" Target="https://www.itl.nist.gov/div898/handbook/pmc/section3/pmc323.htm" TargetMode="External"/><Relationship Id="rId108" Type="http://schemas.openxmlformats.org/officeDocument/2006/relationships/hyperlink" Target="https://www.twilio.com/docs/lookup/v2-api/sms-pumping-risk" TargetMode="External"/><Relationship Id="rId110" Type="http://schemas.openxmlformats.org/officeDocument/2006/relationships/hyperlink" Target="https://www.twilio.com/docs/verify/preventing-toll-fraud/sms-fraud-guard" TargetMode="External"/><Relationship Id="rId109"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106" Type="http://schemas.openxmlformats.org/officeDocument/2006/relationships/hyperlink" Target="https://attack.mitre.org/techniques/T1496/003/" TargetMode="External"/><Relationship Id="rId104" Type="http://schemas.openxmlformats.org/officeDocument/2006/relationships/hyperlink" Target="https://commsrisk.com/elon-musk-says-twitter-lost-60mn-a-year-because-390-telcos-used-bot-accounts-to-pump-a2p-sms/" TargetMode="External"/><Relationship Id="rId105" Type="http://schemas.openxmlformats.org/officeDocument/2006/relationships/hyperlink" Target="https://developers.google.com/identity/sms-retriever/overview" TargetMode="External"/><Relationship Id="rId111" Type="http://schemas.openxmlformats.org/officeDocument/2006/relationships/hyperlink" Target="https://github.com/WICG/WebOTP" TargetMode="External"/><Relationship Id="rId102" Type="http://schemas.openxmlformats.org/officeDocument/2006/relationships/hyperlink" Target="https://github.com/nahmedpsu/OTP-DDOS" TargetMode="External"/><Relationship Id="rId107" Type="http://schemas.openxmlformats.org/officeDocument/2006/relationships/hyperlink" Target="https://www.itl.nist.gov/div898/handbook/pmc/section3/pmc323.htm" TargetMode="External"/><Relationship Id="rId108" Type="http://schemas.openxmlformats.org/officeDocument/2006/relationships/hyperlink" Target="https://www.twilio.com/docs/lookup/v2-api/sms-pumping-risk" TargetMode="External"/><Relationship Id="rId110" Type="http://schemas.openxmlformats.org/officeDocument/2006/relationships/hyperlink" Target="https://www.twilio.com/docs/verify/preventing-toll-fraud/sms-fraud-guard" TargetMode="External"/><Relationship Id="rId109"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2026-10-23T21:24:55Z</dcterms:created>
  <dcterms:modified xsi:type="dcterms:W3CDTF">2026-10-23T21:24:55Z</dcterms:modified>
</cp:coreProperties>
</file>

<file path=docProps/custom.xml><?xml version="1.0" encoding="utf-8"?>
<Properties xmlns="http://schemas.openxmlformats.org/officeDocument/2006/custom-properties" xmlns:vt="http://schemas.openxmlformats.org/officeDocument/2006/docPropsVTypes"/>
</file>