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8 and the attacked-service table are reworked. The incident narrative is removed.</w:t>
      </w:r>
    </w:p>
    <w:p>
      <w:pPr>
        <w:spacing w:after="120"/>
      </w:pPr>
      <w:r>
        <w:rPr>
          <w:b/>
          <w:bCs/>
        </w:rPr>
        <w:t xml:space="preserve">Manuscript.</w:t>
      </w:r>
      <w:r>
        <w:t xml:space="preserve"> Revision 8 has 14,822 words from the title to the references inclusive (14,828 by a whitespace count) and 19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architecture of the implementation is drawn as Figure 3, the twelve steps as a block diagram (Figure 4) and given as Algorithm 2 as implemented; the evaluation method is drawn as Figure 5 and one simulation run is given as Algorithm 3; Figures 1 to 5 are drawn in one coloured style with a line of text per element, and what each element means is explained in the text where the figure is cited rather than inside the figure; the contributions are four short labelled statements; the operating-boundary figure is split into three figures set beside their paragraphs; Section 6.2 compares the design with the six benchmark designs run on the same traffic (Table 9) and with the nearest external work on what each needs and reports;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8, Tables 7 and 8 and the Figure 6 key are done (Section 6 of this letter); Figures 1 to 5 are redrawn without text-dense boxes, their detail moved to the text.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6.3.</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6.3.</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6.3;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6.3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6.3.</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6.3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4, a block diagram, and the threat model has its own figure, Figure 2. Revision 7's Tables 4 to 8 are therefore Tables 2 to 6, and revision 7's Table 9 is split into Tables 7 (pumper on shared blocks) and 8 (poisoner); the architecture of the implementation is new Figure 3 (Section 3.3) and the evaluation method is new Figure 5 (Section 4), so revision 7's Figures 1 and 2 are Figures 6 and 7, and revision 7's Figure 3 is split into Figures 8 to 10, one per panel. Algorithm 2 gives the v2 pipeline and its feedback loop as implemented (Section 3.3), Algorithm 3 gives one simulation run as the evaluation harness executes it (Section 4.2), and Table 9 (Section 6.2) sets every design against every source-side attacker.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 comparison with the in-study benchmark designs and the nearest work as 6.2, and the limitations as 6.3)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9 appear in order on pages 5, 11, 12, 13, 13, 14, 15, 15 and 17, Figures 1 to 10 on pages 3, 6, 7, 8, 10, 13, 14, 15, 16 and 16, and Algorithms 1 to 3 on pages 6, 9 and 11, each on the page of the paragraph that discusses it or the page after, which we checked page by page.</w:t>
      </w:r>
    </w:p>
    <w:p>
      <w:pPr>
        <w:pStyle w:val="ListParagraph"/>
        <w:numPr>
          <w:ilvl w:val="0"/>
          <w:numId w:val="2"/>
        </w:numPr>
        <w:spacing w:after="60"/>
      </w:pPr>
      <w:r>
        <w:rPr>
          <w:b/>
          <w:bCs/>
        </w:rPr>
        <w:t xml:space="preserve">Figures 8 to 10 (revision 7's Figure 3).</w:t>
      </w:r>
      <w:r>
        <w:t xml:space="preserve"> The three panels are now three column-width figures, each set beside the paragraph that discusses it, drawn from the same data (text of 10 to 11 pt drawn, about 9 pt as printed). Measurements have filled markers and solid or dashed lines; the estimates (Equations 2, 3 and 4) have hollow markers and dotted or dash-dot lines. Each security figure has two legends, one for measurements ('mean over five seeds, 95 % interval') and one for estimates, and every axis label says when the scale is logarithmic; the text says so too ('its horizontal axis is logarithmic' for Figure 8, 'both axes are logarithmic' for Figures 9 and 10).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Figures 6 and 7 (revision 7's Figures 1 and 2).</w:t>
      </w:r>
      <w:r>
        <w:t xml:space="preserve"> Both figures now name every setting in plain words (its rule, threshold and credit, or its quota and window) and carry their legends and axis labels in the same words; Figure 7 groups its rows by carrier. The settings matched to the default's false alarms at other credits share one note in Figure 6, and the text says what they are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14 and runs onto page 15 with no float inside the text; the two tables, introduced on page 14, are set on page 15, and Figures 8 to 10 are set beside the paragraphs that discuss them on pages 15 and 16.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6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6's interval construction, Figure 7's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2026-10-23T21:24:56.661Z</dcterms:created>
  <dcterms:modified xsi:type="dcterms:W3CDTF">2026-10-23T21:24:56.661Z</dcterms:modified>
</cp:coreProperties>
</file>

<file path=docProps/custom.xml><?xml version="1.0" encoding="utf-8"?>
<Properties xmlns="http://schemas.openxmlformats.org/officeDocument/2006/custom-properties" xmlns:vt="http://schemas.openxmlformats.org/officeDocument/2006/docPropsVTypes"/>
</file>