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be answered before any account exists. Attackers abuse this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a low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0"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wants [9]. Addresses are not scarce either: five residential proxy services relayed through 6.2 million addresses in 238 countries, 90% of them for under 15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approximately a dollar per thousand solutions from a labor market that was already paying ten dollars per thousand in 2007 [12]. Supervised detection requires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Therefore, the two closest studies each act on one destination signal, and neither measures the cost of acting on it. Huh et al. [4] report that approximately 92% of attack requests fell on prefixes with zero conversion, against 21% for genuine traffic; thus, whether codes are entered is informative; however, the signal enters a classifier that requires labeled traffic and was not released because it is deployed. Zaliskyi and Odarchenko [8] act on send counts alone, without outcomes, and conclude that counts by themselves cannot safely separate inflated traffic from a campaign. Neither reports what a destination policy costs legitimate users who share a number block with an attacker, with or without an attack, and neither fixed its setting before seeing the evaluation traffic.</w:t>
      </w:r>
    </w:p>
    <w:p>
      <w:pPr>
        <w:pStyle w:val="BodyText"/>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that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p>
      <w:pPr>
        <w:pStyle w:val="BodyText"/>
      </w:pPr>
      <w:r>
        <w:t xml:space="preserve">We answer these questions in simulation, inside a complete defense for a registration flow, and we release the implementation, protocols, and every run’s configuration and outcome [13]. Everything is simulated: three behavioral parameters have published counterparts, and the rest are our assumptions. The main contributions of this study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w:t>
      </w:r>
    </w:p>
    <w:p>
      <w:pPr>
        <w:numPr>
          <w:ilvl w:val="0"/>
          <w:numId w:val="1001"/>
        </w:numPr>
      </w:pPr>
      <w:r>
        <w:t xml:space="preserve">We derive from the rules alone when counting leaks less than testing, and check the estimates against measurements over attacks of up to an hour.</w:t>
      </w:r>
    </w:p>
    <w:p>
      <w:pPr>
        <w:pStyle w:val="FirstParagraph"/>
      </w:pPr>
      <w:r>
        <w:t xml:space="preserve">The remainder of this article is organized as follows. Section II reviews the related work and states the gap. Section III presents the baseline and its gaps, the threat model, the design, and its leakage estimates. Section IV describes the implementation, the simulator, the two protocols, and the metrics. Section V presents the results. Section VI discusses them, sets the design against the benchmark designs and the nearest work, and states the limitations. Section VII concludes the article.</w:t>
      </w:r>
    </w:p>
    <w:bookmarkEnd w:id="20"/>
    <w:bookmarkStart w:id="29" w:name="ii.-related-work"/>
    <w:p>
      <w:pPr>
        <w:pStyle w:val="Heading1"/>
      </w:pPr>
      <w:r>
        <w:t xml:space="preserve">II. RELATED WORK</w:t>
      </w:r>
    </w:p>
    <w:p>
      <w:pPr>
        <w:pStyle w:val="FirstParagraph"/>
      </w:pPr>
      <w:r>
        <w:t xml:space="preserve">We group prior work by where it acts on the path of an OTP request, which is shown in Figure 1.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proxies,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4"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4"/>
    <w:bookmarkStart w:id="25"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About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 detector needs labeled traffic and acts per request, reports its cost to users as false positives only, and was not released because it is deployed. We add a controlled comparison of two label-free ways to act on destination aggregation per block, from send counts or code outcomes, and of their cost to users sharing a block; we did not reproduce theirs, so we do not rank the two.</w:t>
      </w:r>
    </w:p>
    <w:p>
      <w:pPr>
        <w:pStyle w:val="BodyText"/>
      </w:pPr>
      <w:r>
        <w:t xml:space="preserve">Zaliskyi and Odarchenko [8] counted A2P sends per prefix (a number less its last three digits) in fixed or rolling five-minute windows and quarantined a prefix for 24 hours past a day or night threshold. On the metadata of two confirmed incidents, fixed windows blocked 95% and 63% of the traffic, and 58% of a legitimate marketing campaign; counting unique recipients blocked 2% of the campaign and none of the first incident. The authors concluded that message counts alone cannot safely separate inflated traffic from a campaign; they did not use verification outcomes. Their numbers, messages blocked on real traffic, are not comparable with ours, which come from simulation and charge a policy with what users sharing a block lose.</w:t>
      </w:r>
    </w:p>
    <w:p>
      <w:pPr>
        <w:pStyle w:val="BodyText"/>
      </w:pPr>
      <w:r>
        <w:t xml:space="preserve">The messaging vendors act one hop later. Twilio’s Fraud Guard blocks sends to a destination prefix or country whose pattern departs from the account’s history, at three protection levels with claimed false-positive rates under 1% and 2% [6]; its SMS Pumping Risk Score rates a number from 0 to 100 from Fraud Guard, risky carriers, traffic patterns and low conversion, advising friction from 60 and refusal above 90 [7]. Graded destination action is established practice, but the signals and models are undisclosed, so we benchmarked no product.</w:t>
      </w:r>
    </w:p>
    <w:p>
      <w:pPr>
        <w:pStyle w:val="BodyText"/>
      </w:pPr>
      <w:r>
        <w:t xml:space="preserve">These works establish that attacks concentrate on destination prefixes and avoid converting, that counts alone misfire on campaigns, and that some campaigns now enter codes to pass conversion rules; we modeled the attackers that enter codes, fake receipts, and build trust (Table 2) on that counter-move.</w:t>
      </w:r>
    </w:p>
    <w:bookmarkEnd w:id="25"/>
    <w:bookmarkStart w:id="26" w:name="c.-what-an-attacker-can-buy"/>
    <w:p>
      <w:pPr>
        <w:pStyle w:val="Heading2"/>
      </w:pPr>
      <w:r>
        <w:t xml:space="preserve">C. WHAT AN ATTACKER CAN BUY</w:t>
      </w:r>
    </w:p>
    <w:p>
      <w:pPr>
        <w:pStyle w:val="FirstParagraph"/>
      </w:pPr>
      <w:r>
        <w:t xml:space="preserve">The cost of a source-side control to an attacker has been measured. Motoyama et al. [12] bought CAPTCHA solutions from eight retail services at $1 to $20 per thousand, found that the wage for solving had fallen from $10 per thousand in 2007 to about a dollar by 2009, and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6.2 million addresses in 238 countries, 95% of them residential, 90% relaying for under 870 seconds and 2.2% on any blacklist; Richter et al. [11] found carrier-grade NAT in more than 90% of cellular networks, with dozens of subscribers behind one address,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however, we did not evaluate them.</w:t>
      </w:r>
    </w:p>
    <w:p>
      <w:pPr>
        <w:pStyle w:val="BodyText"/>
      </w:pPr>
      <w:r>
        <w:t xml:space="preserve">These measurements indicate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6"/>
    <w:bookmarkStart w:id="27" w:name="X0b5fa62a2180f31857614319d7afb4cbb0e64f3"/>
    <w:p>
      <w:pPr>
        <w:pStyle w:val="Heading2"/>
      </w:pPr>
      <w:r>
        <w:t xml:space="preserve">D. SEQUENTIAL TESTS AND ATTACKS ON THE DELIVERED CODE</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the CUSUM parameters follow from the error rates it must meet [20]; windowed statistics and the time-uniform confidence sequences of Howard et al. [21], which stay valid at any stopping time, are not evaluated here; therefore,</w:t>
      </w:r>
      <w:r>
        <w:t xml:space="preserve"> </w:t>
      </w:r>
      <w:r>
        <w:t xml:space="preserve">‘</w:t>
      </w:r>
      <w:r>
        <w:t xml:space="preserve">testing</w:t>
      </w:r>
      <w:r>
        <w:t xml:space="preserve">’</w:t>
      </w:r>
      <w:r>
        <w:t xml:space="preserve"> </w:t>
      </w:r>
      <w:r>
        <w:t xml:space="preserve">below refers to our conversion and speed tests only, and we report their error rates empirically rather than derive them.</w:t>
      </w:r>
    </w:p>
    <w:p>
      <w:pPr>
        <w:pStyle w:val="BodyText"/>
      </w:pPr>
      <w:r>
        <w:t xml:space="preserve">Malware on the handset or a social-engineering call can take a code after it is delivered [22], [23]. These attacks begin where our work stops: we ask whether a message should be sent at all, and leave the protection of a delivered code aside.</w:t>
      </w:r>
    </w:p>
    <w:bookmarkEnd w:id="27"/>
    <w:bookmarkStart w:id="28" w:name="e.-the-gap"/>
    <w:p>
      <w:pPr>
        <w:pStyle w:val="Heading2"/>
      </w:pPr>
      <w:r>
        <w:t xml:space="preserve">E.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is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is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8"/>
    <w:bookmarkEnd w:id="29"/>
    <w:bookmarkStart w:id="54" w:name="iii.-threat-model-and-design"/>
    <w:p>
      <w:pPr>
        <w:pStyle w:val="Heading1"/>
      </w:pPr>
      <w:r>
        <w:t xml:space="preserve">III. THREAT MODEL AND DESIGN</w:t>
      </w:r>
    </w:p>
    <w:p>
      <w:pPr>
        <w:pStyle w:val="FirstParagraph"/>
      </w:pPr>
      <w:r>
        <w:t xml:space="preserve">This section describes the baseline we replaced, the attacker our design must resist, the twelve steps and two destination policies we designed, and the estimates of leakage we derived from its rules.</w:t>
      </w:r>
    </w:p>
    <w:bookmarkStart w:id="33"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1" name="Picture"/>
            <a:graphic>
              <a:graphicData uri="http://schemas.openxmlformats.org/drawingml/2006/picture">
                <pic:pic>
                  <pic:nvPicPr>
                    <pic:cNvPr descr="figures/alg1_v1.png" id="32" name="Picture"/>
                    <pic:cNvPicPr>
                      <a:picLocks noChangeArrowheads="1" noChangeAspect="1"/>
                    </pic:cNvPicPr>
                  </pic:nvPicPr>
                  <pic:blipFill>
                    <a:blip r:embed="rId30"/>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3"/>
    <w:bookmarkStart w:id="37"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who is paid a share of the termination fee by the operator that terminates its ranges; it earns nothing on any other number, so its traffic concentrates on the blocks it is paid for. The share is not public; therefore, in Section V-H, we report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5" name="Picture"/>
            <a:graphic>
              <a:graphicData uri="http://schemas.openxmlformats.org/drawingml/2006/picture">
                <pic:pic>
                  <pic:nvPicPr>
                    <pic:cNvPr descr="figures/fig9_threat_model.png" id="36" name="Picture"/>
                    <pic:cNvPicPr>
                      <a:picLocks noChangeArrowheads="1" noChangeAspect="1"/>
                    </pic:cNvPicPr>
                  </pic:nvPicPr>
                  <pic:blipFill>
                    <a:blip r:embed="rId34"/>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approximately 0.3 cents each; therefore,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uniform response that Section III-C describes.</w:t>
      </w:r>
    </w:p>
    <w:p>
      <w:pPr>
        <w:pStyle w:val="BodyText"/>
      </w:pPr>
      <w:r>
        <w:t xml:space="preserve">On its own ranges, a pumper’s operator can do what a real recipient can: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II-D) and compromise of the service, its vendors, or the attestation providers are outside the model. Table 2 lists the 25 profiles that instantiate these capabilities; pool size, rate, and CAPTCHA class are drawn per seed.</w:t>
      </w:r>
    </w:p>
    <w:bookmarkEnd w:id="37"/>
    <w:bookmarkStart w:id="47"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as one compare-and-set. All state lives in one store, Redis in production, and an in-memory twin with the same rules in the tests and the simulator, so what the loop writes the next request reads, which is how the outcome of one send changes the judgment of the next, and any instance can verify any code. One worker per deployment ticks every minute to resolve the sends that timed out and to run the baseline job that sets the multipliers of Step 9 from the pipeline’s own counters. Every external dependency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39" name="Picture"/>
            <a:graphic>
              <a:graphicData uri="http://schemas.openxmlformats.org/drawingml/2006/picture">
                <pic:pic>
                  <pic:nvPicPr>
                    <pic:cNvPr descr="figures/fig12_architecture.png" id="40" name="Picture"/>
                    <pic:cNvPicPr>
                      <a:picLocks noChangeArrowheads="1" noChangeAspect="1"/>
                    </pic:cNvPicPr>
                  </pic:nvPicPr>
                  <pic:blipFill>
                    <a:blip r:embed="rId38"/>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that the client cannot forge, an attestation, a server-signed session, and the fate of earlier codes, though such evidence can be manufactured (Section V-F).</w:t>
      </w:r>
    </w:p>
    <w:p>
      <w:pPr>
        <w:pStyle w:val="BodyText"/>
      </w:pPr>
      <w:r>
        <w:t xml:space="preserve">A request passes the twelve steps of Figure 4 in order until one refuses it. The figure numbers its stages in reading order: stages 1 to 4 are Steps 0 to 4, with Steps 3 and 4 drawn as one stage, the web checks; from stage 5 on the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provides the same pipeline as that implemented,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is the source cap.</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operation, but the enclosing steps are not one transaction, and a crash between them can leak reservations (Section IV-A);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2" name="Picture"/>
            <a:graphic>
              <a:graphicData uri="http://schemas.openxmlformats.org/drawingml/2006/picture">
                <pic:pic>
                  <pic:nvPicPr>
                    <pic:cNvPr descr="figures/fig10_steps.png" id="43" name="Picture"/>
                    <pic:cNvPicPr>
                      <a:picLocks noChangeArrowheads="1" noChangeAspect="1"/>
                    </pic:cNvPicPr>
                  </pic:nvPicPr>
                  <pic:blipFill>
                    <a:blip r:embed="rId41"/>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4319999" cy="6009564"/>
            <wp:effectExtent b="0" l="0" r="0" t="0"/>
            <wp:docPr descr="" title="" id="45" name="Picture"/>
            <a:graphic>
              <a:graphicData uri="http://schemas.openxmlformats.org/drawingml/2006/picture">
                <pic:pic>
                  <pic:nvPicPr>
                    <pic:cNvPr descr="figures/alg2_v2.png" id="46" name="Picture"/>
                    <pic:cNvPicPr>
                      <a:picLocks noChangeArrowheads="1" noChangeAspect="1"/>
                    </pic:cNvPicPr>
                  </pic:nvPicPr>
                  <pic:blipFill>
                    <a:blip r:embed="rId44"/>
                    <a:stretch>
                      <a:fillRect/>
                    </a:stretch>
                  </pic:blipFill>
                  <pic:spPr bwMode="auto">
                    <a:xfrm>
                      <a:off x="0" y="0"/>
                      <a:ext cx="4319999" cy="6009564"/>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7"/>
    <w:bookmarkStart w:id="48"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carries,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A block’s statistic accumulates in processing order and a verdict is dated at the event that completes the crossing, so a late event can backdate a verdict and move its expiry; simulated runs apply events in time order, but concurrent live instances may not, so the same dependence holds live unless a block’s effects are serialized.</w:t>
      </w:r>
    </w:p>
    <w:bookmarkEnd w:id="48"/>
    <w:bookmarkStart w:id="51" w:name="e.-destination-policies"/>
    <w:p>
      <w:pPr>
        <w:pStyle w:val="Heading2"/>
      </w:pPr>
      <w:r>
        <w:t xml:space="preserve">E. DESTINATION POLICIES</w:t>
      </w:r>
    </w:p>
    <w:p>
      <w:pPr>
        <w:pStyle w:val="FirstParagraph"/>
      </w:pPr>
      <w:r>
        <w:t xml:space="preserve">A pumper is confined to its partner’s range but can rotate numbers and blocks within them. Destination policies are keyed on the 8-digit block (10,000 numbers); therefore, protection weakens as the pumper spreads.</w:t>
      </w:r>
    </w:p>
    <w:bookmarkStart w:id="49"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verdict within the hour moves them off SMS, refusing those without another channel.</w:t>
      </w:r>
    </w:p>
    <w:bookmarkEnd w:id="49"/>
    <w:bookmarkStart w:id="50"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that concurrent requests cannot skip the challenge. Beyond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0"/>
    <w:bookmarkEnd w:id="51"/>
    <w:bookmarkStart w:id="52"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static caps or the budget, which bounds SMS count and spend, not vendor or fallback costs.</w:t>
      </w:r>
    </w:p>
    <w:bookmarkEnd w:id="52"/>
    <w:bookmarkStart w:id="53"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has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both policies.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including the sends of verified clients.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to be simulated.</w:t>
      </w:r>
    </w:p>
    <w:bookmarkEnd w:id="53"/>
    <w:bookmarkEnd w:id="54"/>
    <w:bookmarkStart w:id="65"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describes the implementation, simulator, protocols, and metrics in that order.</w:t>
      </w:r>
    </w:p>
    <w:p>
      <w:pPr>
        <w:pStyle w:val="CaptionedFigure"/>
      </w:pPr>
      <w:r>
        <w:drawing>
          <wp:inline>
            <wp:extent cx="5334000" cy="2408776"/>
            <wp:effectExtent b="0" l="0" r="0" t="0"/>
            <wp:docPr descr="" title="" id="56" name="Picture"/>
            <a:graphic>
              <a:graphicData uri="http://schemas.openxmlformats.org/drawingml/2006/picture">
                <pic:pic>
                  <pic:nvPicPr>
                    <pic:cNvPr descr="figures/fig11_method.png" id="57" name="Picture"/>
                    <pic:cNvPicPr>
                      <a:picLocks noChangeArrowheads="1" noChangeAspect="1"/>
                    </pic:cNvPicPr>
                  </pic:nvPicPr>
                  <pic:blipFill>
                    <a:blip r:embed="rId55"/>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 is described below.</w:t>
      </w:r>
    </w:p>
    <w:bookmarkStart w:id="58" w:name="a.-implementation"/>
    <w:p>
      <w:pPr>
        <w:pStyle w:val="Heading2"/>
      </w:pPr>
      <w:r>
        <w:t xml:space="preserve">A. IMPLEMENTATION</w:t>
      </w:r>
    </w:p>
    <w:p>
      <w:pPr>
        <w:pStyle w:val="FirstParagraph"/>
      </w:pPr>
      <w:r>
        <w:t xml:space="preserve">We implemented the pipeline of Algorithm 2 in approximately 4,000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ran against a real</w:t>
      </w:r>
      <w:r>
        <w:t xml:space="preserve"> </w:t>
      </w:r>
      <w:r>
        <w:rPr>
          <w:rStyle w:val="VerbatimChar"/>
        </w:rPr>
        <w:t xml:space="preserve">redis-server</w:t>
      </w:r>
      <w:r>
        <w:t xml:space="preserve"> </w:t>
      </w:r>
      <w:r>
        <w:t xml:space="preserve">and 18 exercised specific interleavings of two instances, not all. Step 11 is still not one transaction: a crash after its reservations leaks reserved slots or resolves the send as undelivered. The implementation is a research prototype.</w:t>
      </w:r>
    </w:p>
    <w:bookmarkEnd w:id="58"/>
    <w:bookmarkStart w:id="62" w:name="b.-simulation"/>
    <w:p>
      <w:pPr>
        <w:pStyle w:val="Heading2"/>
      </w:pPr>
      <w:r>
        <w:t xml:space="preserve">B. SIMULATION</w:t>
      </w:r>
    </w:p>
    <w:p>
      <w:pPr>
        <w:pStyle w:val="FirstParagraph"/>
      </w:pPr>
      <w:r>
        <w:t xml:space="preserve">We run the pipeline against scripted vendor fakes on a simulated clock, as set out in Algorithm 3. A seed</w:t>
      </w:r>
      <w:r>
        <w:t xml:space="preserve"> </w:t>
      </w:r>
      <m:oMath>
        <m:r>
          <m:t>z</m:t>
        </m:r>
      </m:oMath>
      <w:r>
        <w:t xml:space="preserve"> </w:t>
      </w:r>
      <w:r>
        <w:t xml:space="preserve">opens three random streams: for the users, the attacker, and the challenge outcomes; therefore, every scenario at a seed, including the attack-free scenario,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period, resolution timeout,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code hash. After a warm-up of ten minutes (30 or 130 for pumping), the attack runs over legitimate traffic at 20 requests per minute. Our simulated users verified 80% of codes after a lognormal delay (median 22 s; 2 s for the 20% using autofill); 70% of numbers were reachable on WhatsApp; 90% of users completed a challenge; 20% were returning account holders with a stable fingerprint, a trusted number, and verified history; therefore, our results for returning users described trusted identities only.</w:t>
      </w:r>
    </w:p>
    <w:p>
      <w:pPr>
        <w:pStyle w:val="CaptionedFigure"/>
      </w:pPr>
      <w:r>
        <w:drawing>
          <wp:inline>
            <wp:extent cx="4319999" cy="3458473"/>
            <wp:effectExtent b="0" l="0" r="0" t="0"/>
            <wp:docPr descr="" title="" id="60" name="Picture"/>
            <a:graphic>
              <a:graphicData uri="http://schemas.openxmlformats.org/drawingml/2006/picture">
                <pic:pic>
                  <pic:nvPicPr>
                    <pic:cNvPr descr="figures/alg3_sim.png" id="61" name="Picture"/>
                    <pic:cNvPicPr>
                      <a:picLocks noChangeArrowheads="1" noChangeAspect="1"/>
                    </pic:cNvPicPr>
                  </pic:nvPicPr>
                  <pic:blipFill>
                    <a:blip r:embed="rId59"/>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2"/>
    <w:bookmarkStart w:id="63"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50,000 to 500,000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(9,919, 7,925, and 240 runs, each carrying its code hash); against 2.8.0, total leakage changed in 855 of 17,964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3"/>
    <w:bookmarkStart w:id="64" w:name="d.-designs-and-metrics"/>
    <w:p>
      <w:pPr>
        <w:pStyle w:val="Heading2"/>
      </w:pPr>
      <w:r>
        <w:t xml:space="preserve">D. DESIGNS AND METRICS</w:t>
      </w:r>
    </w:p>
    <w:p>
      <w:pPr>
        <w:pStyle w:val="FirstParagraph"/>
      </w:pPr>
      <w:r>
        <w:t xml:space="preserve">We evaluated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4"/>
    <w:bookmarkEnd w:id="65"/>
    <w:bookmarkStart w:id="86" w:name="v.-results"/>
    <w:p>
      <w:pPr>
        <w:pStyle w:val="Heading1"/>
      </w:pPr>
      <w:r>
        <w:t xml:space="preserve">V. RESULTS</w:t>
      </w:r>
    </w:p>
    <w:bookmarkStart w:id="66"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lists the leaked share (%, mean of per-run shares) of approximately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lists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66"/>
    <w:bookmarkStart w:id="67"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respectively,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67"/>
    <w:bookmarkStart w:id="68"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68"/>
    <w:bookmarkStart w:id="69"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being 20% and 64%. Both assume an oracle job that is told the legitimate rate and runs every minute; running every five minutes or hourly, it lets 75%–96% of the farm’s requests through. Learning the rate from the pipeline counters, the deployed job leaked 193 [161, 229] messages with a clean three-week profile, 340 [239, 441] more on a cold start, 106 [62, 151] more with a stale profile, and 45 [10, 77] more with a poisoned one.</w:t>
      </w:r>
    </w:p>
    <w:bookmarkEnd w:id="69"/>
    <w:bookmarkStart w:id="70"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verified leaked 570 [419, 736] messages under v1, which contained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1,067 [839, 1,310]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remain contained.</w:t>
      </w:r>
    </w:p>
    <w:bookmarkEnd w:id="70"/>
    <w:bookmarkStart w:id="83"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 level.</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level."/>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1"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therefore,</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The selection is not an artifact of the objective: with the full grid and density-specific attacks (E5), and under other objectives on the tuning runs (worst-case leakage, a first-time-loss constraint, each attacker alone, 2,000 random mixes), the rule selects the same counters, except for the instant verifier alone and 3 of the mixes at 200 blocks.</w:t>
      </w:r>
    </w:p>
    <w:p>
      <w:pPr>
        <w:pStyle w:val="TableCaption"/>
      </w:pPr>
      <w:r>
        <w:rPr>
          <w:bCs/>
          <w:b/>
        </w:rPr>
        <w:t xml:space="preserve">TABLE 5.</w:t>
      </w:r>
      <w:r>
        <w:t xml:space="preserve"> </w:t>
      </w:r>
      <w:r>
        <w:t xml:space="preserve">The frozen counter on seeds and workloads that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that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1"/>
    <w:bookmarkStart w:id="72"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5,509 [4,409, 6,567]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1,149 [953, 1,340]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the default tests 1,357 at 1.09 [0.59, 1.59] and the counter 1,662 at 0.72 [0.44, 1.02], and the token buckets spared the poisoner’s users only by letting almost everything through. Returning users, all simulated with verified history, lost nothing.</w:t>
      </w:r>
    </w:p>
    <w:bookmarkEnd w:id="72"/>
    <w:bookmarkStart w:id="82" w:name="the-counters-boundary"/>
    <w:p>
      <w:pPr>
        <w:pStyle w:val="Heading3"/>
      </w:pPr>
      <w:r>
        <w:t xml:space="preserve">3) THE COUNTER’S BOUNDARY</w:t>
      </w:r>
    </w:p>
    <w:p>
      <w:pPr>
        <w:pStyle w:val="FirstParagraph"/>
      </w:pPr>
      <w:r>
        <w:t xml:space="preserve">Figures 6–8 show the counter’s operating boundary (E4, seeds 300–304): each point is a mean over five seeds with its 95% interval, lines join the sampled settings without locating a crossover, and the horizontal axes are logarithmic. Figure 6 plots the attributable loss of the three hot blocks’ users, in points of completion, against the legitimate rate on those blocks, from one half to eight sends per block per ten minutes, with 70% of users reachable on WhatsApp, attack-free (hollow markers) and with a never-verifying pumper on the same blocks (filled); the dotted line is the counter’s quota of four. Attack-free, the counter costs a block’s users nothing at one send per ten minutes, 2.3 points at four and 5.5 at eight, far below the idealized share beyond the quota (27% at four), since most challenged users complete or switch to WhatsApp; without WhatsApp, eight sends cost 13.2, and a 30-minute launch at three times the normal rate costs 16.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4" name="Picture"/>
            <a:graphic>
              <a:graphicData uri="http://schemas.openxmlformats.org/drawingml/2006/picture">
                <pic:pic>
                  <pic:nvPicPr>
                    <pic:cNvPr descr="figures/fig7a_service.png" id="75" name="Picture"/>
                    <pic:cNvPicPr>
                      <a:picLocks noChangeArrowheads="1" noChangeAspect="1"/>
                    </pic:cNvPicPr>
                  </pic:nvPicPr>
                  <pic:blipFill>
                    <a:blip r:embed="rId7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Figures 7 and 8 plot the messages a pumper got through against the number of blocks it spread over, 3 to 300. Figure 7 covers a 20-minute attack under no policy, the default tests and the selected counter, for a pumper at full rate (solid lines) and one paced to the counter’s quota (dashed).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what the quota allows, which is what it leaks with no policy (24 messages on three blocks in twenty minutes, 71 in an hour), and a little less under the tests (23).</w:t>
      </w:r>
    </w:p>
    <w:p>
      <w:pPr>
        <w:pStyle w:val="CaptionedFigure"/>
      </w:pPr>
      <w:r>
        <w:drawing>
          <wp:inline>
            <wp:extent cx="5334000" cy="3946421"/>
            <wp:effectExtent b="0" l="0" r="0" t="0"/>
            <wp:docPr descr="" title="" id="77" name="Picture"/>
            <a:graphic>
              <a:graphicData uri="http://schemas.openxmlformats.org/drawingml/2006/picture">
                <pic:pic>
                  <pic:nvPicPr>
                    <pic:cNvPr descr="figures/fig7b_security20.png" id="78" name="Picture"/>
                    <pic:cNvPicPr>
                      <a:picLocks noChangeArrowheads="1" noChangeAspect="1"/>
                    </pic:cNvPicPr>
                  </pic:nvPicPr>
                  <pic:blipFill>
                    <a:blip r:embed="rId76"/>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20 min against the blocks a pumper spreads over.</w:t>
      </w:r>
    </w:p>
    <w:p>
      <w:pPr>
        <w:pStyle w:val="BodyText"/>
      </w:pPr>
      <w:r>
        <w:t xml:space="preserve">Figure 8 shows the hour-long attack at full rate against the estimates of Section III-G, computed from each run’s offered requests, offered rate, and configured timeouts, nothing fitted: Equation (2) for the tests and Equations (3) and (4) for the counter’s cold- and warm-start bounds, drawn hollow on dotted lines (the 20-minute estimates are in</w:t>
      </w:r>
      <w:r>
        <w:t xml:space="preserve"> </w:t>
      </w:r>
      <w:r>
        <w:rPr>
          <w:rStyle w:val="VerbatimChar"/>
        </w:rPr>
        <w:t xml:space="preserve">results/ condition_check.json</w:t>
      </w:r>
      <w:r>
        <w:t xml:space="preserve">). Over 60 min,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setting aside the exempt sends to real users’ trusted numbers, no run that started cold exceeded Equation (3) and none exceeded Equation (4). With these unfitted inputs Equation (5) ordered the policies’ mean leakage in 18 of 18 decisive cells (two ties at</w:t>
      </w:r>
      <w:r>
        <w:t xml:space="preserve"> </w:t>
      </w:r>
      <m:oMath>
        <m:r>
          <m:t>N</m:t>
        </m:r>
      </m:oMath>
      <w:r>
        <w:t xml:space="preserve">), and with the warm-start term in 17, missing where the two estimates differ by 0.8 messages (30 blocks, 20 minutes; measured difference 6.6 [−27.2, 42.4]). The algebraic crossing lies near five blocks for an hour and 30 for 20 min, where the nearest measured differences do not exclude zero; it is not a measured switching point.</w:t>
      </w:r>
    </w:p>
    <w:p>
      <w:pPr>
        <w:pStyle w:val="CaptionedFigure"/>
      </w:pPr>
      <w:r>
        <w:drawing>
          <wp:inline>
            <wp:extent cx="5334000" cy="3946421"/>
            <wp:effectExtent b="0" l="0" r="0" t="0"/>
            <wp:docPr descr="" title="" id="80" name="Picture"/>
            <a:graphic>
              <a:graphicData uri="http://schemas.openxmlformats.org/drawingml/2006/picture">
                <pic:pic>
                  <pic:nvPicPr>
                    <pic:cNvPr descr="figures/fig7c_security60.png" id="81" name="Picture"/>
                    <pic:cNvPicPr>
                      <a:picLocks noChangeArrowheads="1" noChangeAspect="1"/>
                    </pic:cNvPicPr>
                  </pic:nvPicPr>
                  <pic:blipFill>
                    <a:blip r:embed="rId79"/>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1 h,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 With caps lifted and no counter, a threshold-aware carrier and a receipt faker leaked 570 each, drawing no verdict, and a datacenter attacker that bought every challenge solution 55; the leakages of these scripted adaptations are not upper bounds.</w:t>
      </w:r>
    </w:p>
    <w:bookmarkEnd w:id="82"/>
    <w:bookmarkEnd w:id="83"/>
    <w:bookmarkStart w:id="84" w:name="g.-the-cost-to-legitimate-users"/>
    <w:p>
      <w:pPr>
        <w:pStyle w:val="Heading2"/>
      </w:pPr>
      <w:r>
        <w:t xml:space="preserve">G. THE COST TO LEGITIMATE USERS</w:t>
      </w:r>
    </w:p>
    <w:p>
      <w:pPr>
        <w:pStyle w:val="FirstParagraph"/>
      </w:pPr>
      <w:r>
        <w:t xml:space="preserve">On one block, 20,000 Monte Carlo trials per cell give the probability of a verdict within 30 legitimate sends: 0.09% [0.06, 0.14] at 80% conversion with 20% autofill, 1.9% at 65% and 19.5% at 50%. Over 24 hours, the default raises 0.5 verdict events per day on 200 busy blocks at 80% conversion and 6.5 at 65%, where they meet 30 of about 28,800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One that stops after ten minutes leaves verdicts meeting 406.5 requests afterwards, an attributable loss of 46.2 [16.9, 79.8]. Grading limits the harm; it caps it neither at the challenge nor at the attack duration.</w:t>
      </w:r>
    </w:p>
    <w:bookmarkEnd w:id="84"/>
    <w:bookmarkStart w:id="85" w:name="h.-economics-and-overhead"/>
    <w:p>
      <w:pPr>
        <w:pStyle w:val="Heading2"/>
      </w:pPr>
      <w:r>
        <w:t xml:space="preserve">H. ECONOMICS AND OVERHEAD</w:t>
      </w:r>
    </w:p>
    <w:p>
      <w:pPr>
        <w:pStyle w:val="FirstParagraph"/>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 On a real Redis (four vCPUs, four workers), sends took 13.8 ms (median) and 21.1 ms (99th percentile), and 133 requests per second passed at concurrency 128 with the 400 ms floor and 50 ms vendor calls; under an adversarial mixture, 81% of sends overran the floor and response-time thresholds separated sends from refusals with 88% balanced accuracy, a separation on that machine, not a deployment accuracy.</w:t>
      </w:r>
    </w:p>
    <w:bookmarkEnd w:id="85"/>
    <w:bookmarkEnd w:id="86"/>
    <w:bookmarkStart w:id="87"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1,149 and no policy 5,509, neither policy costing all users anything on average.</w:t>
      </w:r>
    </w:p>
    <w:p>
      <w:pPr>
        <w:pStyle w:val="BodyText"/>
      </w:pPr>
      <w:r>
        <w:t xml:space="preserve">The nearest external work, set out in Table 1, can be compared only on what each needs and reports, since none ran on the same traffic. Huh et al. [4]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state claimed false-positive rates and report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87"/>
    <w:bookmarkStart w:id="88" w:name="vii.-conclusion"/>
    <w:p>
      <w:pPr>
        <w:pStyle w:val="Heading1"/>
      </w:pPr>
      <w:r>
        <w:t xml:space="preserve">VII. CONCLUSION</w:t>
      </w:r>
    </w:p>
    <w:p>
      <w:pPr>
        <w:pStyle w:val="FirstParagraph"/>
      </w:pPr>
      <w:r>
        <w:t xml:space="preserve">In this work, we asked which of the two label-free destination signals a service that verifies phone numbers by SMS should act on when a pumper is paid at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88"/>
    <w:bookmarkStart w:id="89" w:name="acknowledgment"/>
    <w:p>
      <w:pPr>
        <w:pStyle w:val="Heading1"/>
      </w:pPr>
      <w:r>
        <w:t xml:space="preserve">ACKNOWLEDGMENT</w:t>
      </w:r>
    </w:p>
    <w:p>
      <w:pPr>
        <w:pStyle w:val="FirstParagraph"/>
      </w:pPr>
      <w:r>
        <w:t xml:space="preserve">The author used Claude (Anthropic) to help with code review, code evaluation, and checked every number against the recorded results and every claim against the code, and takes full responsibility for the content. The author would like to thank Prince Sultan University for paying the APC of this manuscript and funding this research.</w:t>
      </w:r>
    </w:p>
    <w:bookmarkEnd w:id="89"/>
    <w:bookmarkStart w:id="91" w:name="data-availability"/>
    <w:p>
      <w:pPr>
        <w:pStyle w:val="Heading1"/>
      </w:pPr>
      <w:r>
        <w:t xml:space="preserve">DATA AVAILABILITY</w:t>
      </w:r>
    </w:p>
    <w:p>
      <w:pPr>
        <w:pStyle w:val="FirstParagraph"/>
      </w:pPr>
      <w:r>
        <w:t xml:space="preserve">Every run’s configuration and outcome and the sources of headline numbers (</w:t>
      </w:r>
      <w:r>
        <w:rPr>
          <w:rStyle w:val="VerbatimChar"/>
        </w:rPr>
        <w:t xml:space="preserve">results/</w:t>
      </w:r>
      <w:r>
        <w:t xml:space="preserve">) are at</w:t>
      </w:r>
      <w:r>
        <w:t xml:space="preserve"> </w:t>
      </w:r>
      <w:hyperlink r:id="rId90">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1"/>
    <w:bookmarkStart w:id="100"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2">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3">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4">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95">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0">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96">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97">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99">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0"/>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44" Type="http://schemas.openxmlformats.org/officeDocument/2006/relationships/image" Target="media/rId44.png"/><Relationship Id="rId59" Type="http://schemas.openxmlformats.org/officeDocument/2006/relationships/image" Target="media/rId59.png"/><Relationship Id="rId41" Type="http://schemas.openxmlformats.org/officeDocument/2006/relationships/image" Target="media/rId41.png"/><Relationship Id="rId55" Type="http://schemas.openxmlformats.org/officeDocument/2006/relationships/image" Target="media/rId55.png"/><Relationship Id="rId38" Type="http://schemas.openxmlformats.org/officeDocument/2006/relationships/image" Target="media/rId38.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21" Type="http://schemas.openxmlformats.org/officeDocument/2006/relationships/image" Target="media/rId21.png"/><Relationship Id="rId34" Type="http://schemas.openxmlformats.org/officeDocument/2006/relationships/image" Target="media/rId34.png"/><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2" Type="http://schemas.openxmlformats.org/officeDocument/2006/relationships/hyperlink" Target="https://attack.mitre.org/techniques/T1496/003/" TargetMode="External"/><Relationship Id="rId93" Type="http://schemas.openxmlformats.org/officeDocument/2006/relationships/hyperlink" Target="https://commsrisk.com/elon-musk-says-twitter-lost-60mn-a-year-because-390-telcos-used-bot-accounts-to-pump-a2p-sms/" TargetMode="External"/><Relationship Id="rId97" Type="http://schemas.openxmlformats.org/officeDocument/2006/relationships/hyperlink" Target="https://developers.google.com/identity/sms-retriever/overview" TargetMode="External"/><Relationship Id="rId98" Type="http://schemas.openxmlformats.org/officeDocument/2006/relationships/hyperlink" Target="https://github.com/WICG/WebOTP" TargetMode="External"/><Relationship Id="rId90" Type="http://schemas.openxmlformats.org/officeDocument/2006/relationships/hyperlink" Target="https://github.com/nahmedpsu/OTP-DDOS" TargetMode="External"/><Relationship Id="rId96" Type="http://schemas.openxmlformats.org/officeDocument/2006/relationships/hyperlink" Target="https://www.itl.nist.gov/div898/handbook/pmc/section3/pmc323.htm" TargetMode="External"/><Relationship Id="rId95" Type="http://schemas.openxmlformats.org/officeDocument/2006/relationships/hyperlink" Target="https://www.twilio.com/docs/lookup/v2-api/sms-pumping-risk" TargetMode="External"/><Relationship Id="rId94" Type="http://schemas.openxmlformats.org/officeDocument/2006/relationships/hyperlink" Target="https://www.twilio.com/docs/verify/preventing-toll-fraud/sms-fraud-guard" TargetMode="External"/><Relationship Id="rId99"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2026-10-27T18:18:09Z</dcterms:created>
  <dcterms:modified xsi:type="dcterms:W3CDTF">2026-10-27T18:18:09Z</dcterms:modified>
</cp:coreProperties>
</file>

<file path=docProps/custom.xml><?xml version="1.0" encoding="utf-8"?>
<Properties xmlns="http://schemas.openxmlformats.org/officeDocument/2006/custom-properties" xmlns:vt="http://schemas.openxmlformats.org/officeDocument/2006/docPropsVTypes"/>
</file>