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This study evaluates in simulation a twelve-step defense for a registration flow, which draws trust from app attestation, signed sessions and verification outcomes, against a seven-control baseline, five simpler designs and 25 attacker profiles, and compares those two label-free destination policies under two protocols committed before their runs.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This paper makes that comparison in simulation, inside a complete defense for a registration flow. We start from a baseline of seven controls, v1, and show how an attacker within a stated threat model breaks each of eight assumptions behind them. The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on the destination it offers two label-free policies keyed on the 8-digit number block, a short-window counter of sends and sequential tests of code outcomes. Seven designs and 25 scripted attacker profiles, from a single address to pumpers that enter codes, fake delivery receipts or buy challenge solutions, run over simulated users on a simulated clock. Two protocols were committed before their runs: the first selects destination settings on tuning seeds at a benign service target, and the second, written after that selection, freezes the selected counter and tests five claims on seeds and workloads held out from selection. The implementation, the protocols and every run’s configuration and outcome are public (Ahmed, 2026). Everything is simulated: three behavioral parameters have published counterparts and the rest are assumptions, so the results describe this generator rather than real traffic.</w:t>
      </w:r>
    </w:p>
    <w:p>
      <w:pPr>
        <w:pStyle w:val="BodyText"/>
      </w:pPr>
      <w:r>
        <w:t xml:space="preserve">The study asks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This paper makes the following contributions:</w:t>
      </w:r>
    </w:p>
    <w:p>
      <w:pPr>
        <w:numPr>
          <w:ilvl w:val="0"/>
          <w:numId w:val="1001"/>
        </w:numPr>
      </w:pPr>
      <w:r>
        <w:t xml:space="preserve">an analysis of eight gaps in a seven-control baseline, a twelve-step design that closes them, and an open implementation with a regression test for each of the replay and concurrency defects found on the way;</w:t>
      </w:r>
    </w:p>
    <w:p>
      <w:pPr>
        <w:numPr>
          <w:ilvl w:val="0"/>
          <w:numId w:val="1001"/>
        </w:numPr>
      </w:pPr>
      <w:r>
        <w:t xml:space="preserve">measurements of where outcome-based reputation stops separating an attacker from the users whose keys it shares, and of what rationing then costs and depends on;</w:t>
      </w:r>
    </w:p>
    <w:p>
      <w:pPr>
        <w:numPr>
          <w:ilvl w:val="0"/>
          <w:numId w:val="1001"/>
        </w:numPr>
      </w:pPr>
      <w:r>
        <w:t xml:space="preserve">two predeclared comparisons of destination policies, a send counter against sequential tests of code outcomes, selected at a stated service target and charged with their failures and with their collateral damage to users who share a block with the attacker;</w:t>
      </w:r>
    </w:p>
    <w:p>
      <w:pPr>
        <w:numPr>
          <w:ilvl w:val="0"/>
          <w:numId w:val="1001"/>
        </w:numPr>
      </w:pPr>
      <w:r>
        <w:t xml:space="preserve">unfitted estimates of when counting leaks less than testing, derived from the rules and the attack rate alone and checked against the measurements over attacks of up to an hour.</w:t>
      </w:r>
    </w:p>
    <w:p>
      <w:pPr>
        <w:pStyle w:val="FirstParagraph"/>
      </w:pPr>
      <w:r>
        <w:t xml:space="preserve">Section 2 reviews related work; Section 3 gives the baseline, the threat model and the design with its leakage estimates; Section 4 the methodology; Section 5 reports the results; Section 6 discusses them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(Figure 1), and close with the gap this study addresses (Table 1).</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Xdc4f4927748c3842e74dd54c57f02ecb9c6dc2c"/>
    <w:p>
      <w:pPr>
        <w:pStyle w:val="Heading2"/>
      </w:pPr>
      <w:r>
        <w:rPr>
          <w:rStyle w:val="SectionNumber"/>
        </w:rPr>
        <w:t xml:space="preserve">2.1</w:t>
      </w:r>
      <w:r>
        <w:tab/>
      </w:r>
      <w:r>
        <w:t xml:space="preserve">Revenue-share fraud and the destination as the attacker’s asset</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X54ece4fa9c9178e0a892a2fb454b0c3ae29bfd2"/>
    <w:p>
      <w:pPr>
        <w:pStyle w:val="Heading2"/>
      </w:pPr>
      <w:r>
        <w:rPr>
          <w:rStyle w:val="SectionNumber"/>
        </w:rPr>
        <w:t xml:space="preserve">2.2</w:t>
      </w:r>
      <w:r>
        <w:tab/>
      </w:r>
      <w:r>
        <w:t xml:space="preserve">Detecting artificially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Theirs was not reproduced, so the two are not ranked.</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no product was benchmarked.</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the attackers that enter codes, fake receipts and build trust (Table 2) are modeled on the counter-move above.</w:t>
      </w:r>
    </w:p>
    <w:bookmarkEnd w:id="25"/>
    <w:bookmarkStart w:id="26" w:name="Xacd34ca2899e26b07c0be49a94f9c27ea97f1a2"/>
    <w:p>
      <w:pPr>
        <w:pStyle w:val="Heading2"/>
      </w:pPr>
      <w:r>
        <w:rPr>
          <w:rStyle w:val="SectionNumber"/>
        </w:rPr>
        <w:t xml:space="preserve">2.3</w:t>
      </w:r>
      <w:r>
        <w:tab/>
      </w:r>
      <w:r>
        <w:t xml:space="preserve">Source-side controls and the attacker’s market</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they were not evaluated.</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and-change-detection"/>
    <w:p>
      <w:pPr>
        <w:pStyle w:val="Heading2"/>
      </w:pPr>
      <w:r>
        <w:rPr>
          <w:rStyle w:val="SectionNumber"/>
        </w:rPr>
        <w:t xml:space="preserve">2.4</w:t>
      </w:r>
      <w:r>
        <w:tab/>
      </w:r>
      <w:r>
        <w:t xml:space="preserve">Sequential tests and change detection</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were not evaluated, so</w:t>
      </w:r>
      <w:r>
        <w:t xml:space="preserve"> </w:t>
      </w:r>
      <w:r>
        <w:t xml:space="preserve">‘</w:t>
      </w:r>
      <w:r>
        <w:t xml:space="preserve">testing</w:t>
      </w:r>
      <w:r>
        <w:t xml:space="preserve">’</w:t>
      </w:r>
      <w:r>
        <w:t xml:space="preserve"> </w:t>
      </w:r>
      <w:r>
        <w:t xml:space="preserve">below means our conversion and speed tests only, and their error rates are reported empirically rather than derived.</w:t>
      </w:r>
    </w:p>
    <w:bookmarkEnd w:id="27"/>
    <w:bookmarkStart w:id="28" w:name="attacks-on-the-code-once-sent"/>
    <w:p>
      <w:pPr>
        <w:pStyle w:val="Heading2"/>
      </w:pPr>
      <w:r>
        <w:rPr>
          <w:rStyle w:val="SectionNumber"/>
        </w:rPr>
        <w:t xml:space="preserve">2.5</w:t>
      </w:r>
      <w:r>
        <w:tab/>
      </w:r>
      <w:r>
        <w:t xml:space="preserve">Attacks on the code once sent</w:t>
      </w:r>
    </w:p>
    <w:p>
      <w:pPr>
        <w:pStyle w:val="FirstParagraph"/>
      </w:pPr>
      <w:r>
        <w:t xml:space="preserve">Malware on the handset or a social-engineering call can take a code after it is delivered (Mulliner et al., 2013; Siadati et al., 2017). Those attacks begin where this paper stops: it asks whether a message should be sent at all, and leaves the protection of a delivered code aside.</w:t>
      </w:r>
    </w:p>
    <w:bookmarkEnd w:id="28"/>
    <w:bookmarkStart w:id="29" w:name="summary-of-the-gap"/>
    <w:p>
      <w:pPr>
        <w:pStyle w:val="Heading2"/>
      </w:pPr>
      <w:r>
        <w:rPr>
          <w:rStyle w:val="SectionNumber"/>
        </w:rPr>
        <w:t xml:space="preserve">2.6</w:t>
      </w:r>
      <w:r>
        <w:tab/>
      </w:r>
      <w:r>
        <w:t xml:space="preserve">Summary of the gap</w:t>
      </w:r>
    </w:p>
    <w:p>
      <w:pPr>
        <w:pStyle w:val="FirstParagraph"/>
      </w:pPr>
      <w:r>
        <w:t xml:space="preserve">Table 1 compares the works closest to this study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This study supplies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49"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that the design replaces, the attacker it must resist, the twelve steps and two destination policies of the design, and the estimates of leakage that follow from its rules.</w:t>
      </w:r>
    </w:p>
    <w:bookmarkStart w:id="34" w:name="the-v1-baseline-and-its-gaps"/>
    <w:p>
      <w:pPr>
        <w:pStyle w:val="Heading2"/>
      </w:pPr>
      <w:r>
        <w:rPr>
          <w:rStyle w:val="SectionNumber"/>
        </w:rPr>
        <w:t xml:space="preserve">3.1</w:t>
      </w:r>
      <w:r>
        <w:tab/>
      </w:r>
      <w:r>
        <w:t xml:space="preserve">The v1 baseline and its gaps</w:t>
      </w:r>
    </w:p>
    <w:p>
      <w:pPr>
        <w:pStyle w:val="FirstParagraph"/>
      </w:pPr>
      <w:r>
        <w:t xml:space="preserve">The baseline, v1, is the registration endpoint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and the eight gaps below follow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as the evaluated pipeline applies it to a code request; each comment names the gap the preceding rule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and Section 5.8 reports instead the share at which each scripted pumper breaks even. Figure 2 places the attacker’s capabilities and limits on the path of a request.</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is measured, not assumed. Attacks on a code after delivery (Section 2.5) and compromise of the service, its vendors or the attestation providers are outside the model. Table 2 lists the 25 profiles that instantiate these capabilities; pool size, rate and CAPTCHA class are drawn per seed.</w:t>
      </w:r>
    </w:p>
    <w:p>
      <w:pPr>
        <w:pStyle w:val="CaptionedFigure"/>
      </w:pPr>
      <w:r>
        <w:drawing>
          <wp:inline>
            <wp:extent cx="5334000" cy="3075953"/>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307595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Threat Model on the Path of a Request.</w:t>
      </w:r>
    </w:p>
    <w:bookmarkEnd w:id="38"/>
    <w:bookmarkStart w:id="42" w:name="the-pipeline-and-the-risk-score"/>
    <w:p>
      <w:pPr>
        <w:pStyle w:val="Heading2"/>
      </w:pPr>
      <w:r>
        <w:rPr>
          <w:rStyle w:val="SectionNumber"/>
        </w:rPr>
        <w:t xml:space="preserve">3.3</w:t>
      </w:r>
      <w:r>
        <w:tab/>
      </w:r>
      <w:r>
        <w:t xml:space="preserve">The pipeline and the risk score</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5.8). A request passes the twelve steps of Figure 3, which marks on each step the gaps of Section 3.1 it closes (FB: the feedback loop),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2502185"/>
            <wp:effectExtent b="0" l="0" r="0" t="0"/>
            <wp:docPr descr="" title="" id="40" name="Picture"/>
            <a:graphic>
              <a:graphicData uri="http://schemas.openxmlformats.org/drawingml/2006/picture">
                <pic:pic>
                  <pic:nvPicPr>
                    <pic:cNvPr descr="figures/fig10_steps.png" id="41" name="Picture"/>
                    <pic:cNvPicPr>
                      <a:picLocks noChangeArrowheads="1" noChangeAspect="1"/>
                    </pic:cNvPicPr>
                  </pic:nvPicPr>
                  <pic:blipFill>
                    <a:blip r:embed="rId39"/>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The Twelve Steps of the Design and the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2"/>
    <w:bookmarkStart w:id="43"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3"/>
    <w:bookmarkStart w:id="46"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44" w:name="sequential-tests"/>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44"/>
    <w:bookmarkStart w:id="45"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45"/>
    <w:bookmarkEnd w:id="46"/>
    <w:bookmarkStart w:id="47"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47"/>
    <w:bookmarkStart w:id="48" w:name="Xf0c979229eb29cff3cf30892b5e34effc1bec32"/>
    <w:p>
      <w:pPr>
        <w:pStyle w:val="Heading2"/>
      </w:pPr>
      <w:r>
        <w:rPr>
          <w:rStyle w:val="SectionNumber"/>
        </w:rPr>
        <w:t xml:space="preserve">3.7</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48"/>
    <w:bookmarkEnd w:id="49"/>
    <w:bookmarkStart w:id="54" w:name="methodology"/>
    <w:p>
      <w:pPr>
        <w:pStyle w:val="Heading1"/>
      </w:pPr>
      <w:r>
        <w:rPr>
          <w:rStyle w:val="SectionNumber"/>
        </w:rPr>
        <w:t xml:space="preserve">4</w:t>
      </w:r>
      <w:r>
        <w:tab/>
      </w:r>
      <w:r>
        <w:t xml:space="preserve">Methodology</w:t>
      </w:r>
    </w:p>
    <w:bookmarkStart w:id="50" w:name="implementation"/>
    <w:p>
      <w:pPr>
        <w:pStyle w:val="Heading2"/>
      </w:pPr>
      <w:r>
        <w:rPr>
          <w:rStyle w:val="SectionNumber"/>
        </w:rPr>
        <w:t xml:space="preserve">4.1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50"/>
    <w:bookmarkStart w:id="51" w:name="simulation"/>
    <w:p>
      <w:pPr>
        <w:pStyle w:val="Heading2"/>
      </w:pPr>
      <w:r>
        <w:rPr>
          <w:rStyle w:val="SectionNumber"/>
        </w:rPr>
        <w:t xml:space="preserve">4.2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2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51"/>
    <w:bookmarkStart w:id="52" w:name="two-protocols-and-their-chronology"/>
    <w:p>
      <w:pPr>
        <w:pStyle w:val="Heading2"/>
      </w:pPr>
      <w:r>
        <w:rPr>
          <w:rStyle w:val="SectionNumber"/>
        </w:rPr>
        <w:t xml:space="preserve">4.3</w:t>
      </w:r>
      <w:r>
        <w:tab/>
      </w:r>
      <w:r>
        <w:t xml:space="preserve">Two protocols and their chronology</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52"/>
    <w:bookmarkStart w:id="53" w:name="designs-and-metrics"/>
    <w:p>
      <w:pPr>
        <w:pStyle w:val="Heading2"/>
      </w:pPr>
      <w:r>
        <w:rPr>
          <w:rStyle w:val="SectionNumber"/>
        </w:rPr>
        <w:t xml:space="preserve">4.4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2</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53"/>
    <w:bookmarkEnd w:id="54"/>
    <w:bookmarkStart w:id="75" w:name="results"/>
    <w:p>
      <w:pPr>
        <w:pStyle w:val="Heading1"/>
      </w:pPr>
      <w:r>
        <w:rPr>
          <w:rStyle w:val="SectionNumber"/>
        </w:rPr>
        <w:t xml:space="preserve">5</w:t>
      </w:r>
      <w:r>
        <w:tab/>
      </w:r>
      <w:r>
        <w:t xml:space="preserve">Results</w:t>
      </w:r>
    </w:p>
    <w:bookmarkStart w:id="55" w:name="what-is-contained-and-at-what-cost"/>
    <w:p>
      <w:pPr>
        <w:pStyle w:val="Heading2"/>
      </w:pPr>
      <w:r>
        <w:rPr>
          <w:rStyle w:val="SectionNumber"/>
        </w:rPr>
        <w:t xml:space="preserve">5.1</w:t>
      </w:r>
      <w:r>
        <w:tab/>
      </w:r>
      <w:r>
        <w:t xml:space="preserve">What is contained, and at what cost</w:t>
      </w:r>
    </w:p>
    <w:p>
      <w:pPr>
        <w:pStyle w:val="TableCaption"/>
      </w:pPr>
      <w:r>
        <w:rPr>
          <w:bCs/>
          <w:b/>
        </w:rPr>
        <w:t xml:space="preserve">Table 3</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55"/>
    <w:bookmarkStart w:id="56" w:name="conditional-effects-of-each-layer"/>
    <w:p>
      <w:pPr>
        <w:pStyle w:val="Heading2"/>
      </w:pPr>
      <w:r>
        <w:rPr>
          <w:rStyle w:val="SectionNumber"/>
        </w:rPr>
        <w:t xml:space="preserve">5.2</w:t>
      </w:r>
      <w:r>
        <w:tab/>
      </w:r>
      <w:r>
        <w:t xml:space="preserve">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56"/>
    <w:bookmarkStart w:id="57"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57"/>
    <w:bookmarkStart w:id="58" w:name="X8a568645334fc3fb236cc988735ae19f7dbdc70"/>
    <w:p>
      <w:pPr>
        <w:pStyle w:val="Heading2"/>
      </w:pPr>
      <w:r>
        <w:rPr>
          <w:rStyle w:val="SectionNumber"/>
        </w:rPr>
        <w:t xml:space="preserve">5.4</w:t>
      </w:r>
      <w:r>
        <w:tab/>
      </w:r>
      <w:r>
        <w:t xml:space="preserve">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58"/>
    <w:bookmarkStart w:id="59" w:name="pumping-against-the-sequential-tests"/>
    <w:p>
      <w:pPr>
        <w:pStyle w:val="Heading2"/>
      </w:pPr>
      <w:r>
        <w:rPr>
          <w:rStyle w:val="SectionNumber"/>
        </w:rPr>
        <w:t xml:space="preserve">5.5</w:t>
      </w:r>
      <w:r>
        <w:tab/>
      </w:r>
      <w:r>
        <w:t xml:space="preserve">Pumping against the sequential tests</w:t>
      </w:r>
    </w:p>
    <w:p>
      <w:pPr>
        <w:pStyle w:val="TableCaption"/>
      </w:pPr>
      <w:r>
        <w:rPr>
          <w:bCs/>
          <w:b/>
        </w:rPr>
        <w:t xml:space="preserve">Table 4</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59"/>
    <w:bookmarkStart w:id="72" w:name="Xc3b3a0ae0d7ddd12dca67a47167dca0c845034c"/>
    <w:p>
      <w:pPr>
        <w:pStyle w:val="Heading2"/>
      </w:pPr>
      <w:r>
        <w:rPr>
          <w:rStyle w:val="SectionNumber"/>
        </w:rPr>
        <w:t xml:space="preserve">5.6</w:t>
      </w:r>
      <w:r>
        <w:tab/>
      </w:r>
      <w:r>
        <w:t xml:space="preserve">Destination policies: where the counter wins, and where it fails</w:t>
      </w:r>
    </w:p>
    <w:p>
      <w:pPr>
        <w:pStyle w:val="TableCaption"/>
      </w:pPr>
      <w:r>
        <w:rPr>
          <w:bCs/>
          <w:b/>
        </w:rPr>
        <w:t xml:space="preserve">Table 5</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66" w:name="at-a-benign-service-target"/>
    <w:p>
      <w:pPr>
        <w:pStyle w:val="Heading3"/>
      </w:pPr>
      <w:r>
        <w:rPr>
          <w:rStyle w:val="SectionNumber"/>
        </w:rPr>
        <w:t xml:space="preserve">5.6.1</w:t>
      </w:r>
      <w:r>
        <w:tab/>
      </w:r>
      <w:r>
        <w:t xml:space="preserve">At a benign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4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5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61" name="Picture"/>
            <a:graphic>
              <a:graphicData uri="http://schemas.openxmlformats.org/drawingml/2006/picture">
                <pic:pic>
                  <pic:nvPicPr>
                    <pic:cNvPr descr="figures/fig6_matched_a.png" id="62" name="Picture"/>
                    <pic:cNvPicPr>
                      <a:picLocks noChangeArrowheads="1" noChangeAspect="1"/>
                    </pic:cNvPicPr>
                  </pic:nvPicPr>
                  <pic:blipFill>
                    <a:blip r:embed="rId60"/>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Leakage vs. Legitimate-User Completion Across Settings.</w:t>
      </w:r>
    </w:p>
    <w:p>
      <w:pPr>
        <w:pStyle w:val="CaptionedFigure"/>
      </w:pPr>
      <w:r>
        <w:drawing>
          <wp:inline>
            <wp:extent cx="5334000" cy="4341627"/>
            <wp:effectExtent b="0" l="0" r="0" t="0"/>
            <wp:docPr descr="" title="" id="64" name="Picture"/>
            <a:graphic>
              <a:graphicData uri="http://schemas.openxmlformats.org/drawingml/2006/picture">
                <pic:pic>
                  <pic:nvPicPr>
                    <pic:cNvPr descr="figures/fig6_matched_b.png" id="65" name="Picture"/>
                    <pic:cNvPicPr>
                      <a:picLocks noChangeArrowheads="1" noChangeAspect="1"/>
                    </pic:cNvPicPr>
                  </pic:nvPicPr>
                  <pic:blipFill>
                    <a:blip r:embed="rId63"/>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Leakage Difference from the Default Across Attack Types.</w:t>
      </w:r>
    </w:p>
    <w:p>
      <w:pPr>
        <w:pStyle w:val="TableCaption"/>
      </w:pPr>
      <w:r>
        <w:rPr>
          <w:bCs/>
          <w:b/>
        </w:rPr>
        <w:t xml:space="preserve">Table 6</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66"/>
    <w:bookmarkStart w:id="67" w:name="under-a-second-protocol"/>
    <w:p>
      <w:pPr>
        <w:pStyle w:val="Heading3"/>
      </w:pPr>
      <w:r>
        <w:rPr>
          <w:rStyle w:val="SectionNumber"/>
        </w:rPr>
        <w:t xml:space="preserve">5.6.2</w:t>
      </w:r>
      <w:r>
        <w:tab/>
      </w:r>
      <w:r>
        <w:t xml:space="preserve">Under a second protocol</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67"/>
    <w:bookmarkStart w:id="71" w:name="X30d161eb055c3bdd60ae2ef3ca5d49f7d5c43cc"/>
    <w:p>
      <w:pPr>
        <w:pStyle w:val="Heading3"/>
      </w:pPr>
      <w:r>
        <w:rPr>
          <w:rStyle w:val="SectionNumber"/>
        </w:rPr>
        <w:t xml:space="preserve">5.6.3</w:t>
      </w:r>
      <w:r>
        <w:tab/>
      </w:r>
      <w:r>
        <w:t xml:space="preserve">The operating boundary and adaptive attackers</w:t>
      </w:r>
    </w:p>
    <w:p>
      <w:pPr>
        <w:pStyle w:val="FirstParagraph"/>
      </w:pPr>
      <w:r>
        <w:t xml:space="preserve">Figure 6 shows the counter’s operating boundary (E4, seeds 300–304): in (a), the attributable loss of the three hot blocks’ users against their legitimate rate, attack-free and with a never-verifying pumper on those blocks; in (b, c), leakage in 20 and 60 minutes against the blocks a pumper uses, at full rate or paced, with Equations (2)–(4) for the full-rate pumper as hollow markers. All horizontal axes and the vertical axes of (b, c) are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6c)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69" name="Picture"/>
            <a:graphic>
              <a:graphicData uri="http://schemas.openxmlformats.org/drawingml/2006/picture">
                <pic:pic>
                  <pic:nvPicPr>
                    <pic:cNvPr descr="figures/fig7_counter_boundary.png" id="70" name="Picture"/>
                    <pic:cNvPicPr>
                      <a:picLocks noChangeArrowheads="1" noChangeAspect="1"/>
                    </pic:cNvPicPr>
                  </pic:nvPicPr>
                  <pic:blipFill>
                    <a:blip r:embed="rId68"/>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Operating Boundary of the Counter.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71"/>
    <w:bookmarkEnd w:id="72"/>
    <w:bookmarkStart w:id="73" w:name="X7dd739ff2dd1db4b7787248dee760f482b6893b"/>
    <w:p>
      <w:pPr>
        <w:pStyle w:val="Heading2"/>
      </w:pPr>
      <w:r>
        <w:rPr>
          <w:rStyle w:val="SectionNumber"/>
        </w:rPr>
        <w:t xml:space="preserve">5.7</w:t>
      </w:r>
      <w:r>
        <w:tab/>
      </w:r>
      <w:r>
        <w:t xml:space="preserve">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73"/>
    <w:bookmarkStart w:id="74" w:name="X40c2940f2aaabd24aefaeec784f20c9ca681264"/>
    <w:p>
      <w:pPr>
        <w:pStyle w:val="Heading2"/>
      </w:pPr>
      <w:r>
        <w:rPr>
          <w:rStyle w:val="SectionNumber"/>
        </w:rPr>
        <w:t xml:space="preserve">5.8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74"/>
    <w:bookmarkEnd w:id="75"/>
    <w:bookmarkStart w:id="78" w:name="discussion-and-limitations"/>
    <w:p>
      <w:pPr>
        <w:pStyle w:val="Heading1"/>
      </w:pPr>
      <w:r>
        <w:rPr>
          <w:rStyle w:val="SectionNumber"/>
        </w:rPr>
        <w:t xml:space="preserve">6</w:t>
      </w:r>
      <w:r>
        <w:tab/>
      </w:r>
      <w:r>
        <w:t xml:space="preserve">Discussion and limitations</w:t>
      </w:r>
    </w:p>
    <w:bookmarkStart w:id="76"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76"/>
    <w:bookmarkStart w:id="77" w:name="limitations"/>
    <w:p>
      <w:pPr>
        <w:pStyle w:val="Heading2"/>
      </w:pPr>
      <w:r>
        <w:rPr>
          <w:rStyle w:val="SectionNumber"/>
        </w:rPr>
        <w:t xml:space="preserve">6.2</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77"/>
    <w:bookmarkEnd w:id="78"/>
    <w:bookmarkStart w:id="79" w:name="conclusions-and-future-work"/>
    <w:p>
      <w:pPr>
        <w:pStyle w:val="Heading1"/>
      </w:pPr>
      <w:r>
        <w:rPr>
          <w:rStyle w:val="SectionNumber"/>
        </w:rPr>
        <w:t xml:space="preserve">7</w:t>
      </w:r>
      <w:r>
        <w:tab/>
      </w:r>
      <w:r>
        <w:t xml:space="preserve">Conclusions and future work</w:t>
      </w:r>
    </w:p>
    <w:p>
      <w:pPr>
        <w:pStyle w:val="FirstParagraph"/>
      </w:pPr>
      <w:r>
        <w:t xml:space="preserve">This study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a twelve-step redesign of a seven-control baseline ran against 25 scripted attacker profiles and six other designs, and the two destination policies were compared under two protocols committed before their runs, with the cost to legitimate users made part of the result.</w:t>
      </w:r>
    </w:p>
    <w:p>
      <w:pPr>
        <w:pStyle w:val="BodyText"/>
      </w:pPr>
      <w:r>
        <w:t xml:space="preserve">On the source side, the design contains the attacks that carry a signature in the request, a single address, a datacenter range, a premium prefix, a walked number sequence or a forged header, at a low cost to simulated users, and the ablation attributes that containment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this paper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79"/>
    <w:bookmarkStart w:id="80"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80"/>
    <w:bookmarkStart w:id="81"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81"/>
    <w:bookmarkStart w:id="82"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82"/>
    <w:bookmarkStart w:id="8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8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84"/>
    <w:bookmarkStart w:id="93"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83">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85">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86">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87">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88">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89">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90">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91">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92">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93"/>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9" Type="http://schemas.openxmlformats.org/officeDocument/2006/relationships/image" Target="media/rId39.png"/><Relationship Id="rId60" Type="http://schemas.openxmlformats.org/officeDocument/2006/relationships/image" Target="media/rId60.png"/><Relationship Id="rId63" Type="http://schemas.openxmlformats.org/officeDocument/2006/relationships/image" Target="media/rId63.png"/><Relationship Id="rId68" Type="http://schemas.openxmlformats.org/officeDocument/2006/relationships/image" Target="media/rId68.png"/><Relationship Id="rId21" Type="http://schemas.openxmlformats.org/officeDocument/2006/relationships/image" Target="media/rId21.png"/><Relationship Id="rId35" Type="http://schemas.openxmlformats.org/officeDocument/2006/relationships/image" Target="media/rId35.png"/><Relationship Id="rId87" Type="http://schemas.openxmlformats.org/officeDocument/2006/relationships/hyperlink" Target="https://attack.mitre.org/techniques/T1496/003/" TargetMode="External"/><Relationship Id="rId85" Type="http://schemas.openxmlformats.org/officeDocument/2006/relationships/hyperlink" Target="https://commsrisk.com/elon-musk-says-twitter-lost-60mn-a-year-because-390-telcos-used-bot-accounts-to-pump-a2p-sms/" TargetMode="External"/><Relationship Id="rId86" Type="http://schemas.openxmlformats.org/officeDocument/2006/relationships/hyperlink" Target="https://developers.google.com/identity/sms-retriever/overview" TargetMode="External"/><Relationship Id="rId92" Type="http://schemas.openxmlformats.org/officeDocument/2006/relationships/hyperlink" Target="https://github.com/WICG/WebOTP" TargetMode="External"/><Relationship Id="rId83" Type="http://schemas.openxmlformats.org/officeDocument/2006/relationships/hyperlink" Target="https://github.com/nahmedpsu/OTP-DDOS" TargetMode="External"/><Relationship Id="rId88" Type="http://schemas.openxmlformats.org/officeDocument/2006/relationships/hyperlink" Target="https://www.itl.nist.gov/div898/handbook/pmc/section3/pmc323.htm" TargetMode="External"/><Relationship Id="rId89" Type="http://schemas.openxmlformats.org/officeDocument/2006/relationships/hyperlink" Target="https://www.twilio.com/docs/lookup/v2-api/sms-pumping-risk" TargetMode="External"/><Relationship Id="rId91" Type="http://schemas.openxmlformats.org/officeDocument/2006/relationships/hyperlink" Target="https://www.twilio.com/docs/verify/preventing-toll-fraud/sms-fraud-guard" TargetMode="External"/><Relationship Id="rId90"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87" Type="http://schemas.openxmlformats.org/officeDocument/2006/relationships/hyperlink" Target="https://attack.mitre.org/techniques/T1496/003/" TargetMode="External"/><Relationship Id="rId85" Type="http://schemas.openxmlformats.org/officeDocument/2006/relationships/hyperlink" Target="https://commsrisk.com/elon-musk-says-twitter-lost-60mn-a-year-because-390-telcos-used-bot-accounts-to-pump-a2p-sms/" TargetMode="External"/><Relationship Id="rId86" Type="http://schemas.openxmlformats.org/officeDocument/2006/relationships/hyperlink" Target="https://developers.google.com/identity/sms-retriever/overview" TargetMode="External"/><Relationship Id="rId92" Type="http://schemas.openxmlformats.org/officeDocument/2006/relationships/hyperlink" Target="https://github.com/WICG/WebOTP" TargetMode="External"/><Relationship Id="rId83" Type="http://schemas.openxmlformats.org/officeDocument/2006/relationships/hyperlink" Target="https://github.com/nahmedpsu/OTP-DDOS" TargetMode="External"/><Relationship Id="rId88" Type="http://schemas.openxmlformats.org/officeDocument/2006/relationships/hyperlink" Target="https://www.itl.nist.gov/div898/handbook/pmc/section3/pmc323.htm" TargetMode="External"/><Relationship Id="rId89" Type="http://schemas.openxmlformats.org/officeDocument/2006/relationships/hyperlink" Target="https://www.twilio.com/docs/lookup/v2-api/sms-pumping-risk" TargetMode="External"/><Relationship Id="rId91" Type="http://schemas.openxmlformats.org/officeDocument/2006/relationships/hyperlink" Target="https://www.twilio.com/docs/verify/preventing-toll-fraud/sms-fraud-guard" TargetMode="External"/><Relationship Id="rId90"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2026-10-06T09:13:39Z</dcterms:created>
  <dcterms:modified xsi:type="dcterms:W3CDTF">2026-10-06T09:13:39Z</dcterms:modified>
</cp:coreProperties>
</file>

<file path=docProps/custom.xml><?xml version="1.0" encoding="utf-8"?>
<Properties xmlns="http://schemas.openxmlformats.org/officeDocument/2006/custom-properties" xmlns:vt="http://schemas.openxmlformats.org/officeDocument/2006/docPropsVTypes"/>
</file>