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Naveed Ahmed (e-mail: nahmed@psu.edu.sa).</w:t>
      </w:r>
    </w:p>
    <w:p>
      <w:pPr>
        <w:pStyle w:val="BodyText"/>
        <w:spacing w:after="120"/>
        <w:jc w:val="center"/>
      </w:pPr>
      <w:r>
        <w:rPr>
          <w:sz w:val="18"/>
          <w:szCs w:val="18"/>
        </w:rPr>
        <w:t>This work was supported by Prince Sultan University, which also paid the article processing charge (APC) of this manuscript.</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be answered before any account exists. Attackers abuse this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two label-free destination policies, a short-window counter of sends per number block, and sequential tests of code outcomes under two protocols committed before their runs. Attacks with a signature in the request are contained at a low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0"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w:t>
      </w:r>
      <w:r>
        <w:t xml:space="preserve"> </w:t>
      </w:r>
      <w:r>
        <w:rPr>
          <w:iCs/>
          <w:i/>
        </w:rPr>
        <w:t xml:space="preserve">et al.</w:t>
      </w:r>
      <w:r>
        <w:t xml:space="preserve"> </w:t>
      </w:r>
      <w:r>
        <w:t xml:space="preserve">[4]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w:t>
      </w:r>
      <w:r>
        <w:t xml:space="preserve"> </w:t>
      </w:r>
      <w:r>
        <w:rPr>
          <w:iCs/>
          <w:i/>
        </w:rPr>
        <w:t xml:space="preserve">et al.</w:t>
      </w:r>
      <w:r>
        <w:t xml:space="preserve"> </w:t>
      </w:r>
      <w:r>
        <w:t xml:space="preserve">[4]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wants [9]. Addresses are not scarce either: five residential proxy services relayed through 6.2 million addresses in 238 countries, 90% of them for under 15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approximately a dollar per thousand solutions from a labor market that was already paying ten dollars per thousand in 2007 [12]. Supervised detection requires labels, which Huh</w:t>
      </w:r>
      <w:r>
        <w:t xml:space="preserve"> </w:t>
      </w:r>
      <w:r>
        <w:rPr>
          <w:iCs/>
          <w:i/>
        </w:rPr>
        <w:t xml:space="preserve">et al.</w:t>
      </w:r>
      <w:r>
        <w:t xml:space="preserve"> </w:t>
      </w:r>
      <w:r>
        <w:t xml:space="preserve">[4]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Therefore, the two closest studies each act on one destination signal, and neither measures the cost of acting on it. Huh</w:t>
      </w:r>
      <w:r>
        <w:t xml:space="preserve"> </w:t>
      </w:r>
      <w:r>
        <w:rPr>
          <w:iCs/>
          <w:i/>
        </w:rPr>
        <w:t xml:space="preserve">et al.</w:t>
      </w:r>
      <w:r>
        <w:t xml:space="preserve"> </w:t>
      </w:r>
      <w:r>
        <w:t xml:space="preserve">[4] report that approximately 92% of attack requests fell on prefixes with zero conversion, against 21% for genuine traffic; thus, whether codes are entered is informative; however, the signal enters a classifier that requires labeled traffic and was not released because it is deployed. Zaliskyi and Odarchenko [8] act on send counts alone, without outcomes, and conclude that counts by themselves cannot safely separate inflated traffic from a campaign. Neither reports what a destination policy costs legitimate users who share a number block with an attacker, with or without an attack, and neither fixed its setting before seeing the evaluation traffic.</w:t>
      </w:r>
    </w:p>
    <w:p>
      <w:pPr>
        <w:pStyle w:val="BodyText"/>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that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p>
      <w:pPr>
        <w:pStyle w:val="BodyText"/>
      </w:pPr>
      <w:r>
        <w:t xml:space="preserve">We answer these questions in simulation, inside a complete defense for a registration flow, and we release the implementation, protocols, and every run’s configuration and outcome [13]. Everything is simulated: three behavioral parameters have published counterparts, and the rest are our assumptions. The main contributions of this study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w:t>
      </w:r>
    </w:p>
    <w:p>
      <w:pPr>
        <w:numPr>
          <w:ilvl w:val="0"/>
          <w:numId w:val="1001"/>
        </w:numPr>
      </w:pPr>
      <w:r>
        <w:t xml:space="preserve">We derive from the rules alone when counting leaks less than testing, and check the estimates against measurements over attacks of up to an hour.</w:t>
      </w:r>
    </w:p>
    <w:p>
      <w:pPr>
        <w:pStyle w:val="FirstParagraph"/>
      </w:pPr>
      <w:r>
        <w:t xml:space="preserve">The remainder of this article is organized as follows. Section II reviews the related work and states the gap. Section III presents the baseline and its gaps, the threat model, the design, and its leakage estimates. Section IV describes the implementation, the simulator, the two protocols, and the metrics. Section V presents the results. Section VI discusses them, sets the design against the benchmark designs and the nearest work, and states the limitations. Section VII concludes the article.</w:t>
      </w:r>
    </w:p>
    <w:bookmarkEnd w:id="20"/>
    <w:bookmarkStart w:id="29" w:name="ii.-related-work"/>
    <w:p>
      <w:pPr>
        <w:pStyle w:val="Heading1"/>
      </w:pPr>
      <w:r>
        <w:t xml:space="preserve">II. RELATED WORK</w:t>
      </w:r>
    </w:p>
    <w:p>
      <w:pPr>
        <w:pStyle w:val="FirstParagraph"/>
      </w:pPr>
      <w:r>
        <w:t xml:space="preserve">We group prior work by where it acts on the path of an OTP request, which is shown in Fig. 1.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where the bots and proxies sit,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4"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w:t>
      </w:r>
      <w:r>
        <w:t xml:space="preserve"> </w:t>
      </w:r>
      <w:r>
        <w:rPr>
          <w:iCs/>
          <w:i/>
        </w:rPr>
        <w:t xml:space="preserve">et al.</w:t>
      </w:r>
      <w:r>
        <w:t xml:space="preserve"> </w:t>
      </w:r>
      <w:r>
        <w:t xml:space="preserve">[2]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4"/>
    <w:bookmarkStart w:id="25" w:name="b.-detecting-inflated-sms-traffic"/>
    <w:p>
      <w:pPr>
        <w:pStyle w:val="Heading2"/>
      </w:pPr>
      <w:r>
        <w:t xml:space="preserve">B. DETECTING INFLATED SMS TRAFFIC</w:t>
      </w:r>
    </w:p>
    <w:p>
      <w:pPr>
        <w:pStyle w:val="FirstParagraph"/>
      </w:pPr>
      <w:r>
        <w:t xml:space="preserve">Huh</w:t>
      </w:r>
      <w:r>
        <w:t xml:space="preserve"> </w:t>
      </w:r>
      <w:r>
        <w:rPr>
          <w:iCs/>
          <w:i/>
        </w:rPr>
        <w:t xml:space="preserve">et al.</w:t>
      </w:r>
      <w:r>
        <w:t xml:space="preserve"> </w:t>
      </w:r>
      <w:r>
        <w:t xml:space="preserve">[4]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About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 detector needs labeled traffic and acts per request, reports its cost to users as false positives only, and was not released because it is deployed. We add a controlled comparison of two label-free ways to act on destination aggregation per block, from send counts or code outcomes, and of their cost to users sharing a block; we did not reproduce theirs, so we do not rank the two.</w:t>
      </w:r>
    </w:p>
    <w:p>
      <w:pPr>
        <w:pStyle w:val="BodyText"/>
      </w:pPr>
      <w:r>
        <w:t xml:space="preserve">Zaliskyi and Odarchenko [8] counted A2P sends per prefix (a number less its last three digits) in fixed or rolling five-minute windows and quarantined a prefix for 24 hours past a day or night threshold. On the metadata of two confirmed incidents, fixed windows blocked 95% and 63% of the traffic, and 58% of a legitimate marketing campaign; counting unique recipients blocked 2% of the campaign and none of the first incident. The authors concluded that message counts alone cannot safely separate inflated traffic from a campaign; they did not use verification outcomes. Their numbers, messages blocked on real traffic, are not comparable with ours, which come from simulation and charge a policy with what users sharing a block lose.</w:t>
      </w:r>
    </w:p>
    <w:p>
      <w:pPr>
        <w:pStyle w:val="BodyText"/>
      </w:pPr>
      <w:r>
        <w:t xml:space="preserve">The messaging vendors act one hop later. Twilio’s Fraud Guard blocks sends to a destination prefix or country whose pattern departs from the account’s history, at three protection levels with claimed false-positive rates under 1% and 2% [6]; its SMS Pumping Risk Score rates a number from 0 to 100 from Fraud Guard, risky carriers, traffic patterns and low conversion, advising friction from 60 and refusal above 90 [7]. Graded destination action is established practice, but the signals and models are undisclosed, so we benchmarked no product.</w:t>
      </w:r>
    </w:p>
    <w:p>
      <w:pPr>
        <w:pStyle w:val="BodyText"/>
      </w:pPr>
      <w:r>
        <w:t xml:space="preserve">These works establish that attacks concentrate on destination prefixes and avoid converting, that counts alone misfire on campaigns, and that some campaigns now enter codes to pass conversion rules; we modeled the attackers that enter codes, fake receipts, and build trust (Table 2) on that counter-move.</w:t>
      </w:r>
    </w:p>
    <w:bookmarkEnd w:id="25"/>
    <w:bookmarkStart w:id="26" w:name="c.-what-an-attacker-can-buy"/>
    <w:p>
      <w:pPr>
        <w:pStyle w:val="Heading2"/>
      </w:pPr>
      <w:r>
        <w:t xml:space="preserve">C. WHAT AN ATTACKER CAN BUY</w:t>
      </w:r>
    </w:p>
    <w:p>
      <w:pPr>
        <w:pStyle w:val="FirstParagraph"/>
      </w:pPr>
      <w:r>
        <w:t xml:space="preserve">The cost of a source-side control to an attacker has been measured. Motoyama</w:t>
      </w:r>
      <w:r>
        <w:t xml:space="preserve"> </w:t>
      </w:r>
      <w:r>
        <w:rPr>
          <w:iCs/>
          <w:i/>
        </w:rPr>
        <w:t xml:space="preserve">et al.</w:t>
      </w:r>
      <w:r>
        <w:t xml:space="preserve"> </w:t>
      </w:r>
      <w:r>
        <w:t xml:space="preserve">[12] bought CAPTCHA solutions from eight retail services at $1 to $20 per thousand, found that the wage for solving had fallen from $10 per thousand in 2007 to about a dollar by 2009, and conclude that a CAPTCHA limits access to attackers whose business is profitable despite that cost rather than keeping machines out. Dionysiou and Athanasopoulos [14] classify the machine-learning solvers that have since appeared. Addresses have a market too: Mi</w:t>
      </w:r>
      <w:r>
        <w:t xml:space="preserve"> </w:t>
      </w:r>
      <w:r>
        <w:rPr>
          <w:iCs/>
          <w:i/>
        </w:rPr>
        <w:t xml:space="preserve">et al.</w:t>
      </w:r>
      <w:r>
        <w:t xml:space="preserve"> </w:t>
      </w:r>
      <w:r>
        <w:t xml:space="preserve">[10] infiltrated five residential proxy providers and observed 6.2 million addresses in 238 countries, 95% of them residential, 90% relaying for under 870 seconds and 2.2% on any blacklist; Richter</w:t>
      </w:r>
      <w:r>
        <w:t xml:space="preserve"> </w:t>
      </w:r>
      <w:r>
        <w:rPr>
          <w:iCs/>
          <w:i/>
        </w:rPr>
        <w:t xml:space="preserve">et al.</w:t>
      </w:r>
      <w:r>
        <w:t xml:space="preserve"> </w:t>
      </w:r>
      <w:r>
        <w:t xml:space="preserve">[11] found carrier-grade NAT in more than 90% of cellular networks, with dozens of subscribers behind one address,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w:t>
      </w:r>
      <w:r>
        <w:t xml:space="preserve"> </w:t>
      </w:r>
      <w:r>
        <w:rPr>
          <w:iCs/>
          <w:i/>
        </w:rPr>
        <w:t xml:space="preserve">et al.</w:t>
      </w:r>
      <w:r>
        <w:t xml:space="preserve"> </w:t>
      </w:r>
      <w:r>
        <w:t xml:space="preserve">[5]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however, we did not evaluate them.</w:t>
      </w:r>
    </w:p>
    <w:p>
      <w:pPr>
        <w:pStyle w:val="BodyText"/>
      </w:pPr>
      <w:r>
        <w:t xml:space="preserve">These measurements indicate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6"/>
    <w:bookmarkStart w:id="27" w:name="X0b5fa62a2180f31857614319d7afb4cbb0e64f3"/>
    <w:p>
      <w:pPr>
        <w:pStyle w:val="Heading2"/>
      </w:pPr>
      <w:r>
        <w:t xml:space="preserve">D. SEQUENTIAL TESTS AND ATTACKS ON THE DELIVERED CODE</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the CUSUM parameters follow from the error rates it must meet [20]; windowed statistics and the time-uniform confidence sequences of Howard</w:t>
      </w:r>
      <w:r>
        <w:t xml:space="preserve"> </w:t>
      </w:r>
      <w:r>
        <w:rPr>
          <w:iCs/>
          <w:i/>
        </w:rPr>
        <w:t xml:space="preserve">et al.</w:t>
      </w:r>
      <w:r>
        <w:t xml:space="preserve"> </w:t>
      </w:r>
      <w:r>
        <w:t xml:space="preserve">[21], which stay valid at any stopping time, are not evaluated here; therefore,</w:t>
      </w:r>
      <w:r>
        <w:t xml:space="preserve"> </w:t>
      </w:r>
      <w:r>
        <w:t xml:space="preserve">‘</w:t>
      </w:r>
      <w:r>
        <w:t xml:space="preserve">testing</w:t>
      </w:r>
      <w:r>
        <w:t xml:space="preserve">’</w:t>
      </w:r>
      <w:r>
        <w:t xml:space="preserve"> </w:t>
      </w:r>
      <w:r>
        <w:t xml:space="preserve">below refers to our conversion and speed tests only, and we report their error rates empirically rather than derive them.</w:t>
      </w:r>
    </w:p>
    <w:p>
      <w:pPr>
        <w:pStyle w:val="BodyText"/>
      </w:pPr>
      <w:r>
        <w:t xml:space="preserve">Malware on the handset or a social-engineering call can take a code after it is delivered [22], [23]. These attacks begin where our work stops: we ask whether a message should be sent at all, and leave the protection of a delivered code aside.</w:t>
      </w:r>
    </w:p>
    <w:bookmarkEnd w:id="27"/>
    <w:bookmarkStart w:id="28" w:name="e.-the-gap"/>
    <w:p>
      <w:pPr>
        <w:pStyle w:val="Heading2"/>
      </w:pPr>
      <w:r>
        <w:t xml:space="preserve">E.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is set beside ours.</w:t>
      </w:r>
    </w:p>
    <w:tbl>
      <w:tblPr>
        <w:tblStyle w:val="Table"/>
        <w:tblW w:w="9071" w:type="dxa"/>
        <w:jc w:val="center"/>
        <w:tblLayout w:type="fixed"/>
        <w:tblCellMar>
          <w:left w:w="57" w:type="dxa"/>
          <w:right w:w="57" w:type="dxa"/>
        </w:tblCellMar>
        <w:tblLook w:firstRow="1" w:lastRow="0" w:firstColumn="0" w:lastColumn="0" w:noHBand="0" w:noVBand="0" w:val="0020"/>
        <w:tblCaption w:val="TABLE 1. The closest work is set beside ours."/>
      </w:tblPr>
      <w:tblGrid>
        <w:gridCol w:w="1166"/>
        <w:gridCol w:w="1581"/>
        <w:gridCol w:w="1581"/>
        <w:gridCol w:w="1581"/>
        <w:gridCol w:w="1581"/>
        <w:gridCol w:w="1581"/>
      </w:tblGrid>
      <w:tr>
        <w:trPr>
          <w:tblHeader w:val="true"/>
        </w:trPr>
        <w:tc>
          <w:tcPr>
            <w:tcW w:w="1166" w:type="dxa"/>
            <w:tcBorders>
              <w:top w:val="single" w:sz="8" w:color="000000"/>
              <w:bottom w:val="single" w:sz="4" w:color="000000"/>
            </w:tcBorders>
          </w:tcPr>
          <w:p>
            <w:pPr>
              <w:pStyle w:val="Compact"/>
              <w:spacing w:line="240" w:lineRule="auto" w:after="0"/>
              <w:jc w:val="left"/>
            </w:pPr>
            <w:r>
              <w:rPr>
                <w:sz w:val="17"/>
              </w:rPr>
              <w:t xml:space="preserve">Work</w:t>
            </w:r>
          </w:p>
        </w:tc>
        <w:tc>
          <w:tcPr>
            <w:tcW w:w="1581" w:type="dxa"/>
            <w:tcBorders>
              <w:top w:val="single" w:sz="8" w:color="000000"/>
              <w:bottom w:val="single" w:sz="4" w:color="000000"/>
            </w:tcBorders>
          </w:tcPr>
          <w:p>
            <w:pPr>
              <w:pStyle w:val="Compact"/>
              <w:spacing w:line="240" w:lineRule="auto" w:after="0"/>
              <w:jc w:val="left"/>
            </w:pPr>
            <w:r>
              <w:rPr>
                <w:sz w:val="17"/>
              </w:rPr>
              <w:t xml:space="preserve">Evidence</w:t>
            </w:r>
          </w:p>
        </w:tc>
        <w:tc>
          <w:tcPr>
            <w:tcW w:w="1581"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81"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81"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81"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166" w:type="dxa"/>
          </w:tcPr>
          <w:p>
            <w:pPr>
              <w:pStyle w:val="Compact"/>
              <w:spacing w:line="240" w:lineRule="auto" w:after="0"/>
              <w:jc w:val="left"/>
            </w:pPr>
            <w:r>
              <w:rPr>
                <w:sz w:val="17"/>
              </w:rPr>
              <w:t xml:space="preserve">Sahin and Francillon [15]</w:t>
            </w:r>
          </w:p>
        </w:tc>
        <w:tc>
          <w:tcPr>
            <w:tcW w:w="1581" w:type="dxa"/>
          </w:tcPr>
          <w:p>
            <w:pPr>
              <w:pStyle w:val="Compact"/>
              <w:spacing w:line="240" w:lineRule="auto" w:after="0"/>
              <w:jc w:val="left"/>
            </w:pPr>
            <w:r>
              <w:rPr>
                <w:sz w:val="17"/>
              </w:rPr>
              <w:t xml:space="preserve">Operator call records; 3.1 million test numbers advertised by 12 providers, 2016–2019</w:t>
            </w:r>
          </w:p>
        </w:tc>
        <w:tc>
          <w:tcPr>
            <w:tcW w:w="1581" w:type="dxa"/>
          </w:tcPr>
          <w:p>
            <w:pPr>
              <w:pStyle w:val="Compact"/>
              <w:spacing w:line="240" w:lineRule="auto" w:after="0"/>
              <w:jc w:val="left"/>
            </w:pPr>
            <w:r>
              <w:rPr>
                <w:sz w:val="17"/>
              </w:rPr>
              <w:t xml:space="preserve">Distance of the called number to advertised ranges and call history; labels from matched test numbers</w:t>
            </w:r>
          </w:p>
        </w:tc>
        <w:tc>
          <w:tcPr>
            <w:tcW w:w="1581" w:type="dxa"/>
          </w:tcPr>
          <w:p>
            <w:pPr>
              <w:pStyle w:val="Compact"/>
              <w:spacing w:line="240" w:lineRule="auto" w:after="0"/>
              <w:jc w:val="left"/>
            </w:pPr>
            <w:r>
              <w:rPr>
                <w:sz w:val="17"/>
              </w:rPr>
              <w:t xml:space="preserve">Per call, at an operator</w:t>
            </w:r>
          </w:p>
        </w:tc>
        <w:tc>
          <w:tcPr>
            <w:tcW w:w="1581" w:type="dxa"/>
          </w:tcPr>
          <w:p>
            <w:pPr>
              <w:pStyle w:val="Compact"/>
              <w:spacing w:line="240" w:lineRule="auto" w:after="0"/>
              <w:jc w:val="left"/>
            </w:pPr>
            <w:r>
              <w:rPr>
                <w:sz w:val="17"/>
              </w:rPr>
              <w:t xml:space="preserve">A false-positive rate (0.28%), not harm to callers</w:t>
            </w:r>
          </w:p>
        </w:tc>
        <w:tc>
          <w:tcPr>
            <w:tcW w:w="1581" w:type="dxa"/>
          </w:tcPr>
          <w:p>
            <w:pPr>
              <w:pStyle w:val="Compact"/>
              <w:spacing w:line="240" w:lineRule="auto" w:after="0"/>
              <w:jc w:val="left"/>
            </w:pPr>
            <w:r>
              <w:rPr>
                <w:sz w:val="17"/>
              </w:rPr>
              <w:t xml:space="preserve">Voice calls; needs number intelligence and call histories an OTP endpoint does not hold</w:t>
            </w:r>
          </w:p>
        </w:tc>
      </w:tr>
      <w:tr>
        <w:tc>
          <w:tcPr>
            <w:tcW w:w="1166" w:type="dxa"/>
          </w:tcPr>
          <w:p>
            <w:pPr>
              <w:pStyle w:val="Compact"/>
              <w:spacing w:line="240" w:lineRule="auto" w:after="0"/>
              <w:jc w:val="left"/>
            </w:pPr>
            <w:r>
              <w:rPr>
                <w:sz w:val="17"/>
              </w:rPr>
              <w:t xml:space="preserve">Huh</w:t>
            </w:r>
            <w:r>
              <w:rPr>
                <w:sz w:val="17"/>
              </w:rPr>
              <w:t xml:space="preserve"> </w:t>
            </w:r>
            <w:r>
              <w:rPr>
                <w:iCs/>
                <w:i/>
                <w:sz w:val="17"/>
              </w:rPr>
              <w:t xml:space="preserve">et al.</w:t>
            </w:r>
            <w:r>
              <w:rPr>
                <w:sz w:val="17"/>
              </w:rPr>
              <w:t xml:space="preserve"> </w:t>
            </w:r>
            <w:r>
              <w:rPr>
                <w:sz w:val="17"/>
              </w:rPr>
              <w:t xml:space="preserve">[4]</w:t>
            </w:r>
          </w:p>
        </w:tc>
        <w:tc>
          <w:tcPr>
            <w:tcW w:w="1581" w:type="dxa"/>
          </w:tcPr>
          <w:p>
            <w:pPr>
              <w:pStyle w:val="Compact"/>
              <w:spacing w:line="240" w:lineRule="auto" w:after="0"/>
              <w:jc w:val="left"/>
            </w:pPr>
            <w:r>
              <w:rPr>
                <w:sz w:val="17"/>
              </w:rPr>
              <w:t xml:space="preserve">One service’s 9.4 million SMS authentication logs, 19 countries, three months</w:t>
            </w:r>
          </w:p>
        </w:tc>
        <w:tc>
          <w:tcPr>
            <w:tcW w:w="1581" w:type="dxa"/>
          </w:tcPr>
          <w:p>
            <w:pPr>
              <w:pStyle w:val="Compact"/>
              <w:spacing w:line="240" w:lineRule="auto" w:after="0"/>
              <w:jc w:val="left"/>
            </w:pPr>
            <w:r>
              <w:rPr>
                <w:sz w:val="17"/>
              </w:rPr>
              <w:t xml:space="preserve">Per-request features with prefix-level counts and conversion; labels derived from traffic peaks</w:t>
            </w:r>
          </w:p>
        </w:tc>
        <w:tc>
          <w:tcPr>
            <w:tcW w:w="1581" w:type="dxa"/>
          </w:tcPr>
          <w:p>
            <w:pPr>
              <w:pStyle w:val="Compact"/>
              <w:spacing w:line="240" w:lineRule="auto" w:after="0"/>
              <w:jc w:val="left"/>
            </w:pPr>
            <w:r>
              <w:rPr>
                <w:sz w:val="17"/>
              </w:rPr>
              <w:t xml:space="preserve">Per request at the service, before the message is sent</w:t>
            </w:r>
          </w:p>
        </w:tc>
        <w:tc>
          <w:tcPr>
            <w:tcW w:w="1581" w:type="dxa"/>
          </w:tcPr>
          <w:p>
            <w:pPr>
              <w:pStyle w:val="Compact"/>
              <w:spacing w:line="240" w:lineRule="auto" w:after="0"/>
              <w:jc w:val="left"/>
            </w:pPr>
            <w:r>
              <w:rPr>
                <w:sz w:val="17"/>
              </w:rPr>
              <w:t xml:space="preserve">False positives only (0.19% web, 0.11% app)</w:t>
            </w:r>
          </w:p>
        </w:tc>
        <w:tc>
          <w:tcPr>
            <w:tcW w:w="1581" w:type="dxa"/>
          </w:tcPr>
          <w:p>
            <w:pPr>
              <w:pStyle w:val="Compact"/>
              <w:spacing w:line="240" w:lineRule="auto" w:after="0"/>
              <w:jc w:val="left"/>
            </w:pPr>
            <w:r>
              <w:rPr>
                <w:sz w:val="17"/>
              </w:rPr>
              <w:t xml:space="preserve">Needs labels; the deployed model was not released; a per-request decision can be probed</w:t>
            </w:r>
          </w:p>
        </w:tc>
      </w:tr>
      <w:tr>
        <w:tc>
          <w:tcPr>
            <w:tcW w:w="1166" w:type="dxa"/>
          </w:tcPr>
          <w:p>
            <w:pPr>
              <w:pStyle w:val="Compact"/>
              <w:spacing w:line="240" w:lineRule="auto" w:after="0"/>
              <w:jc w:val="left"/>
            </w:pPr>
            <w:r>
              <w:rPr>
                <w:sz w:val="17"/>
              </w:rPr>
              <w:t xml:space="preserve">Zaliskyi and Odarchenko [8]</w:t>
            </w:r>
          </w:p>
        </w:tc>
        <w:tc>
          <w:tcPr>
            <w:tcW w:w="1581" w:type="dxa"/>
          </w:tcPr>
          <w:p>
            <w:pPr>
              <w:pStyle w:val="Compact"/>
              <w:spacing w:line="240" w:lineRule="auto" w:after="0"/>
              <w:jc w:val="left"/>
            </w:pPr>
            <w:r>
              <w:rPr>
                <w:sz w:val="17"/>
              </w:rPr>
              <w:t xml:space="preserve">Aggregator delivery metadata: two confirmed incidents and one legitimate campaign</w:t>
            </w:r>
          </w:p>
        </w:tc>
        <w:tc>
          <w:tcPr>
            <w:tcW w:w="1581" w:type="dxa"/>
          </w:tcPr>
          <w:p>
            <w:pPr>
              <w:pStyle w:val="Compact"/>
              <w:spacing w:line="240" w:lineRule="auto" w:after="0"/>
              <w:jc w:val="left"/>
            </w:pPr>
            <w:r>
              <w:rPr>
                <w:sz w:val="17"/>
              </w:rPr>
              <w:t xml:space="preserve">Sends, or unique recipients, per prefix in five-minute windows; no labels</w:t>
            </w:r>
          </w:p>
        </w:tc>
        <w:tc>
          <w:tcPr>
            <w:tcW w:w="1581" w:type="dxa"/>
          </w:tcPr>
          <w:p>
            <w:pPr>
              <w:pStyle w:val="Compact"/>
              <w:spacing w:line="240" w:lineRule="auto" w:after="0"/>
              <w:jc w:val="left"/>
            </w:pPr>
            <w:r>
              <w:rPr>
                <w:sz w:val="17"/>
              </w:rPr>
              <w:t xml:space="preserve">Per prefix, with a 24-hour quarantine</w:t>
            </w:r>
          </w:p>
        </w:tc>
        <w:tc>
          <w:tcPr>
            <w:tcW w:w="1581" w:type="dxa"/>
          </w:tcPr>
          <w:p>
            <w:pPr>
              <w:pStyle w:val="Compact"/>
              <w:spacing w:line="240" w:lineRule="auto" w:after="0"/>
              <w:jc w:val="left"/>
            </w:pPr>
            <w:r>
              <w:rPr>
                <w:sz w:val="17"/>
              </w:rPr>
              <w:t xml:space="preserve">Share of a campaign blocked (58%; 2% with unique recipients)</w:t>
            </w:r>
          </w:p>
        </w:tc>
        <w:tc>
          <w:tcPr>
            <w:tcW w:w="1581" w:type="dxa"/>
          </w:tcPr>
          <w:p>
            <w:pPr>
              <w:pStyle w:val="Compact"/>
              <w:spacing w:line="240" w:lineRule="auto" w:after="0"/>
              <w:jc w:val="left"/>
            </w:pPr>
            <w:r>
              <w:rPr>
                <w:sz w:val="17"/>
              </w:rPr>
              <w:t xml:space="preserve">Outcomes unused; thresholds that stop incidents block campaigns; no per-user cost</w:t>
            </w:r>
          </w:p>
        </w:tc>
      </w:tr>
      <w:tr>
        <w:tc>
          <w:tcPr>
            <w:tcW w:w="1166" w:type="dxa"/>
          </w:tcPr>
          <w:p>
            <w:pPr>
              <w:pStyle w:val="Compact"/>
              <w:spacing w:line="240" w:lineRule="auto" w:after="0"/>
              <w:jc w:val="left"/>
            </w:pPr>
            <w:r>
              <w:rPr>
                <w:sz w:val="17"/>
              </w:rPr>
              <w:t xml:space="preserve">Twilio Inc. [7], [6]</w:t>
            </w:r>
          </w:p>
        </w:tc>
        <w:tc>
          <w:tcPr>
            <w:tcW w:w="1581" w:type="dxa"/>
          </w:tcPr>
          <w:p>
            <w:pPr>
              <w:pStyle w:val="Compact"/>
              <w:spacing w:line="240" w:lineRule="auto" w:after="0"/>
              <w:jc w:val="left"/>
            </w:pPr>
            <w:r>
              <w:rPr>
                <w:sz w:val="17"/>
              </w:rPr>
              <w:t xml:space="preserve">Vendor-wide traffic across accounts; documentation only</w:t>
            </w:r>
          </w:p>
        </w:tc>
        <w:tc>
          <w:tcPr>
            <w:tcW w:w="1581"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81" w:type="dxa"/>
          </w:tcPr>
          <w:p>
            <w:pPr>
              <w:pStyle w:val="Compact"/>
              <w:spacing w:line="240" w:lineRule="auto" w:after="0"/>
              <w:jc w:val="left"/>
            </w:pPr>
            <w:r>
              <w:rPr>
                <w:sz w:val="17"/>
              </w:rPr>
              <w:t xml:space="preserve">Before the send, at the vendor; bands at 60, 75 and 90</w:t>
            </w:r>
          </w:p>
        </w:tc>
        <w:tc>
          <w:tcPr>
            <w:tcW w:w="1581" w:type="dxa"/>
          </w:tcPr>
          <w:p>
            <w:pPr>
              <w:pStyle w:val="Compact"/>
              <w:spacing w:line="240" w:lineRule="auto" w:after="0"/>
              <w:jc w:val="left"/>
            </w:pPr>
            <w:r>
              <w:rPr>
                <w:sz w:val="17"/>
              </w:rPr>
              <w:t xml:space="preserve">Claimed false-positive rates under 1% and 2%</w:t>
            </w:r>
          </w:p>
        </w:tc>
        <w:tc>
          <w:tcPr>
            <w:tcW w:w="1581" w:type="dxa"/>
          </w:tcPr>
          <w:p>
            <w:pPr>
              <w:pStyle w:val="Compact"/>
              <w:spacing w:line="240" w:lineRule="auto" w:after="0"/>
              <w:jc w:val="left"/>
            </w:pPr>
            <w:r>
              <w:rPr>
                <w:sz w:val="17"/>
              </w:rPr>
              <w:t xml:space="preserve">Signals and models undisclosed; cannot be benchmarked or reproduced</w:t>
            </w:r>
          </w:p>
        </w:tc>
      </w:tr>
      <w:tr>
        <w:tc>
          <w:tcPr>
            <w:tcW w:w="1166" w:type="dxa"/>
          </w:tcPr>
          <w:p>
            <w:pPr>
              <w:pStyle w:val="Compact"/>
              <w:spacing w:line="240" w:lineRule="auto" w:after="0"/>
              <w:jc w:val="left"/>
            </w:pPr>
            <w:r>
              <w:rPr>
                <w:sz w:val="17"/>
              </w:rPr>
              <w:t xml:space="preserve">Wiefling</w:t>
            </w:r>
            <w:r>
              <w:rPr>
                <w:sz w:val="17"/>
              </w:rPr>
              <w:t xml:space="preserve"> </w:t>
            </w:r>
            <w:r>
              <w:rPr>
                <w:iCs/>
                <w:i/>
                <w:sz w:val="17"/>
              </w:rPr>
              <w:t xml:space="preserve">et al.</w:t>
            </w:r>
            <w:r>
              <w:rPr>
                <w:sz w:val="17"/>
              </w:rPr>
              <w:t xml:space="preserve"> </w:t>
            </w:r>
            <w:r>
              <w:rPr>
                <w:sz w:val="17"/>
              </w:rPr>
              <w:t xml:space="preserve">[5]</w:t>
            </w:r>
          </w:p>
        </w:tc>
        <w:tc>
          <w:tcPr>
            <w:tcW w:w="1581" w:type="dxa"/>
          </w:tcPr>
          <w:p>
            <w:pPr>
              <w:pStyle w:val="Compact"/>
              <w:spacing w:line="240" w:lineRule="auto" w:after="0"/>
              <w:jc w:val="left"/>
            </w:pPr>
            <w:r>
              <w:rPr>
                <w:sz w:val="17"/>
              </w:rPr>
              <w:t xml:space="preserve">Black-box tests of eight services with 224 accounts</w:t>
            </w:r>
          </w:p>
        </w:tc>
        <w:tc>
          <w:tcPr>
            <w:tcW w:w="1581" w:type="dxa"/>
          </w:tcPr>
          <w:p>
            <w:pPr>
              <w:pStyle w:val="Compact"/>
              <w:spacing w:line="240" w:lineRule="auto" w:after="0"/>
              <w:jc w:val="left"/>
            </w:pPr>
            <w:r>
              <w:rPr>
                <w:sz w:val="17"/>
              </w:rPr>
              <w:t xml:space="preserve">Address, user agent, resolution, time and similar login features scored into risk buckets</w:t>
            </w:r>
          </w:p>
        </w:tc>
        <w:tc>
          <w:tcPr>
            <w:tcW w:w="1581" w:type="dxa"/>
          </w:tcPr>
          <w:p>
            <w:pPr>
              <w:pStyle w:val="Compact"/>
              <w:spacing w:line="240" w:lineRule="auto" w:after="0"/>
              <w:jc w:val="left"/>
            </w:pPr>
            <w:r>
              <w:rPr>
                <w:sz w:val="17"/>
              </w:rPr>
              <w:t xml:space="preserve">Per login to an existing account</w:t>
            </w:r>
          </w:p>
        </w:tc>
        <w:tc>
          <w:tcPr>
            <w:tcW w:w="1581" w:type="dxa"/>
          </w:tcPr>
          <w:p>
            <w:pPr>
              <w:pStyle w:val="Compact"/>
              <w:spacing w:line="240" w:lineRule="auto" w:after="0"/>
              <w:jc w:val="left"/>
            </w:pPr>
            <w:r>
              <w:rPr>
                <w:sz w:val="17"/>
              </w:rPr>
              <w:t xml:space="preserve">Not measured; re-authentication observed</w:t>
            </w:r>
          </w:p>
        </w:tc>
        <w:tc>
          <w:tcPr>
            <w:tcW w:w="1581" w:type="dxa"/>
          </w:tcPr>
          <w:p>
            <w:pPr>
              <w:pStyle w:val="Compact"/>
              <w:spacing w:line="240" w:lineRule="auto" w:after="0"/>
              <w:jc w:val="left"/>
            </w:pPr>
            <w:r>
              <w:rPr>
                <w:sz w:val="17"/>
              </w:rPr>
              <w:t xml:space="preserve">Scores a login, not a request made before any account exists; procedures undisclosed</w:t>
            </w:r>
          </w:p>
        </w:tc>
      </w:tr>
      <w:tr>
        <w:tc>
          <w:tcPr>
            <w:tcW w:w="1166" w:type="dxa"/>
            <w:tcBorders>
              <w:bottom w:val="single" w:sz="8" w:color="000000"/>
            </w:tcBorders>
          </w:tcPr>
          <w:p>
            <w:pPr>
              <w:pStyle w:val="Compact"/>
              <w:spacing w:line="240" w:lineRule="auto" w:after="0"/>
              <w:jc w:val="left"/>
            </w:pPr>
            <w:r>
              <w:rPr>
                <w:sz w:val="17"/>
              </w:rPr>
              <w:t xml:space="preserve">This study</w:t>
            </w:r>
          </w:p>
        </w:tc>
        <w:tc>
          <w:tcPr>
            <w:tcW w:w="1581"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81"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81" w:type="dxa"/>
            <w:tcBorders>
              <w:bottom w:val="single" w:sz="8" w:color="000000"/>
            </w:tcBorders>
          </w:tcPr>
          <w:p>
            <w:pPr>
              <w:pStyle w:val="Compact"/>
              <w:spacing w:line="240" w:lineRule="auto" w:after="0"/>
              <w:jc w:val="left"/>
            </w:pPr>
            <w:r>
              <w:rPr>
                <w:sz w:val="17"/>
              </w:rPr>
              <w:t xml:space="preserve">Per 10,000-number block at the service, before the message is sent</w:t>
            </w:r>
          </w:p>
        </w:tc>
        <w:tc>
          <w:tcPr>
            <w:tcW w:w="1581"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81"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8"/>
    <w:bookmarkEnd w:id="29"/>
    <w:bookmarkStart w:id="54" w:name="iii.-threat-model-and-design"/>
    <w:p>
      <w:pPr>
        <w:pStyle w:val="Heading1"/>
      </w:pPr>
      <w:r>
        <w:t xml:space="preserve">III. THREAT MODEL AND DESIGN</w:t>
      </w:r>
    </w:p>
    <w:p>
      <w:pPr>
        <w:pStyle w:val="FirstParagraph"/>
      </w:pPr>
      <w:r>
        <w:t xml:space="preserve">This section describes the baseline we replaced, the attacker our design must resist, the twelve steps and two destination policies we designed, and the estimates of leakage we derived from its rules.</w:t>
      </w:r>
    </w:p>
    <w:bookmarkStart w:id="33"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284230"/>
            <wp:effectExtent b="0" l="0" r="0" t="0"/>
            <wp:docPr descr="" title="" id="31" name="Picture"/>
            <a:graphic>
              <a:graphicData uri="http://schemas.openxmlformats.org/drawingml/2006/picture">
                <pic:pic>
                  <pic:nvPicPr>
                    <pic:cNvPr descr="figures/alg1_v1.png" id="32" name="Picture"/>
                    <pic:cNvPicPr>
                      <a:picLocks noChangeArrowheads="1" noChangeAspect="1"/>
                    </pic:cNvPicPr>
                  </pic:nvPicPr>
                  <pic:blipFill>
                    <a:blip r:embed="rId30"/>
                    <a:stretch>
                      <a:fillRect/>
                    </a:stretch>
                  </pic:blipFill>
                  <pic:spPr bwMode="auto">
                    <a:xfrm>
                      <a:off x="0" y="0"/>
                      <a:ext cx="4319999" cy="2284230"/>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3"/>
    <w:bookmarkStart w:id="37"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who is paid a share of the termination fee by the operator that terminates its ranges; it earns nothing on any other number, so its traffic concentrates on the blocks it is paid for. The share is not public; therefore, in Section V-H, we report the share at which each scripted pumper breaks even. Fig.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5" name="Picture"/>
            <a:graphic>
              <a:graphicData uri="http://schemas.openxmlformats.org/drawingml/2006/picture">
                <pic:pic>
                  <pic:nvPicPr>
                    <pic:cNvPr descr="figures/fig9_threat_model.png" id="36" name="Picture"/>
                    <pic:cNvPicPr>
                      <a:picLocks noChangeArrowheads="1" noChangeAspect="1"/>
                    </pic:cNvPicPr>
                  </pic:nvPicPr>
                  <pic:blipFill>
                    <a:blip r:embed="rId34"/>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approximately 0.3 cents each; therefore,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uniform response that Section III-C describes.</w:t>
      </w:r>
    </w:p>
    <w:p>
      <w:pPr>
        <w:pStyle w:val="BodyText"/>
      </w:pPr>
      <w:r>
        <w:t xml:space="preserve">On its own ranges, a pumper’s operator can do what a real recipient can: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II-D) and compromise of the service, its vendors, or the attestation providers are outside the model. Table 2 lists the 25 profiles that instantiate these capabilities; pool size, rate, and CAPTCHA class are drawn per seed.</w:t>
      </w:r>
    </w:p>
    <w:bookmarkEnd w:id="37"/>
    <w:bookmarkStart w:id="47" w:name="c.-the-pipeline"/>
    <w:p>
      <w:pPr>
        <w:pStyle w:val="Heading2"/>
      </w:pPr>
      <w:r>
        <w:t xml:space="preserve">C. THE PIPELINE</w:t>
      </w:r>
    </w:p>
    <w:p>
      <w:pPr>
        <w:pStyle w:val="FirstParagraph"/>
      </w:pPr>
      <w:r>
        <w:t xml:space="preserve">Fig.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as one compare-and-set. All state lives in one store, Redis in production, and an in-memory twin with the same rules in the tests and the simulator, so what the loop writes the next request reads, which is how the outcome of one send changes the judgment of the next, and any instance can verify any code. One worker per deployment ticks every minute to resolve the sends that timed out and to run the baseline job that sets the multipliers of Step 9 from the pipeline’s own counters. Every external dependency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39" name="Picture"/>
            <a:graphic>
              <a:graphicData uri="http://schemas.openxmlformats.org/drawingml/2006/picture">
                <pic:pic>
                  <pic:nvPicPr>
                    <pic:cNvPr descr="figures/fig12_architecture.png" id="40" name="Picture"/>
                    <pic:cNvPicPr>
                      <a:picLocks noChangeArrowheads="1" noChangeAspect="1"/>
                    </pic:cNvPicPr>
                  </pic:nvPicPr>
                  <pic:blipFill>
                    <a:blip r:embed="rId38"/>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that the client cannot forge, an attestation, a server-signed session, and the fate of earlier codes, though such evidence can be manufactured (Section V-F).</w:t>
      </w:r>
    </w:p>
    <w:p>
      <w:pPr>
        <w:pStyle w:val="BodyText"/>
      </w:pPr>
      <w:r>
        <w:t xml:space="preserve">A request passes the twelve steps of Fig. 4 in order until one refuses it. The figure numbers its stages in reading order: stages 1 to 4 are Steps 0 to 4, with Steps 3 and 4 drawn as one stage, the web checks; from stage 5 on the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provides the same pipeline as that implemented,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its country</w:t>
      </w:r>
      <w:r>
        <w:t xml:space="preserve"> </w:t>
      </w:r>
      <m:oMath>
        <m:r>
          <m:t>u</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is the source cap.</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operation, but the enclosing steps are not one transaction, and a crash between them can leak reservations (Section IV-A);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2" name="Picture"/>
            <a:graphic>
              <a:graphicData uri="http://schemas.openxmlformats.org/drawingml/2006/picture">
                <pic:pic>
                  <pic:nvPicPr>
                    <pic:cNvPr descr="figures/fig10_steps.png" id="43" name="Picture"/>
                    <pic:cNvPicPr>
                      <a:picLocks noChangeArrowheads="1" noChangeAspect="1"/>
                    </pic:cNvPicPr>
                  </pic:nvPicPr>
                  <pic:blipFill>
                    <a:blip r:embed="rId41"/>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4319999" cy="6144897"/>
            <wp:effectExtent b="0" l="0" r="0" t="0"/>
            <wp:docPr descr="" title="" id="45" name="Picture"/>
            <a:graphic>
              <a:graphicData uri="http://schemas.openxmlformats.org/drawingml/2006/picture">
                <pic:pic>
                  <pic:nvPicPr>
                    <pic:cNvPr descr="figures/alg2_v2.png" id="46" name="Picture"/>
                    <pic:cNvPicPr>
                      <a:picLocks noChangeArrowheads="1" noChangeAspect="1"/>
                    </pic:cNvPicPr>
                  </pic:nvPicPr>
                  <pic:blipFill>
                    <a:blip r:embed="rId44"/>
                    <a:stretch>
                      <a:fillRect/>
                    </a:stretch>
                  </pic:blipFill>
                  <pic:spPr bwMode="auto">
                    <a:xfrm>
                      <a:off x="0" y="0"/>
                      <a:ext cx="4319999" cy="6144897"/>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7"/>
    <w:bookmarkStart w:id="48"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carries,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A block’s statistic accumulates in processing order and a verdict is dated at the event that completes the crossing, so a late event can backdate a verdict and move its expiry; simulated runs apply events in time order, but concurrent live instances may not, so the same dependence holds live unless a block’s effects are serialized.</w:t>
      </w:r>
    </w:p>
    <w:bookmarkEnd w:id="48"/>
    <w:bookmarkStart w:id="51" w:name="e.-destination-policies"/>
    <w:p>
      <w:pPr>
        <w:pStyle w:val="Heading2"/>
      </w:pPr>
      <w:r>
        <w:t xml:space="preserve">E. DESTINATION POLICIES</w:t>
      </w:r>
    </w:p>
    <w:p>
      <w:pPr>
        <w:pStyle w:val="FirstParagraph"/>
      </w:pPr>
      <w:r>
        <w:t xml:space="preserve">A pumper is confined to its partner’s range but can rotate numbers and blocks within it. Destination policies are keyed on the 8-digit block (10,000 numbers); therefore, protection weakens as the pumper spreads.</w:t>
      </w:r>
    </w:p>
    <w:bookmarkStart w:id="49"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verdict within the hour moves them off SMS, refusing those without another channel.</w:t>
      </w:r>
    </w:p>
    <w:bookmarkEnd w:id="49"/>
    <w:bookmarkStart w:id="50"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that concurrent requests cannot skip the challenge. Beyond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0"/>
    <w:bookmarkEnd w:id="51"/>
    <w:bookmarkStart w:id="52"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static caps or the budget, which bounds SMS count and spend, not vendor or fallback costs.</w:t>
      </w:r>
    </w:p>
    <w:bookmarkEnd w:id="52"/>
    <w:bookmarkStart w:id="53"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has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both policies.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including the sends of verified clients.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to be simulated.</w:t>
      </w:r>
    </w:p>
    <w:bookmarkEnd w:id="53"/>
    <w:bookmarkEnd w:id="54"/>
    <w:bookmarkStart w:id="65" w:name="iv.-methodology"/>
    <w:p>
      <w:pPr>
        <w:pStyle w:val="Heading1"/>
      </w:pPr>
      <w:r>
        <w:t xml:space="preserve">IV. METHODOLOGY</w:t>
      </w:r>
    </w:p>
    <w:p>
      <w:pPr>
        <w:pStyle w:val="FirstParagraph"/>
      </w:pPr>
      <w:r>
        <w:t xml:space="preserve">Fig.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describes the implementation, simulator, protocols, and metrics in that order.</w:t>
      </w:r>
    </w:p>
    <w:p>
      <w:pPr>
        <w:pStyle w:val="CaptionedFigure"/>
      </w:pPr>
      <w:r>
        <w:drawing>
          <wp:inline>
            <wp:extent cx="5334000" cy="2408776"/>
            <wp:effectExtent b="0" l="0" r="0" t="0"/>
            <wp:docPr descr="" title="" id="56" name="Picture"/>
            <a:graphic>
              <a:graphicData uri="http://schemas.openxmlformats.org/drawingml/2006/picture">
                <pic:pic>
                  <pic:nvPicPr>
                    <pic:cNvPr descr="figures/fig11_method.png" id="57" name="Picture"/>
                    <pic:cNvPicPr>
                      <a:picLocks noChangeArrowheads="1" noChangeAspect="1"/>
                    </pic:cNvPicPr>
                  </pic:nvPicPr>
                  <pic:blipFill>
                    <a:blip r:embed="rId55"/>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Overview of how we evaluated the design.</w:t>
      </w:r>
    </w:p>
    <w:bookmarkStart w:id="58" w:name="a.-implementation"/>
    <w:p>
      <w:pPr>
        <w:pStyle w:val="Heading2"/>
      </w:pPr>
      <w:r>
        <w:t xml:space="preserve">A. IMPLEMENTATION</w:t>
      </w:r>
    </w:p>
    <w:p>
      <w:pPr>
        <w:pStyle w:val="FirstParagraph"/>
      </w:pPr>
      <w:r>
        <w:t xml:space="preserve">We implemented the pipeline of Algorithm 2 in approximately 4,000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ran against a real</w:t>
      </w:r>
      <w:r>
        <w:t xml:space="preserve"> </w:t>
      </w:r>
      <w:r>
        <w:rPr>
          <w:rStyle w:val="VerbatimChar"/>
        </w:rPr>
        <w:t xml:space="preserve">redis-server</w:t>
      </w:r>
      <w:r>
        <w:t xml:space="preserve"> </w:t>
      </w:r>
      <w:r>
        <w:t xml:space="preserve">and 18 exercised specific interleavings of two instances, not all. Step 11 is still not one transaction: a crash after its reservations leaks reserved slots or resolves the send as undelivered. The implementation is a research prototype.</w:t>
      </w:r>
    </w:p>
    <w:bookmarkEnd w:id="58"/>
    <w:bookmarkStart w:id="62" w:name="b.-simulation"/>
    <w:p>
      <w:pPr>
        <w:pStyle w:val="Heading2"/>
      </w:pPr>
      <w:r>
        <w:t xml:space="preserve">B. SIMULATION</w:t>
      </w:r>
    </w:p>
    <w:p>
      <w:pPr>
        <w:pStyle w:val="FirstParagraph"/>
      </w:pPr>
      <w:r>
        <w:t xml:space="preserve">We run the pipeline against scripted vendor fakes on a simulated clock, as set out in Algorithm 3. A seed</w:t>
      </w:r>
      <w:r>
        <w:t xml:space="preserve"> </w:t>
      </w:r>
      <m:oMath>
        <m:r>
          <m:t>z</m:t>
        </m:r>
      </m:oMath>
      <w:r>
        <w:t xml:space="preserve"> </w:t>
      </w:r>
      <w:r>
        <w:t xml:space="preserve">opens three random streams: for the users, the attacker, and the challenge outcomes; therefore, every scenario at a seed, including the attack-free scenario,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period, resolution timeout,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code hash. After a warm-up of ten minutes (30 or 130 for pumping), the attack runs over legitimate traffic at 20 requests per minute. Our simulated users verified 80% of codes after a lognormal delay (median 22 s; 2 s for the 20% using autofill); 70% of numbers were reachable on WhatsApp; 90% of users completed a challenge; 20% were returning account holders with a stable fingerprint, a trusted number, and verified history; therefore, our results for returning users described trusted identities only.</w:t>
      </w:r>
    </w:p>
    <w:p>
      <w:pPr>
        <w:pStyle w:val="CaptionedFigure"/>
      </w:pPr>
      <w:r>
        <w:drawing>
          <wp:inline>
            <wp:extent cx="4319999" cy="3845954"/>
            <wp:effectExtent b="0" l="0" r="0" t="0"/>
            <wp:docPr descr="" title="" id="60" name="Picture"/>
            <a:graphic>
              <a:graphicData uri="http://schemas.openxmlformats.org/drawingml/2006/picture">
                <pic:pic>
                  <pic:nvPicPr>
                    <pic:cNvPr descr="figures/alg3_sim.png" id="61" name="Picture"/>
                    <pic:cNvPicPr>
                      <a:picLocks noChangeArrowheads="1" noChangeAspect="1"/>
                    </pic:cNvPicPr>
                  </pic:nvPicPr>
                  <pic:blipFill>
                    <a:blip r:embed="rId59"/>
                    <a:stretch>
                      <a:fillRect/>
                    </a:stretch>
                  </pic:blipFill>
                  <pic:spPr bwMode="auto">
                    <a:xfrm>
                      <a:off x="0" y="0"/>
                      <a:ext cx="4319999" cy="3845954"/>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2"/>
    <w:bookmarkStart w:id="63"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50,000 to 500,000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(9,919, 7,925, and 240 runs, each carrying its code hash); against 2.8.0, total leakage changed in 855 of 17,964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3"/>
    <w:bookmarkStart w:id="64" w:name="d.-designs-and-metrics"/>
    <w:p>
      <w:pPr>
        <w:pStyle w:val="Heading2"/>
      </w:pPr>
      <w:r>
        <w:t xml:space="preserve">D. DESIGNS AND METRICS</w:t>
      </w:r>
    </w:p>
    <w:p>
      <w:pPr>
        <w:pStyle w:val="FirstParagraph"/>
      </w:pPr>
      <w:r>
        <w:t xml:space="preserve">We evaluated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4"/>
    <w:bookmarkEnd w:id="65"/>
    <w:bookmarkStart w:id="86" w:name="v.-results"/>
    <w:p>
      <w:pPr>
        <w:pStyle w:val="Heading1"/>
      </w:pPr>
      <w:r>
        <w:t xml:space="preserve">V. RESULTS</w:t>
      </w:r>
    </w:p>
    <w:bookmarkStart w:id="66"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lists the leaked share (%, mean of per-run shares) of approximately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lists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6"/>
    <w:bookmarkStart w:id="67"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respectively,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7"/>
    <w:bookmarkStart w:id="68"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68"/>
    <w:bookmarkStart w:id="69"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being 20% and 64%. Both assume an oracle job that is told the legitimate rate and runs every minute; running every five minutes or hourly, it lets 75%–96% of the farm’s requests through. Learning the rate from the pipeline counters, the deployed job leaked 193 [161, 229] messages with a clean three-week profile, 340 [239, 441] more on a cold start, 106 [62, 151] more with a stale profile, and 45 [10, 77] more with a poisoned one.</w:t>
      </w:r>
    </w:p>
    <w:bookmarkEnd w:id="69"/>
    <w:bookmarkStart w:id="70"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verified leaked 570 [419, 736] messages under v1, which contained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1,067 [839, 1,310]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remain contained.</w:t>
      </w:r>
    </w:p>
    <w:bookmarkEnd w:id="70"/>
    <w:bookmarkStart w:id="83"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 level.</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level."/>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1"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therefore,</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that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that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1"/>
    <w:bookmarkStart w:id="72"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5,509 [4,409, 6,567]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1,149 [953, 1,340]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1,357 at 1.09 [0.59, 1.59] and the counter 1,662 at 0.72 [0.44, 1.02], and the token buckets spared the poisoner’s users only by letting almost everything through. Returning users, all simulated with verified history, lost nothing.</w:t>
      </w:r>
    </w:p>
    <w:bookmarkEnd w:id="72"/>
    <w:bookmarkStart w:id="82" w:name="the-counters-boundary"/>
    <w:p>
      <w:pPr>
        <w:pStyle w:val="Heading3"/>
      </w:pPr>
      <w:r>
        <w:t xml:space="preserve">3) The Counter’s Boundary</w:t>
      </w:r>
    </w:p>
    <w:p>
      <w:pPr>
        <w:pStyle w:val="FirstParagraph"/>
      </w:pPr>
      <w:r>
        <w:t xml:space="preserve">Figs. 6–8 show the counter’s operating boundary (E4, seeds 300–304): each point is a mean over five seeds with its 95% interval, lines join the sampled settings without locating a crossover, and the horizontal axes are logarithmic. Fig.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4" name="Picture"/>
            <a:graphic>
              <a:graphicData uri="http://schemas.openxmlformats.org/drawingml/2006/picture">
                <pic:pic>
                  <pic:nvPicPr>
                    <pic:cNvPr descr="figures/fig7a_service.png" id="75" name="Picture"/>
                    <pic:cNvPicPr>
                      <a:picLocks noChangeArrowheads="1" noChangeAspect="1"/>
                    </pic:cNvPicPr>
                  </pic:nvPicPr>
                  <pic:blipFill>
                    <a:blip r:embed="rId7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Figs. 7 and 8 plot the messages a pumper got through against the number of blocks it spread over, 3 to 300. Fig.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77" name="Picture"/>
            <a:graphic>
              <a:graphicData uri="http://schemas.openxmlformats.org/drawingml/2006/picture">
                <pic:pic>
                  <pic:nvPicPr>
                    <pic:cNvPr descr="figures/fig7b_security20.png" id="78" name="Picture"/>
                    <pic:cNvPicPr>
                      <a:picLocks noChangeArrowheads="1" noChangeAspect="1"/>
                    </pic:cNvPicPr>
                  </pic:nvPicPr>
                  <pic:blipFill>
                    <a:blip r:embed="rId76"/>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20 min against the blocks a pumper spreads over.</w:t>
      </w:r>
    </w:p>
    <w:p>
      <w:pPr>
        <w:pStyle w:val="BodyText"/>
      </w:pPr>
      <w:r>
        <w:t xml:space="preserve">Fig. 8 shows the hour-long attack at full rate against the estimates of Section III-G, computed from each run’s offered requests, offered rate, and configured timeouts, nothing fitted: (2) for the tests and (3) and (4) for the counter’s cold- and warm-start bounds, drawn hollow on dotted lines (the 20-minute estimates are in</w:t>
      </w:r>
      <w:r>
        <w:t xml:space="preserve"> </w:t>
      </w:r>
      <w:r>
        <w:rPr>
          <w:rStyle w:val="VerbatimChar"/>
        </w:rPr>
        <w:t xml:space="preserve">results/ condition_check.json</w:t>
      </w:r>
      <w:r>
        <w:t xml:space="preserve">). Over 60 min, the default leaked 110, 144, and 242 messages on 3, 10, and 30 blocks, against 105, 139, and 240 from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(3) and none exceeded (4). With these unfitted inputs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20 min, where the nearest measured differences do not exclude zero; it is not a measured switching point.</w:t>
      </w:r>
    </w:p>
    <w:p>
      <w:pPr>
        <w:pStyle w:val="CaptionedFigure"/>
      </w:pPr>
      <w:r>
        <w:drawing>
          <wp:inline>
            <wp:extent cx="5334000" cy="3946421"/>
            <wp:effectExtent b="0" l="0" r="0" t="0"/>
            <wp:docPr descr="" title="" id="80" name="Picture"/>
            <a:graphic>
              <a:graphicData uri="http://schemas.openxmlformats.org/drawingml/2006/picture">
                <pic:pic>
                  <pic:nvPicPr>
                    <pic:cNvPr descr="figures/fig7c_security60.png" id="81" name="Picture"/>
                    <pic:cNvPicPr>
                      <a:picLocks noChangeArrowheads="1" noChangeAspect="1"/>
                    </pic:cNvPicPr>
                  </pic:nvPicPr>
                  <pic:blipFill>
                    <a:blip r:embed="rId79"/>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1 h,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leaked 570 each, drawing no verdict, and a datacenter attacker that bought every challenge solution 55; the leakages of these scripted adaptations are not upper bounds.</w:t>
      </w:r>
    </w:p>
    <w:bookmarkEnd w:id="82"/>
    <w:bookmarkEnd w:id="83"/>
    <w:bookmarkStart w:id="84" w:name="g.-the-cost-to-legitimate-users"/>
    <w:p>
      <w:pPr>
        <w:pStyle w:val="Heading2"/>
      </w:pPr>
      <w:r>
        <w:t xml:space="preserve">G. THE COST TO LEGITIMATE USERS</w:t>
      </w:r>
    </w:p>
    <w:p>
      <w:pPr>
        <w:pStyle w:val="FirstParagraph"/>
      </w:pPr>
      <w:r>
        <w:t xml:space="preserve">On one block, 20,000 Monte Carlo trials per cell give the probability of a verdict within 30 legitimate sends: 0.09% [0.06, 0.14] at 80% conversion with 20% autofill, 1.9% at 65% and 19.5% at 50%. Over 24 hours, the default raises 0.5 verdict events per day on 200 busy blocks at 80% conversion and 6.5 at 65%, where they meet 30 of about 28,800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 duration.</w:t>
      </w:r>
    </w:p>
    <w:bookmarkEnd w:id="84"/>
    <w:bookmarkStart w:id="85"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5"/>
    <w:bookmarkEnd w:id="86"/>
    <w:bookmarkStart w:id="87"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1,149 and no policy 5,509, neither policy costing all users anything on average.</w:t>
      </w:r>
    </w:p>
    <w:p>
      <w:pPr>
        <w:pStyle w:val="BodyText"/>
      </w:pPr>
      <w:r>
        <w:t xml:space="preserve">The nearest external work, set out in Table 1, can be compared only on what each needs and reports, since none ran on the same traffic. Huh</w:t>
      </w:r>
      <w:r>
        <w:t xml:space="preserve"> </w:t>
      </w:r>
      <w:r>
        <w:rPr>
          <w:iCs/>
          <w:i/>
        </w:rPr>
        <w:t xml:space="preserve">et al.</w:t>
      </w:r>
      <w:r>
        <w:t xml:space="preserve"> </w:t>
      </w:r>
      <w:r>
        <w:t xml:space="preserve">[4]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state claimed false-positive rates and report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Start w:id="88" w:name="vii.-conclusion"/>
    <w:p>
      <w:pPr>
        <w:pStyle w:val="Heading1"/>
      </w:pPr>
      <w:r>
        <w:t xml:space="preserve">VII. CONCLUSION</w:t>
      </w:r>
    </w:p>
    <w:p>
      <w:pPr>
        <w:pStyle w:val="FirstParagraph"/>
      </w:pPr>
      <w:r>
        <w:t xml:space="preserve">In this work, we asked which of the two label-free destination signals a service that verifies phone numbers by SMS should act on when a pumper is paid at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88"/>
    <w:bookmarkStart w:id="89" w:name="acknowledgment"/>
    <w:p>
      <w:pPr>
        <w:pStyle w:val="Heading1"/>
      </w:pPr>
      <w:r>
        <w:t xml:space="preserve">ACKNOWLEDGMENT</w:t>
      </w:r>
    </w:p>
    <w:p>
      <w:pPr>
        <w:pStyle w:val="FirstParagraph"/>
      </w:pPr>
      <w:r>
        <w:t xml:space="preserve">The author used Claude (Anthropic), an AI assistant, in preparing this article: to write and review the code of the implementation and the simulation and to run the evaluation (Sections III and IV); to draft and edit the text of every section; to generate Figs. 6–8 and the tables from the recorded results; and to check the references against their publishers’ records. Figs. 1–5 are the author’s own drawings. The author checked every number against the recorded results and every claim against the code, and takes full responsibility for the content.</w:t>
      </w:r>
    </w:p>
    <w:bookmarkEnd w:id="89"/>
    <w:bookmarkStart w:id="91" w:name="data-availability"/>
    <w:p>
      <w:pPr>
        <w:pStyle w:val="Heading1"/>
      </w:pPr>
      <w:r>
        <w:t xml:space="preserve">DATA AVAILABILITY</w:t>
      </w:r>
    </w:p>
    <w:p>
      <w:pPr>
        <w:pStyle w:val="FirstParagraph"/>
      </w:pPr>
      <w:r>
        <w:t xml:space="preserve">Every run’s configuration and outcome and the sources of headline numbers (</w:t>
      </w:r>
      <w:r>
        <w:rPr>
          <w:rStyle w:val="VerbatimChar"/>
        </w:rPr>
        <w:t xml:space="preserve">results/</w:t>
      </w:r>
      <w:r>
        <w:t xml:space="preserve">) are at</w:t>
      </w:r>
      <w:r>
        <w:t xml:space="preserve"> </w:t>
      </w:r>
      <w:hyperlink r:id="rId90">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1"/>
    <w:bookmarkStart w:id="100"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2">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3">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4">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5">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0">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6">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7">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0"/>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59" Type="http://schemas.openxmlformats.org/officeDocument/2006/relationships/image" Target="media/rId59.png"/><Relationship Id="rId41" Type="http://schemas.openxmlformats.org/officeDocument/2006/relationships/image" Target="media/rId41.png"/><Relationship Id="rId55" Type="http://schemas.openxmlformats.org/officeDocument/2006/relationships/image" Target="media/rId55.png"/><Relationship Id="rId38" Type="http://schemas.openxmlformats.org/officeDocument/2006/relationships/image" Target="media/rId38.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21" Type="http://schemas.openxmlformats.org/officeDocument/2006/relationships/image" Target="media/rId21.png"/><Relationship Id="rId34" Type="http://schemas.openxmlformats.org/officeDocument/2006/relationships/image" Target="media/rId34.png"/><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2026-10-30T10:28:13Z</dcterms:created>
  <dcterms:modified xsi:type="dcterms:W3CDTF">2026-10-30T10:28:13Z</dcterms:modified>
</cp:coreProperties>
</file>

<file path=docProps/custom.xml><?xml version="1.0" encoding="utf-8"?>
<Properties xmlns="http://schemas.openxmlformats.org/officeDocument/2006/custom-properties" xmlns:vt="http://schemas.openxmlformats.org/officeDocument/2006/docPropsVTypes"/>
</file>