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answer before any account exists. Attackers abuse it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little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3"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[9]. Addresses are not scarce either: five residential proxy services relayed through 6.2 million addresses in 238 countries, 90% of them for under fifteen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about a dollar per thousand solutions from a labor market that was already paying ten dollars per thousand in 2007 [12]. Supervised detection needs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 two closest studies therefore each act on one destination signal, and neither measures what acting on it costs. Huh et al. [4]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[8]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w:t>
      </w:r>
    </w:p>
    <w:bookmarkStart w:id="20" w:name="a.-problem-statement"/>
    <w:p>
      <w:pPr>
        <w:pStyle w:val="Heading2"/>
      </w:pPr>
      <w:r>
        <w:t xml:space="preserve">A. PROBLEM STATEMENT</w:t>
      </w:r>
    </w:p>
    <w:p>
      <w:pPr>
        <w:pStyle w:val="FirstParagraph"/>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bookmarkEnd w:id="20"/>
    <w:bookmarkStart w:id="21" w:name="b.-contributions"/>
    <w:p>
      <w:pPr>
        <w:pStyle w:val="Heading2"/>
      </w:pPr>
      <w:r>
        <w:t xml:space="preserve">B. CONTRIBUTIONS</w:t>
      </w:r>
    </w:p>
    <w:p>
      <w:pPr>
        <w:pStyle w:val="FirstParagraph"/>
      </w:pPr>
      <w:r>
        <w:t xml:space="preserve">We answer these questions in simulation, inside a complete defense for a registration flow, and we release the implementation, the protocols and every run’s configuration and outcome [13]. Everything is simulated: three behavioral parameters have published counterparts and the rest are our assumptions. The main contributions of this article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(Section III),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 (Sections V-C and V-D).</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 (Sections V-E–V-G).</w:t>
      </w:r>
    </w:p>
    <w:p>
      <w:pPr>
        <w:numPr>
          <w:ilvl w:val="0"/>
          <w:numId w:val="1001"/>
        </w:numPr>
      </w:pPr>
      <w:r>
        <w:t xml:space="preserve">We derive from the rules alone when counting leaks less than testing, and check the estimates against measurements over attacks of up to an hour (Section III-G, Figure 8).</w:t>
      </w:r>
    </w:p>
    <w:bookmarkEnd w:id="21"/>
    <w:bookmarkStart w:id="22" w:name="c.-organization"/>
    <w:p>
      <w:pPr>
        <w:pStyle w:val="Heading2"/>
      </w:pPr>
      <w:r>
        <w:t xml:space="preserve">C. ORGANIZATION</w:t>
      </w:r>
    </w:p>
    <w:p>
      <w:pPr>
        <w:pStyle w:val="FirstParagraph"/>
      </w:pPr>
      <w:r>
        <w:t xml:space="preserve">The remainder of this article is organized as follows. Section II reviews the related work and states the gap. Section III gives the baseline and its gaps, the threat model, the design and its leakage estimates. Section IV describes the implementation, the simulator, the two protocols and the metrics. Section V reports the results. Section VI discusses them, sets the design against the benchmark designs and the nearest work, and states the limitations. Section VII concludes the article.</w:t>
      </w:r>
    </w:p>
    <w:bookmarkEnd w:id="22"/>
    <w:bookmarkEnd w:id="23"/>
    <w:bookmarkStart w:id="33" w:name="ii.-related-work"/>
    <w:p>
      <w:pPr>
        <w:pStyle w:val="Heading1"/>
      </w:pPr>
      <w:r>
        <w:t xml:space="preserve">II. 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5" name="Picture"/>
            <a:graphic>
              <a:graphicData uri="http://schemas.openxmlformats.org/drawingml/2006/picture">
                <pic:pic>
                  <pic:nvPicPr>
                    <pic:cNvPr descr="figures/fig8_defense_path.png" id="26" name="Picture"/>
                    <pic:cNvPicPr>
                      <a:picLocks noChangeArrowheads="1" noChangeAspect="1"/>
                    </pic:cNvPicPr>
                  </pic:nvPicPr>
                  <pic:blipFill>
                    <a:blip r:embed="rId24"/>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7"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7"/>
    <w:bookmarkStart w:id="28"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[8]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[6]; its SMS Pumping Risk Score rates a number from 0 to 100 from Fraud Guard, risky carriers, traffic patterns and low conversion, and advises friction from 60 and refusal above 90 [7].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V-E–V-G, and we modeled the attackers that enter codes, fake receipts and build trust (Table 2) on the counter-move above.</w:t>
      </w:r>
    </w:p>
    <w:bookmarkEnd w:id="28"/>
    <w:bookmarkStart w:id="29" w:name="c.-what-an-attacker-can-buy"/>
    <w:p>
      <w:pPr>
        <w:pStyle w:val="Heading2"/>
      </w:pPr>
      <w:r>
        <w:t xml:space="preserve">C. WHAT AN ATTACKER CAN BUY</w:t>
      </w:r>
    </w:p>
    <w:p>
      <w:pPr>
        <w:pStyle w:val="FirstParagraph"/>
      </w:pPr>
      <w:r>
        <w:t xml:space="preserve">What a source-side control costs an attacker has been measured. Motoyama et al. [12]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6,183,876 addresses in 238 countries and 52,905 ISPs, 95% of them residential, 90% relaying for under 870 seconds and 2.2% on any blacklist; Richter et al. [11]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9"/>
    <w:bookmarkStart w:id="30" w:name="d.-sequential-tests"/>
    <w:p>
      <w:pPr>
        <w:pStyle w:val="Heading2"/>
      </w:pPr>
      <w:r>
        <w:t xml:space="preserve">D. SEQUENTIAL TESTS</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a CUSUM’s parameters follow from the error rates it must meet [20]; windowed statistics and the time-uniform confidence sequences of Howard et al. [21],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30"/>
    <w:bookmarkStart w:id="31" w:name="e.-attacks-on-the-delivered-code"/>
    <w:p>
      <w:pPr>
        <w:pStyle w:val="Heading2"/>
      </w:pPr>
      <w:r>
        <w:t xml:space="preserve">E. ATTACKS ON THE DELIVERED CODE</w:t>
      </w:r>
    </w:p>
    <w:p>
      <w:pPr>
        <w:pStyle w:val="FirstParagraph"/>
      </w:pPr>
      <w:r>
        <w:t xml:space="preserve">Malware on the handset or a social-engineering call can take a code after it is delivered [22], [23]. Those attacks begin where our work stops: we ask whether a message should be sent at all, and leave the protection of a delivered code aside.</w:t>
      </w:r>
    </w:p>
    <w:bookmarkEnd w:id="31"/>
    <w:bookmarkStart w:id="32" w:name="f.-the-gap"/>
    <w:p>
      <w:pPr>
        <w:pStyle w:val="Heading2"/>
      </w:pPr>
      <w:r>
        <w:t xml:space="preserve">F.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32"/>
    <w:bookmarkEnd w:id="33"/>
    <w:bookmarkStart w:id="58" w:name="iii.-threat-model-and-design"/>
    <w:p>
      <w:pPr>
        <w:pStyle w:val="Heading1"/>
      </w:pPr>
      <w:r>
        <w:t xml:space="preserve">III. 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7"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w:t>
      </w:r>
      <w:r>
        <w:t xml:space="preserve">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5" name="Picture"/>
            <a:graphic>
              <a:graphicData uri="http://schemas.openxmlformats.org/drawingml/2006/picture">
                <pic:pic>
                  <pic:nvPicPr>
                    <pic:cNvPr descr="figures/alg1_v1.png" id="36" name="Picture"/>
                    <pic:cNvPicPr>
                      <a:picLocks noChangeArrowheads="1" noChangeAspect="1"/>
                    </pic:cNvPicPr>
                  </pic:nvPicPr>
                  <pic:blipFill>
                    <a:blip r:embed="rId34"/>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7"/>
    <w:bookmarkStart w:id="41"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V-H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9" name="Picture"/>
            <a:graphic>
              <a:graphicData uri="http://schemas.openxmlformats.org/drawingml/2006/picture">
                <pic:pic>
                  <pic:nvPicPr>
                    <pic:cNvPr descr="figures/fig9_threat_model.png" id="40" name="Picture"/>
                    <pic:cNvPicPr>
                      <a:picLocks noChangeArrowheads="1" noChangeAspect="1"/>
                    </pic:cNvPicPr>
                  </pic:nvPicPr>
                  <pic:blipFill>
                    <a:blip r:embed="rId38"/>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III-C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II-E) and compromise of the service, its vendors or the attestation providers are outside the model. Table 2 lists the 25 profiles that instantiate these capabilities; pool size, rate and CAPTCHA class are drawn per seed.</w:t>
      </w:r>
    </w:p>
    <w:bookmarkEnd w:id="41"/>
    <w:bookmarkStart w:id="51"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43" name="Picture"/>
            <a:graphic>
              <a:graphicData uri="http://schemas.openxmlformats.org/drawingml/2006/picture">
                <pic:pic>
                  <pic:nvPicPr>
                    <pic:cNvPr descr="figures/fig12_architecture.png" id="44" name="Picture"/>
                    <pic:cNvPicPr>
                      <a:picLocks noChangeArrowheads="1" noChangeAspect="1"/>
                    </pic:cNvPicPr>
                  </pic:nvPicPr>
                  <pic:blipFill>
                    <a:blip r:embed="rId42"/>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V-H).</w:t>
      </w:r>
    </w:p>
    <w:p>
      <w:pPr>
        <w:pStyle w:val="BodyText"/>
      </w:pPr>
      <w:r>
        <w:t xml:space="preserve">A request passes the twelve steps of Figure 4 in order until one refuses it. The figure numbers its stages in reading order: its stages 1 to 4 are Steps 0 to 4 of the text and of Algorithm 2, with Steps 3 and 4 drawn as one stage, the web checks; from stage 5 on the two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the source caps.</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one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IV).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6" name="Picture"/>
            <a:graphic>
              <a:graphicData uri="http://schemas.openxmlformats.org/drawingml/2006/picture">
                <pic:pic>
                  <pic:nvPicPr>
                    <pic:cNvPr descr="figures/fig10_steps.png" id="47" name="Picture"/>
                    <pic:cNvPicPr>
                      <a:picLocks noChangeArrowheads="1" noChangeAspect="1"/>
                    </pic:cNvPicPr>
                  </pic:nvPicPr>
                  <pic:blipFill>
                    <a:blip r:embed="rId45"/>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5334000" cy="2919383"/>
            <wp:effectExtent b="0" l="0" r="0" t="0"/>
            <wp:docPr descr="" title="" id="49" name="Picture"/>
            <a:graphic>
              <a:graphicData uri="http://schemas.openxmlformats.org/drawingml/2006/picture">
                <pic:pic>
                  <pic:nvPicPr>
                    <pic:cNvPr descr="figures/alg2_v2.png" id="50" name="Picture"/>
                    <pic:cNvPicPr>
                      <a:picLocks noChangeArrowheads="1" noChangeAspect="1"/>
                    </pic:cNvPicPr>
                  </pic:nvPicPr>
                  <pic:blipFill>
                    <a:blip r:embed="rId48"/>
                    <a:stretch>
                      <a:fillRect/>
                    </a:stretch>
                  </pic:blipFill>
                  <pic:spPr bwMode="auto">
                    <a:xfrm>
                      <a:off x="0" y="0"/>
                      <a:ext cx="5334000" cy="2919383"/>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51"/>
    <w:bookmarkStart w:id="52"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carried,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52"/>
    <w:bookmarkStart w:id="55" w:name="e.-destination-policies"/>
    <w:p>
      <w:pPr>
        <w:pStyle w:val="Heading2"/>
      </w:pPr>
      <w:r>
        <w:t xml:space="preserve">E. 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3"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3"/>
    <w:bookmarkStart w:id="54"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4"/>
    <w:bookmarkEnd w:id="55"/>
    <w:bookmarkStart w:id="56"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6"/>
    <w:bookmarkStart w:id="57"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7"/>
    <w:bookmarkEnd w:id="58"/>
    <w:bookmarkStart w:id="69"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60" name="Picture"/>
            <a:graphic>
              <a:graphicData uri="http://schemas.openxmlformats.org/drawingml/2006/picture">
                <pic:pic>
                  <pic:nvPicPr>
                    <pic:cNvPr descr="figures/fig11_method.png" id="61" name="Picture"/>
                    <pic:cNvPicPr>
                      <a:picLocks noChangeArrowheads="1" noChangeAspect="1"/>
                    </pic:cNvPicPr>
                  </pic:nvPicPr>
                  <pic:blipFill>
                    <a:blip r:embed="rId59"/>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w:t>
      </w:r>
    </w:p>
    <w:bookmarkStart w:id="62" w:name="a.-implementation"/>
    <w:p>
      <w:pPr>
        <w:pStyle w:val="Heading2"/>
      </w:pPr>
      <w:r>
        <w:t xml:space="preserve">A. 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62"/>
    <w:bookmarkStart w:id="66" w:name="b.-simulation"/>
    <w:p>
      <w:pPr>
        <w:pStyle w:val="Heading2"/>
      </w:pPr>
      <w:r>
        <w:t xml:space="preserve">B. SIMULATION</w:t>
      </w:r>
    </w:p>
    <w:p>
      <w:pPr>
        <w:pStyle w:val="FirstParagraph"/>
      </w:pPr>
      <w:r>
        <w:t xml:space="preserve">We run the pipeline against scripted vendor fakes on a simulated clock, as Algorithm 3 sets out. A seed</w:t>
      </w:r>
      <w:r>
        <w:t xml:space="preserve"> </w:t>
      </w:r>
      <m:oMath>
        <m:r>
          <m:t>z</m:t>
        </m:r>
      </m:oMath>
      <w:r>
        <w:t xml:space="preserve"> </w:t>
      </w:r>
      <w:r>
        <w:t xml:space="preserve">opens three random streams, for the users, the attacker and the challenge outcomes, so every scenario at a seed, the attack-free one included,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the resolution timeout, the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the code hash.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4319999" cy="3458473"/>
            <wp:effectExtent b="0" l="0" r="0" t="0"/>
            <wp:docPr descr="" title="" id="64" name="Picture"/>
            <a:graphic>
              <a:graphicData uri="http://schemas.openxmlformats.org/drawingml/2006/picture">
                <pic:pic>
                  <pic:nvPicPr>
                    <pic:cNvPr descr="figures/alg3_sim.png" id="65" name="Picture"/>
                    <pic:cNvPicPr>
                      <a:picLocks noChangeArrowheads="1" noChangeAspect="1"/>
                    </pic:cNvPicPr>
                  </pic:nvPicPr>
                  <pic:blipFill>
                    <a:blip r:embed="rId63"/>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6"/>
    <w:bookmarkStart w:id="67"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7"/>
    <w:bookmarkStart w:id="68" w:name="d.-designs-and-metrics"/>
    <w:p>
      <w:pPr>
        <w:pStyle w:val="Heading2"/>
      </w:pPr>
      <w:r>
        <w:t xml:space="preserve">D. 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8"/>
    <w:bookmarkEnd w:id="69"/>
    <w:bookmarkStart w:id="90" w:name="v.-results"/>
    <w:p>
      <w:pPr>
        <w:pStyle w:val="Heading1"/>
      </w:pPr>
      <w:r>
        <w:t xml:space="preserve">V. RESULTS</w:t>
      </w:r>
    </w:p>
    <w:bookmarkStart w:id="70"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70"/>
    <w:bookmarkStart w:id="71"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71"/>
    <w:bookmarkStart w:id="72"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72"/>
    <w:bookmarkStart w:id="73"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3"/>
    <w:bookmarkStart w:id="74"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verifies leaked 570 [419, 736] messages under v1, which contains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1 067 [839, 1 310]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74"/>
    <w:bookmarkStart w:id="87"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5"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so</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5.</w:t>
      </w:r>
      <w:r>
        <w:t xml:space="preserve"> </w:t>
      </w:r>
      <w: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5"/>
    <w:bookmarkStart w:id="76"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1 976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(3.20 for first-time users), the default tests 1 357 at 1.09 [0.59, 1.59], the counter and tests together 1 286 at 1.43 [0.88, 1.97], and the counter alone 1 662 at 0.72 [0.44, 1.02]. A token bucket with a burst of 4 spared the poisoner’s users (0.12 points) only by letting 1 877 messages through, and one with a burst of 12 let through all but two; with two untuned settings, neither limiter dominated, and we ranked only the implemented policies. Returning users, all simulated with verified history, lost nothing.</w:t>
      </w:r>
    </w:p>
    <w:bookmarkEnd w:id="76"/>
    <w:bookmarkStart w:id="86" w:name="the-counters-boundary"/>
    <w:p>
      <w:pPr>
        <w:pStyle w:val="Heading3"/>
      </w:pPr>
      <w:r>
        <w:t xml:space="preserve">3) THE COUNTER’S BOUNDARY</w:t>
      </w:r>
    </w:p>
    <w:p>
      <w:pPr>
        <w:pStyle w:val="FirstParagraph"/>
      </w:pPr>
      <w:r>
        <w:t xml:space="preserve">Figures 6–8 show the counter’s operating boundary (E4, seeds 300–304). In each, a point is the mean over five seeds and its error bar the 95% interval, lines join the sampled settings without locating a crossover, and the horizontal axis is logarithmic. Figure 6 plots the attributable loss of the three hot blocks’ users, in points of completion, against the legitimate rate on those blocks, from one half to eight sends per block per ten minutes, with 70% of users reachable on WhatsApp; the hollow markers are attack-free runs, the filled ones have a never-verifying pumper on the same blocks, and the dotted vertical line is the counter’s quota of four sends per ten minutes.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8" name="Picture"/>
            <a:graphic>
              <a:graphicData uri="http://schemas.openxmlformats.org/drawingml/2006/picture">
                <pic:pic>
                  <pic:nvPicPr>
                    <pic:cNvPr descr="figures/fig7a_service.png" id="79" name="Picture"/>
                    <pic:cNvPicPr>
                      <a:picLocks noChangeArrowheads="1" noChangeAspect="1"/>
                    </pic:cNvPicPr>
                  </pic:nvPicPr>
                  <pic:blipFill>
                    <a:blip r:embed="rId77"/>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on logarithmic axes. Figure 7 covers a 20-minute attack under no policy, the default tests and the selected counter, for a pumper at full rate (solid lines) and for one paced to the counter’s quota (dashed); a paced pumper leaks under no policy what it leaks under the counter, to within two messages, so that line is not drawn.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about what the quota allows and what it would leak with no policy, 24 messages on three blocks in twenty minutes and 71 in an hour, and a little less under the tests, 23 on three blocks and 509 against 579 on 100.</w:t>
      </w:r>
    </w:p>
    <w:p>
      <w:pPr>
        <w:pStyle w:val="CaptionedFigure"/>
      </w:pPr>
      <w:r>
        <w:drawing>
          <wp:inline>
            <wp:extent cx="5334000" cy="3946421"/>
            <wp:effectExtent b="0" l="0" r="0" t="0"/>
            <wp:docPr descr="" title="" id="81" name="Picture"/>
            <a:graphic>
              <a:graphicData uri="http://schemas.openxmlformats.org/drawingml/2006/picture">
                <pic:pic>
                  <pic:nvPicPr>
                    <pic:cNvPr descr="figures/fig7b_security20.png" id="82" name="Picture"/>
                    <pic:cNvPicPr>
                      <a:picLocks noChangeArrowheads="1" noChangeAspect="1"/>
                    </pic:cNvPicPr>
                  </pic:nvPicPr>
                  <pic:blipFill>
                    <a:blip r:embed="rId80"/>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twenty minutes against the blocks a pumper spreads over.</w:t>
      </w:r>
    </w:p>
    <w:p>
      <w:pPr>
        <w:pStyle w:val="BodyText"/>
      </w:pPr>
      <w:r>
        <w:t xml:space="preserve">Figure 8 sets the hour-long attack at full rate against the estimates of Section III-G, computed from each run’s offered requests, offered rate and the configured timeouts, nothing fitted: Equation (2) for the tests and Equations (3) and (4) for the counter’s cold- and warm-start bounds, drawn with hollow markers on dotted lines (the 20-minute estimates are in</w:t>
      </w:r>
      <w:r>
        <w:t xml:space="preserve"> </w:t>
      </w:r>
      <w:r>
        <w:rPr>
          <w:rStyle w:val="VerbatimChar"/>
        </w:rPr>
        <w:t xml:space="preserve">results/ condition_check.json</w:t>
      </w:r>
      <w:r>
        <w:t xml:space="preserve">). Over 60 minutes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w:t>
      </w:r>
    </w:p>
    <w:p>
      <w:pPr>
        <w:pStyle w:val="CaptionedFigure"/>
      </w:pPr>
      <w:r>
        <w:drawing>
          <wp:inline>
            <wp:extent cx="5334000" cy="3946421"/>
            <wp:effectExtent b="0" l="0" r="0" t="0"/>
            <wp:docPr descr="" title="" id="84" name="Picture"/>
            <a:graphic>
              <a:graphicData uri="http://schemas.openxmlformats.org/drawingml/2006/picture">
                <pic:pic>
                  <pic:nvPicPr>
                    <pic:cNvPr descr="figures/fig7c_security60.png" id="85" name="Picture"/>
                    <pic:cNvPicPr>
                      <a:picLocks noChangeArrowheads="1" noChangeAspect="1"/>
                    </pic:cNvPicPr>
                  </pic:nvPicPr>
                  <pic:blipFill>
                    <a:blip r:embed="rId8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an hour,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6"/>
    <w:bookmarkEnd w:id="87"/>
    <w:bookmarkStart w:id="88" w:name="g.-the-cost-to-legitimate-users"/>
    <w:p>
      <w:pPr>
        <w:pStyle w:val="Heading2"/>
      </w:pPr>
      <w:r>
        <w:t xml:space="preserve">G. 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88"/>
    <w:bookmarkStart w:id="89" w:name="h.-adaptation-economics-and-overhead"/>
    <w:p>
      <w:pPr>
        <w:pStyle w:val="Heading2"/>
      </w:pPr>
      <w:r>
        <w:t xml:space="preserve">H. 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we measured sends at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89"/>
    <w:bookmarkEnd w:id="90"/>
    <w:bookmarkStart w:id="91"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Sessions and a hard budget removed the single client’s leakage (5.6% to 0.3%) and cut the premium pumper’s from 99.4% to 94.9%. A refusing counter of five sends per block a day held the premium pumper and the walked numbers, the two attacks that concentrate on a few blocks, to 1%.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1 149 and no policy 5 509, neither policy costing all users anything on average.</w:t>
      </w:r>
    </w:p>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10 000-number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1"/>
    <w:bookmarkStart w:id="92" w:name="vii.-conclusion"/>
    <w:p>
      <w:pPr>
        <w:pStyle w:val="Heading1"/>
      </w:pPr>
      <w:r>
        <w:t xml:space="preserve">VII. CONCLUSION</w:t>
      </w:r>
    </w:p>
    <w:p>
      <w:pPr>
        <w:pStyle w:val="FirstParagraph"/>
      </w:pPr>
      <w:r>
        <w:t xml:space="preserve">In this work we asked which of two label-free destination signals a service that verifies phone numbers by SMS should act on when a pumper is paid on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92"/>
    <w:bookmarkStart w:id="93" w:name="acknowledgment"/>
    <w:p>
      <w:pPr>
        <w:pStyle w:val="Heading1"/>
      </w:pPr>
      <w:r>
        <w:t xml:space="preserve">ACKNOWLEDGMENT</w:t>
      </w:r>
    </w:p>
    <w:p>
      <w:pPr>
        <w:pStyle w:val="FirstParagraph"/>
      </w:pPr>
      <w:r>
        <w:t xml:space="preserve">The author used Claude (Anthropic) for code, evaluation, drafting and editing, checked every number against the recorded results and every claim against the code, and takes full responsibility for the content.</w:t>
      </w:r>
    </w:p>
    <w:bookmarkEnd w:id="93"/>
    <w:bookmarkStart w:id="94" w:name="funding-and-competing-interests"/>
    <w:p>
      <w:pPr>
        <w:pStyle w:val="Heading1"/>
      </w:pPr>
      <w:r>
        <w:t xml:space="preserve">FUNDING AND COMPETING INTERESTS</w:t>
      </w:r>
    </w:p>
    <w:p>
      <w:pPr>
        <w:pStyle w:val="FirstParagraph"/>
      </w:pPr>
      <w:r>
        <w:t xml:space="preserve">No funding was received for this work. The author has no competing interests to declare.</w:t>
      </w:r>
    </w:p>
    <w:bookmarkEnd w:id="94"/>
    <w:bookmarkStart w:id="96"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5">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6"/>
    <w:bookmarkStart w:id="105"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9">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0">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5">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1">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2">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103">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104">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5"/>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8" Type="http://schemas.openxmlformats.org/officeDocument/2006/relationships/image" Target="media/rId48.png"/><Relationship Id="rId63" Type="http://schemas.openxmlformats.org/officeDocument/2006/relationships/image" Target="media/rId63.png"/><Relationship Id="rId45" Type="http://schemas.openxmlformats.org/officeDocument/2006/relationships/image" Target="media/rId45.png"/><Relationship Id="rId59" Type="http://schemas.openxmlformats.org/officeDocument/2006/relationships/image" Target="media/rId59.png"/><Relationship Id="rId42" Type="http://schemas.openxmlformats.org/officeDocument/2006/relationships/image" Target="media/rId42.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24" Type="http://schemas.openxmlformats.org/officeDocument/2006/relationships/image" Target="media/rId24.png"/><Relationship Id="rId38" Type="http://schemas.openxmlformats.org/officeDocument/2006/relationships/image" Target="media/rId38.png"/><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2026-10-27T17:22:31Z</dcterms:created>
  <dcterms:modified xsi:type="dcterms:W3CDTF">2026-10-27T17:22:31Z</dcterms:modified>
</cp:coreProperties>
</file>

<file path=docProps/custom.xml><?xml version="1.0" encoding="utf-8"?>
<Properties xmlns="http://schemas.openxmlformats.org/officeDocument/2006/custom-properties" xmlns:vt="http://schemas.openxmlformats.org/officeDocument/2006/docPropsVTypes"/>
</file>