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Defenses Against SMS OTP Flooding and Pumping</w:t>
      </w:r>
    </w:p>
    <w:p>
      <w:pPr>
        <w:pStyle w:val="BodyText"/>
        <w:spacing w:after="120"/>
        <w:jc w:val="center"/>
      </w:pPr>
      <w:r>
        <w:rPr>
          <w:smallCaps/>
          <w:sz w:val="24"/>
          <w:szCs w:val="24"/>
        </w:rPr>
        <w:t>Naveed Ahmed</w:t>
      </w:r>
    </w:p>
    <w:p>
      <w:pPr>
        <w:pStyle w:val="BodyText"/>
        <w:spacing w:after="120"/>
        <w:jc w:val="center"/>
      </w:pPr>
      <w:r>
        <w:rPr>
          <w:sz w:val="20"/>
          <w:szCs w:val="20"/>
        </w:rPr>
        <w:t>College of Computer and Information Science, Prince Sultan University, Riyadh 11586, Saudi Arabia</w:t>
      </w:r>
    </w:p>
    <w:p>
      <w:pPr>
        <w:pStyle w:val="BodyText"/>
        <w:spacing w:after="120"/>
        <w:jc w:val="center"/>
      </w:pPr>
      <w:r>
        <w:rPr>
          <w:sz w:val="18"/>
          <w:szCs w:val="18"/>
        </w:rPr>
        <w:t>CORRESPONDING AUTHOR: N. AHMED (e-mail: nahmed@psu.edu.sa)</w:t>
      </w:r>
    </w:p>
    <w:p>
      <w:pPr>
        <w:pStyle w:val="BodyText"/>
        <w:spacing w:line="360" w:lineRule="auto"/>
      </w:pPr>
      <w:r>
        <w:rPr>
          <w:sz w:val="22"/>
          <w:szCs w:val="22"/>
        </w:rPr>
      </w:r>
      <w:r>
        <w:rPr>
          <w:sz w:val="22"/>
          <w:szCs w:val="22"/>
        </w:rPr>
      </w:r>
      <w:r>
        <w:rPr>
          <w:bCs/>
          <w:b/>
          <w:sz w:val="22"/>
          <w:szCs w:val="22"/>
        </w:rPr>
        <w:t xml:space="preserve">ABSTRACT</w:t>
      </w:r>
      <w:r>
        <w:rPr>
          <w:sz w:val="22"/>
          <w:szCs w:val="22"/>
        </w:rPr>
        <w:t xml:space="preserve"> </w:t>
      </w:r>
      <w:r>
        <w:rPr>
          <w:sz w:val="22"/>
          <w:szCs w:val="22"/>
        </w:rPr>
        <w:t xml:space="preserve">Services that verify a phone number by SMS expose an endpoint that must answer before any account exists. Attackers abuse it to waste the service’s messaging budget (flooding) or to steer paid messages to premium-rate ranges that share the termination fee with them (SMS pumping). Existing defenses limit the source, score requests with labeled traffic or block prefixes, but no controlled evidence says which destination signal a service should act on, sends per block or the fate of their codes, or what either costs the users who share a block with an attacker. We evaluate in simulation a twelve-step defense built on app attestation, signed sessions and verification outcomes, against a seven-control baseline, five simpler designs and 25 attacker profiles, and compare the two label-free destination policies, a short-window counter of sends per number block and sequential tests of code outcomes, under two protocols committed before their runs. Attacks with a signature in the request are contained at little cost to users; a residential attacker is only rationed. Against four concentrated 20-minute pumpers the counter leaked 6 to 48 messages at 0.06 to 0.43 points of completion, where the default tests leaked 19 to 452; on held-out seeds and workloads it met its leakage claims but failed its service claims on blocks real users share. Estimates from the rules alone ordered the two policies in 18 of 18 decisive cells. The results rest on simulated users and give operators a tested ordering of destination policies against short, concentrated pumping.</w:t>
      </w:r>
    </w:p>
    <w:p>
      <w:pPr>
        <w:pStyle w:val="BodyText"/>
      </w:pPr>
      <w:r>
        <w:rPr>
          <w:sz w:val="22"/>
          <w:szCs w:val="22"/>
        </w:rPr>
      </w:r>
      <w:r>
        <w:rPr>
          <w:sz w:val="22"/>
          <w:szCs w:val="22"/>
        </w:rPr>
      </w:r>
      <w:r>
        <w:rPr>
          <w:bCs/>
          <w:b/>
          <w:sz w:val="22"/>
          <w:szCs w:val="22"/>
        </w:rPr>
        <w:t xml:space="preserve">INDEX TERMS</w:t>
      </w:r>
      <w:r>
        <w:rPr>
          <w:sz w:val="22"/>
          <w:szCs w:val="22"/>
        </w:rPr>
        <w:t xml:space="preserve"> </w:t>
      </w:r>
      <w:r>
        <w:rPr>
          <w:sz w:val="22"/>
          <w:szCs w:val="22"/>
        </w:rPr>
        <w:t xml:space="preserve">Artificially inflated traffic, fraud prevention, one-time password, rate limiting, sequential tests, SMS pumping.</w:t>
      </w:r>
    </w:p>
    <w:bookmarkStart w:id="23" w:name="i.-introduction"/>
    <w:p>
      <w:pPr>
        <w:pStyle w:val="Heading1"/>
      </w:pPr>
      <w:r>
        <w:t xml:space="preserve">I. 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[1]. Pumping is the SMS form of international revenue-share fraud, whose voice form was estimated at $10.76 billion a year in 2015 [2]. The sums at a single service are not small: Twitter’s owner said in 2023 that pumping had cost the company approximately $60 million a year [3], and Huh et al. [4]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[5]. At the messaging vendor, Twilio’s Fraud Guard blocks destination prefixes and countries whose traffic departs from an account’s history [6], and its per-number pumping risk score advises friction from 60 and refusal above 90 [7]. On a service’s own logs, Huh et al. [4] detect attack requests one at a time with gradient-boosted trees, at 89.6% recall and 0.19% false positives on web traffic, and Zaliskyi and Odarchenko [8]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[9]. Addresses are not scarce either: five residential proxy services relayed through 6.2 million addresses in 238 countries, 90% of them for under fifteen minutes each and 2.2% of them on any blacklist [10],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[11]. A CAPTCHA costs an attacker about a dollar per thousand solutions from a labor market that was already paying ten dollars per thousand in 2007 [12]. Supervised detection needs labels, which Huh et al. [4]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[8] also blocked 58% of a legitimate marketing campaign.</w:t>
      </w:r>
    </w:p>
    <w:p>
      <w:pPr>
        <w:pStyle w:val="BodyText"/>
      </w:pPr>
      <w:r>
        <w:t xml:space="preserve">The two closest studies therefore each act on one destination signal, and neither measures what acting on it costs. Huh et al. [4]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[8]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w:t>
      </w:r>
    </w:p>
    <w:bookmarkStart w:id="20" w:name="a.-problem-statement"/>
    <w:p>
      <w:pPr>
        <w:pStyle w:val="Heading2"/>
      </w:pPr>
      <w:r>
        <w:t xml:space="preserve">A. PROBLEM STATEMENT</w:t>
      </w:r>
    </w:p>
    <w:p>
      <w:pPr>
        <w:pStyle w:val="FirstParagraph"/>
      </w:pPr>
      <w:r>
        <w:t xml:space="preserve">A service that sees only its own traffic must decide, for every request, whether to pay for a message to a number it cannot verify, on behalf of a client that has no account yet. Source-side controls tax identities that are cheap to replace, supervised detection needs labels the service does not have when it decides, and the two destination signals it can compute without labels, the number of sends to a block and the fate of their codes, have never been compared on the same traffic with the cost to legitimate users made part of the result. The question we address therefore has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w:t>
      </w:r>
    </w:p>
    <w:bookmarkEnd w:id="20"/>
    <w:bookmarkStart w:id="21" w:name="b.-contributions"/>
    <w:p>
      <w:pPr>
        <w:pStyle w:val="Heading2"/>
      </w:pPr>
      <w:r>
        <w:t xml:space="preserve">B. CONTRIBUTIONS</w:t>
      </w:r>
    </w:p>
    <w:p>
      <w:pPr>
        <w:pStyle w:val="FirstParagraph"/>
      </w:pPr>
      <w:r>
        <w:t xml:space="preserve">We answer these questions in simulation, inside a complete defense for a registration flow, and we release the implementation, the protocols and every run’s configuration and outcome [13]. Everything is simulated: three behavioral parameters have published counterparts and the rest are our assumptions. The main contributions of this article are summarized as follows.</w:t>
      </w:r>
    </w:p>
    <w:p>
      <w:pPr>
        <w:numPr>
          <w:ilvl w:val="0"/>
          <w:numId w:val="1001"/>
        </w:numPr>
      </w:pPr>
      <w:r>
        <w:t xml:space="preserve">We show how an attacker breaks eight assumptions behind a seven-control baseline and close the gaps with a twelve-step pipeline whose trust comes from attestation, signed sessions and the fate of earlier codes (Section III), released as code with a regression test for every defect we found.</w:t>
      </w:r>
    </w:p>
    <w:p>
      <w:pPr>
        <w:numPr>
          <w:ilvl w:val="0"/>
          <w:numId w:val="1001"/>
        </w:numPr>
      </w:pPr>
      <w:r>
        <w:t xml:space="preserve">We measure where reputation built from code outcomes stops separating a residential attacker from the users whose keys it shares, and what rationing it then costs (Sections V-C and V-D).</w:t>
      </w:r>
    </w:p>
    <w:p>
      <w:pPr>
        <w:numPr>
          <w:ilvl w:val="0"/>
          <w:numId w:val="1001"/>
        </w:numPr>
      </w:pPr>
      <w:r>
        <w:t xml:space="preserve">We compare a short-window counter of sends per number block with sequential tests of code outcomes, selected at a stated service target, frozen, and tested on held-out seeds and workloads, charging each policy with its leakage, its attack-free cost and its harm to the users who share a block with the attacker (Sections V-E–V-G).</w:t>
      </w:r>
    </w:p>
    <w:p>
      <w:pPr>
        <w:numPr>
          <w:ilvl w:val="0"/>
          <w:numId w:val="1001"/>
        </w:numPr>
      </w:pPr>
      <w:r>
        <w:t xml:space="preserve">We derive from the rules alone when counting leaks less than testing, and check the estimates against measurements over attacks of up to an hour (Section III-G, Figure 8).</w:t>
      </w:r>
    </w:p>
    <w:bookmarkEnd w:id="21"/>
    <w:bookmarkStart w:id="22" w:name="c.-organization"/>
    <w:p>
      <w:pPr>
        <w:pStyle w:val="Heading2"/>
      </w:pPr>
      <w:r>
        <w:t xml:space="preserve">C. ORGANIZATION</w:t>
      </w:r>
    </w:p>
    <w:p>
      <w:pPr>
        <w:pStyle w:val="FirstParagraph"/>
      </w:pPr>
      <w:r>
        <w:t xml:space="preserve">The remainder of this article is organized as follows. Section II reviews the related work and states the gap. Section III gives the baseline and its gaps, the threat model, the design and its leakage estimates. Section IV describes the implementation, the simulator, the two protocols and the metrics. Section V reports the results. Section VI discusses them, sets the design against the benchmark designs and the nearest work, and states the limitations. Section VII concludes the article.</w:t>
      </w:r>
    </w:p>
    <w:bookmarkEnd w:id="22"/>
    <w:bookmarkEnd w:id="23"/>
    <w:bookmarkStart w:id="33" w:name="ii.-related-work"/>
    <w:p>
      <w:pPr>
        <w:pStyle w:val="Heading1"/>
      </w:pPr>
      <w:r>
        <w:t xml:space="preserve">II. RELATED WORK</w:t>
      </w:r>
    </w:p>
    <w:p>
      <w:pPr>
        <w:pStyle w:val="FirstParagraph"/>
      </w:pPr>
      <w:r>
        <w:t xml:space="preserve">We group prior work by where it acts on the path of an OTP request, which Figure 1 draws.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the bots and the proxies, are the measurements of what an attacker can buy: residential proxy addresses [10], shared addresses behind carrier-grade NAT [11], CAPTCHA solutions [12], [14] and as many identities as it likes [9]. At the service are the controls an endpoint can run itself: per-entity limits, CAPTCHA, proxy and country lists (our v1 baseline, Section III-A), risk-based scoring of logins [5] and supervised per-request detection on labeled logs [4]; our twelve source-side steps and two destination policies act here too (Sections III-C–III-E). At the vendor are prefix and country blocking from an account’s history and a per-number pumping risk score [6], [7], and counts of sends per prefix in five-minute windows with a 24-hour quarantine [8]. At the operator and the number provider, where the money is made, are the revenue-share number ranges that providers advertise and share, and detection from call records and test-number intelligence [2], [15]. We close with the gap we address (Table 1).</w:t>
      </w:r>
    </w:p>
    <w:p>
      <w:pPr>
        <w:pStyle w:val="CaptionedFigure"/>
      </w:pPr>
      <w:r>
        <w:drawing>
          <wp:inline>
            <wp:extent cx="5334000" cy="2621345"/>
            <wp:effectExtent b="0" l="0" r="0" t="0"/>
            <wp:docPr descr="" title="" id="25" name="Picture"/>
            <a:graphic>
              <a:graphicData uri="http://schemas.openxmlformats.org/drawingml/2006/picture">
                <pic:pic>
                  <pic:nvPicPr>
                    <pic:cNvPr descr="figures/fig8_defense_path.png" id="26" name="Picture"/>
                    <pic:cNvPicPr>
                      <a:picLocks noChangeArrowheads="1" noChangeAspect="1"/>
                    </pic:cNvPicPr>
                  </pic:nvPicPr>
                  <pic:blipFill>
                    <a:blip r:embed="rId24"/>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path of an OTP request, and where the money goes.</w:t>
      </w:r>
    </w:p>
    <w:bookmarkStart w:id="27" w:name="a.-revenue-share-fraud"/>
    <w:p>
      <w:pPr>
        <w:pStyle w:val="Heading2"/>
      </w:pPr>
      <w:r>
        <w:t xml:space="preserve">A. 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 sets the scheme among frauds that persist because call routing is opaque, each operator knowing only the next hop, and because operators are reluctant to share pricing, routes or fraud findings with competitors. Sahin and Francillon [15]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III-E are keyed on the 8-digit block and use only those two quantities.</w:t>
      </w:r>
    </w:p>
    <w:bookmarkEnd w:id="27"/>
    <w:bookmarkStart w:id="28" w:name="b.-detecting-inflated-sms-traffic"/>
    <w:p>
      <w:pPr>
        <w:pStyle w:val="Heading2"/>
      </w:pPr>
      <w:r>
        <w:t xml:space="preserve">B. DETECTING INFLATED SMS TRAFFIC</w:t>
      </w:r>
    </w:p>
    <w:p>
      <w:pPr>
        <w:pStyle w:val="FirstParagraph"/>
      </w:pPr>
      <w:r>
        <w:t xml:space="preserve">Huh et al. [4]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We did not reproduce theirs, so we do not rank the two.</w:t>
      </w:r>
    </w:p>
    <w:p>
      <w:pPr>
        <w:pStyle w:val="BodyText"/>
      </w:pPr>
      <w:r>
        <w:t xml:space="preserve">Zaliskyi and Odarchenko [8]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[6]; its SMS Pumping Risk Score rates a number from 0 to 100 from Fraud Guard, risky carriers, traffic patterns and low conversion, and advises friction from 60 and refusal above 90 [7]. Graded destination action is therefore established practice, but the signals and models are undisclosed, so we benchmarked no product.</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V-E–V-G, and we modeled the attackers that enter codes, fake receipts and build trust (Table 2) on the counter-move above.</w:t>
      </w:r>
    </w:p>
    <w:bookmarkEnd w:id="28"/>
    <w:bookmarkStart w:id="29" w:name="c.-what-an-attacker-can-buy"/>
    <w:p>
      <w:pPr>
        <w:pStyle w:val="Heading2"/>
      </w:pPr>
      <w:r>
        <w:t xml:space="preserve">C. WHAT AN ATTACKER CAN BUY</w:t>
      </w:r>
    </w:p>
    <w:p>
      <w:pPr>
        <w:pStyle w:val="FirstParagraph"/>
      </w:pPr>
      <w:r>
        <w:t xml:space="preserve">What a source-side control costs an attacker has been measured. Motoyama et al. [12]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[14] classify the machine-learning solvers that have since appeared. Addresses have a market too: Mi et al. [10] infiltrated five residential proxy providers and observed 6,183,876 addresses in 238 countries and 52,905 ISPs, 95% of them residential, 90% relaying for under 870 seconds and 2.2% on any blacklist; Richter et al. [11]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[9] that without a trusted authority one entity can present many identities, so a signed session provides continuity, not scarcity. Risk-based authentication, which Wiefling et al. [5]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[16] would add a computational price per request; we did not evaluate them.</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V-C and V-D measure that in this design.</w:t>
      </w:r>
    </w:p>
    <w:bookmarkEnd w:id="29"/>
    <w:bookmarkStart w:id="30" w:name="d.-sequential-tests"/>
    <w:p>
      <w:pPr>
        <w:pStyle w:val="Heading2"/>
      </w:pPr>
      <w:r>
        <w:t xml:space="preserve">D. SEQUENTIAL TESTS</w:t>
      </w:r>
    </w:p>
    <w:p>
      <w:pPr>
        <w:pStyle w:val="FirstParagraph"/>
      </w:pPr>
      <w:r>
        <w:t xml:space="preserve">Our block tests are Wald’s sequential tests [17] run as Page’s cumulative sums [18], with a floor parameter that selects between the two (Section III-E). Quickest change detection minimizes detection delay under false-alarm constraints [19], and a CUSUM’s parameters follow from the error rates it must meet [20]; windowed statistics and the time-uniform confidence sequences of Howard et al. [21], which stay valid at any stopping time, are not evaluated here, so</w:t>
      </w:r>
      <w:r>
        <w:t xml:space="preserve"> </w:t>
      </w:r>
      <w:r>
        <w:t xml:space="preserve">‘</w:t>
      </w:r>
      <w:r>
        <w:t xml:space="preserve">testing</w:t>
      </w:r>
      <w:r>
        <w:t xml:space="preserve">’</w:t>
      </w:r>
      <w:r>
        <w:t xml:space="preserve"> </w:t>
      </w:r>
      <w:r>
        <w:t xml:space="preserve">below means our conversion and speed tests only, and we report their error rates empirically rather than derive them.</w:t>
      </w:r>
    </w:p>
    <w:bookmarkEnd w:id="30"/>
    <w:bookmarkStart w:id="31" w:name="e.-attacks-on-the-delivered-code"/>
    <w:p>
      <w:pPr>
        <w:pStyle w:val="Heading2"/>
      </w:pPr>
      <w:r>
        <w:t xml:space="preserve">E. ATTACKS ON THE DELIVERED CODE</w:t>
      </w:r>
    </w:p>
    <w:p>
      <w:pPr>
        <w:pStyle w:val="FirstParagraph"/>
      </w:pPr>
      <w:r>
        <w:t xml:space="preserve">Malware on the handset or a social-engineering call can take a code after it is delivered [22], [23]. Those attacks begin where our work stops: we ask whether a message should be sent at all, and leave the protection of a delivered code aside.</w:t>
      </w:r>
    </w:p>
    <w:bookmarkEnd w:id="31"/>
    <w:bookmarkStart w:id="32" w:name="f.-the-gap"/>
    <w:p>
      <w:pPr>
        <w:pStyle w:val="Heading2"/>
      </w:pPr>
      <w:r>
        <w:t xml:space="preserve">F. 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t xml:space="preserve">The closest work, set beside ours.</w:t>
      </w:r>
    </w:p>
    <w:tbl>
      <w:tblPr>
        <w:tblStyle w:val="Table"/>
        <w:tblW w:w="9070" w:type="dxa"/>
        <w:jc w:val="center"/>
        <w:tblLayout w:type="fixed"/>
        <w:tblCellMar>
          <w:left w:w="57" w:type="dxa"/>
          <w:right w:w="57" w:type="dxa"/>
        </w:tblCellMar>
        <w:tblLook w:firstRow="1" w:lastRow="0" w:firstColumn="0" w:lastColumn="0" w:noHBand="0" w:noVBand="0" w:val="0020"/>
        <w:tblCaption w:val="TABLE 1. The closest work, set beside ours."/>
      </w:tblPr>
      <w:tblGrid>
        <w:gridCol w:w="1420"/>
        <w:gridCol w:w="1530"/>
        <w:gridCol w:w="1530"/>
        <w:gridCol w:w="1530"/>
        <w:gridCol w:w="1530"/>
        <w:gridCol w:w="1530"/>
      </w:tblGrid>
      <w:tr>
        <w:trPr>
          <w:tblHeader w:val="true"/>
        </w:trPr>
        <w:tc>
          <w:tcPr>
            <w:tcW w:w="1420" w:type="dxa"/>
            <w:tcBorders>
              <w:top w:val="single" w:sz="8" w:color="000000"/>
              <w:bottom w:val="single" w:sz="4" w:color="000000"/>
            </w:tcBorders>
          </w:tcPr>
          <w:p>
            <w:pPr>
              <w:pStyle w:val="Compact"/>
              <w:spacing w:line="240" w:lineRule="auto" w:after="0"/>
              <w:jc w:val="left"/>
            </w:pPr>
            <w:r>
              <w:rPr>
                <w:sz w:val="17"/>
              </w:rPr>
              <w:t xml:space="preserve">Work</w:t>
            </w:r>
          </w:p>
        </w:tc>
        <w:tc>
          <w:tcPr>
            <w:tcW w:w="1530" w:type="dxa"/>
            <w:tcBorders>
              <w:top w:val="single" w:sz="8" w:color="000000"/>
              <w:bottom w:val="single" w:sz="4" w:color="000000"/>
            </w:tcBorders>
          </w:tcPr>
          <w:p>
            <w:pPr>
              <w:pStyle w:val="Compact"/>
              <w:spacing w:line="240" w:lineRule="auto" w:after="0"/>
              <w:jc w:val="left"/>
            </w:pPr>
            <w:r>
              <w:rPr>
                <w:sz w:val="17"/>
              </w:rPr>
              <w:t xml:space="preserve">Evidence</w:t>
            </w:r>
          </w:p>
        </w:tc>
        <w:tc>
          <w:tcPr>
            <w:tcW w:w="1530"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30"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30"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30"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420" w:type="dxa"/>
          </w:tcPr>
          <w:p>
            <w:pPr>
              <w:pStyle w:val="Compact"/>
              <w:spacing w:line="240" w:lineRule="auto" w:after="0"/>
              <w:jc w:val="left"/>
            </w:pPr>
            <w:r>
              <w:rPr>
                <w:sz w:val="17"/>
              </w:rPr>
              <w:t xml:space="preserve">Sahin and Francillon [15]</w:t>
            </w:r>
          </w:p>
        </w:tc>
        <w:tc>
          <w:tcPr>
            <w:tcW w:w="1530" w:type="dxa"/>
          </w:tcPr>
          <w:p>
            <w:pPr>
              <w:pStyle w:val="Compact"/>
              <w:spacing w:line="240" w:lineRule="auto" w:after="0"/>
              <w:jc w:val="left"/>
            </w:pPr>
            <w:r>
              <w:rPr>
                <w:sz w:val="17"/>
              </w:rPr>
              <w:t xml:space="preserve">Operator call records; 3.1 million test numbers advertised by 12 providers, 2016–2019</w:t>
            </w:r>
          </w:p>
        </w:tc>
        <w:tc>
          <w:tcPr>
            <w:tcW w:w="1530" w:type="dxa"/>
          </w:tcPr>
          <w:p>
            <w:pPr>
              <w:pStyle w:val="Compact"/>
              <w:spacing w:line="240" w:lineRule="auto" w:after="0"/>
              <w:jc w:val="left"/>
            </w:pPr>
            <w:r>
              <w:rPr>
                <w:sz w:val="17"/>
              </w:rPr>
              <w:t xml:space="preserve">Distance of the called number to advertised ranges and call history; labels from matched test numbers</w:t>
            </w:r>
          </w:p>
        </w:tc>
        <w:tc>
          <w:tcPr>
            <w:tcW w:w="1530" w:type="dxa"/>
          </w:tcPr>
          <w:p>
            <w:pPr>
              <w:pStyle w:val="Compact"/>
              <w:spacing w:line="240" w:lineRule="auto" w:after="0"/>
              <w:jc w:val="left"/>
            </w:pPr>
            <w:r>
              <w:rPr>
                <w:sz w:val="17"/>
              </w:rPr>
              <w:t xml:space="preserve">Per call, at an operator</w:t>
            </w:r>
          </w:p>
        </w:tc>
        <w:tc>
          <w:tcPr>
            <w:tcW w:w="1530" w:type="dxa"/>
          </w:tcPr>
          <w:p>
            <w:pPr>
              <w:pStyle w:val="Compact"/>
              <w:spacing w:line="240" w:lineRule="auto" w:after="0"/>
              <w:jc w:val="left"/>
            </w:pPr>
            <w:r>
              <w:rPr>
                <w:sz w:val="17"/>
              </w:rPr>
              <w:t xml:space="preserve">A false-positive rate (0.28%), not harm to callers</w:t>
            </w:r>
          </w:p>
        </w:tc>
        <w:tc>
          <w:tcPr>
            <w:tcW w:w="1530" w:type="dxa"/>
          </w:tcPr>
          <w:p>
            <w:pPr>
              <w:pStyle w:val="Compact"/>
              <w:spacing w:line="240" w:lineRule="auto" w:after="0"/>
              <w:jc w:val="left"/>
            </w:pPr>
            <w:r>
              <w:rPr>
                <w:sz w:val="17"/>
              </w:rPr>
              <w:t xml:space="preserve">Voice calls; needs number intelligence and call histories an OTP endpoint does not hold</w:t>
            </w:r>
          </w:p>
        </w:tc>
      </w:tr>
      <w:tr>
        <w:tc>
          <w:tcPr>
            <w:tcW w:w="1420" w:type="dxa"/>
          </w:tcPr>
          <w:p>
            <w:pPr>
              <w:pStyle w:val="Compact"/>
              <w:spacing w:line="240" w:lineRule="auto" w:after="0"/>
              <w:jc w:val="left"/>
            </w:pPr>
            <w:r>
              <w:rPr>
                <w:sz w:val="17"/>
              </w:rPr>
              <w:t xml:space="preserve">Huh et al. [4]</w:t>
            </w:r>
          </w:p>
        </w:tc>
        <w:tc>
          <w:tcPr>
            <w:tcW w:w="1530" w:type="dxa"/>
          </w:tcPr>
          <w:p>
            <w:pPr>
              <w:pStyle w:val="Compact"/>
              <w:spacing w:line="240" w:lineRule="auto" w:after="0"/>
              <w:jc w:val="left"/>
            </w:pPr>
            <w:r>
              <w:rPr>
                <w:sz w:val="17"/>
              </w:rPr>
              <w:t xml:space="preserve">One service’s 9.4 million SMS authentication logs, 19 countries, three months</w:t>
            </w:r>
          </w:p>
        </w:tc>
        <w:tc>
          <w:tcPr>
            <w:tcW w:w="1530" w:type="dxa"/>
          </w:tcPr>
          <w:p>
            <w:pPr>
              <w:pStyle w:val="Compact"/>
              <w:spacing w:line="240" w:lineRule="auto" w:after="0"/>
              <w:jc w:val="left"/>
            </w:pPr>
            <w:r>
              <w:rPr>
                <w:sz w:val="17"/>
              </w:rPr>
              <w:t xml:space="preserve">Per-request features with prefix-level counts and conversion; labels derived from traffic peaks</w:t>
            </w:r>
          </w:p>
        </w:tc>
        <w:tc>
          <w:tcPr>
            <w:tcW w:w="1530" w:type="dxa"/>
          </w:tcPr>
          <w:p>
            <w:pPr>
              <w:pStyle w:val="Compact"/>
              <w:spacing w:line="240" w:lineRule="auto" w:after="0"/>
              <w:jc w:val="left"/>
            </w:pPr>
            <w:r>
              <w:rPr>
                <w:sz w:val="17"/>
              </w:rPr>
              <w:t xml:space="preserve">Per request at the service, before the message is sent</w:t>
            </w:r>
          </w:p>
        </w:tc>
        <w:tc>
          <w:tcPr>
            <w:tcW w:w="1530" w:type="dxa"/>
          </w:tcPr>
          <w:p>
            <w:pPr>
              <w:pStyle w:val="Compact"/>
              <w:spacing w:line="240" w:lineRule="auto" w:after="0"/>
              <w:jc w:val="left"/>
            </w:pPr>
            <w:r>
              <w:rPr>
                <w:sz w:val="17"/>
              </w:rPr>
              <w:t xml:space="preserve">False positives only (0.19% web, 0.11% app)</w:t>
            </w:r>
          </w:p>
        </w:tc>
        <w:tc>
          <w:tcPr>
            <w:tcW w:w="1530" w:type="dxa"/>
          </w:tcPr>
          <w:p>
            <w:pPr>
              <w:pStyle w:val="Compact"/>
              <w:spacing w:line="240" w:lineRule="auto" w:after="0"/>
              <w:jc w:val="left"/>
            </w:pPr>
            <w:r>
              <w:rPr>
                <w:sz w:val="17"/>
              </w:rPr>
              <w:t xml:space="preserve">Needs labels; the deployed model was not released; a per-request decision can be probed</w:t>
            </w:r>
          </w:p>
        </w:tc>
      </w:tr>
      <w:tr>
        <w:tc>
          <w:tcPr>
            <w:tcW w:w="1420" w:type="dxa"/>
          </w:tcPr>
          <w:p>
            <w:pPr>
              <w:pStyle w:val="Compact"/>
              <w:spacing w:line="240" w:lineRule="auto" w:after="0"/>
              <w:jc w:val="left"/>
            </w:pPr>
            <w:r>
              <w:rPr>
                <w:sz w:val="17"/>
              </w:rPr>
              <w:t xml:space="preserve">Zaliskyi and Odarchenko [8]</w:t>
            </w:r>
          </w:p>
        </w:tc>
        <w:tc>
          <w:tcPr>
            <w:tcW w:w="1530" w:type="dxa"/>
          </w:tcPr>
          <w:p>
            <w:pPr>
              <w:pStyle w:val="Compact"/>
              <w:spacing w:line="240" w:lineRule="auto" w:after="0"/>
              <w:jc w:val="left"/>
            </w:pPr>
            <w:r>
              <w:rPr>
                <w:sz w:val="17"/>
              </w:rPr>
              <w:t xml:space="preserve">Aggregator delivery metadata: two confirmed incidents and one legitimate campaign</w:t>
            </w:r>
          </w:p>
        </w:tc>
        <w:tc>
          <w:tcPr>
            <w:tcW w:w="1530" w:type="dxa"/>
          </w:tcPr>
          <w:p>
            <w:pPr>
              <w:pStyle w:val="Compact"/>
              <w:spacing w:line="240" w:lineRule="auto" w:after="0"/>
              <w:jc w:val="left"/>
            </w:pPr>
            <w:r>
              <w:rPr>
                <w:sz w:val="17"/>
              </w:rPr>
              <w:t xml:space="preserve">Sends, or unique recipients, per prefix in five-minute windows; no labels</w:t>
            </w:r>
          </w:p>
        </w:tc>
        <w:tc>
          <w:tcPr>
            <w:tcW w:w="1530" w:type="dxa"/>
          </w:tcPr>
          <w:p>
            <w:pPr>
              <w:pStyle w:val="Compact"/>
              <w:spacing w:line="240" w:lineRule="auto" w:after="0"/>
              <w:jc w:val="left"/>
            </w:pPr>
            <w:r>
              <w:rPr>
                <w:sz w:val="17"/>
              </w:rPr>
              <w:t xml:space="preserve">Per prefix, with a 24-hour quarantine</w:t>
            </w:r>
          </w:p>
        </w:tc>
        <w:tc>
          <w:tcPr>
            <w:tcW w:w="1530" w:type="dxa"/>
          </w:tcPr>
          <w:p>
            <w:pPr>
              <w:pStyle w:val="Compact"/>
              <w:spacing w:line="240" w:lineRule="auto" w:after="0"/>
              <w:jc w:val="left"/>
            </w:pPr>
            <w:r>
              <w:rPr>
                <w:sz w:val="17"/>
              </w:rPr>
              <w:t xml:space="preserve">Share of a campaign blocked (58%; 2% with unique recipients)</w:t>
            </w:r>
          </w:p>
        </w:tc>
        <w:tc>
          <w:tcPr>
            <w:tcW w:w="1530" w:type="dxa"/>
          </w:tcPr>
          <w:p>
            <w:pPr>
              <w:pStyle w:val="Compact"/>
              <w:spacing w:line="240" w:lineRule="auto" w:after="0"/>
              <w:jc w:val="left"/>
            </w:pPr>
            <w:r>
              <w:rPr>
                <w:sz w:val="17"/>
              </w:rPr>
              <w:t xml:space="preserve">Outcomes unused; thresholds that stop incidents block campaigns; no per-user cost</w:t>
            </w:r>
          </w:p>
        </w:tc>
      </w:tr>
      <w:tr>
        <w:tc>
          <w:tcPr>
            <w:tcW w:w="1420" w:type="dxa"/>
          </w:tcPr>
          <w:p>
            <w:pPr>
              <w:pStyle w:val="Compact"/>
              <w:spacing w:line="240" w:lineRule="auto" w:after="0"/>
              <w:jc w:val="left"/>
            </w:pPr>
            <w:r>
              <w:rPr>
                <w:sz w:val="17"/>
              </w:rPr>
              <w:t xml:space="preserve">Twilio Inc. [7] and Twilio Inc. [6]</w:t>
            </w:r>
          </w:p>
        </w:tc>
        <w:tc>
          <w:tcPr>
            <w:tcW w:w="1530" w:type="dxa"/>
          </w:tcPr>
          <w:p>
            <w:pPr>
              <w:pStyle w:val="Compact"/>
              <w:spacing w:line="240" w:lineRule="auto" w:after="0"/>
              <w:jc w:val="left"/>
            </w:pPr>
            <w:r>
              <w:rPr>
                <w:sz w:val="17"/>
              </w:rPr>
              <w:t xml:space="preserve">Vendor-wide traffic across accounts; documentation only</w:t>
            </w:r>
          </w:p>
        </w:tc>
        <w:tc>
          <w:tcPr>
            <w:tcW w:w="1530"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30" w:type="dxa"/>
          </w:tcPr>
          <w:p>
            <w:pPr>
              <w:pStyle w:val="Compact"/>
              <w:spacing w:line="240" w:lineRule="auto" w:after="0"/>
              <w:jc w:val="left"/>
            </w:pPr>
            <w:r>
              <w:rPr>
                <w:sz w:val="17"/>
              </w:rPr>
              <w:t xml:space="preserve">Before the send, at the vendor; bands at 60, 75 and 90</w:t>
            </w:r>
          </w:p>
        </w:tc>
        <w:tc>
          <w:tcPr>
            <w:tcW w:w="1530" w:type="dxa"/>
          </w:tcPr>
          <w:p>
            <w:pPr>
              <w:pStyle w:val="Compact"/>
              <w:spacing w:line="240" w:lineRule="auto" w:after="0"/>
              <w:jc w:val="left"/>
            </w:pPr>
            <w:r>
              <w:rPr>
                <w:sz w:val="17"/>
              </w:rPr>
              <w:t xml:space="preserve">Claimed false-positive rates under 1% and 2%</w:t>
            </w:r>
          </w:p>
        </w:tc>
        <w:tc>
          <w:tcPr>
            <w:tcW w:w="1530" w:type="dxa"/>
          </w:tcPr>
          <w:p>
            <w:pPr>
              <w:pStyle w:val="Compact"/>
              <w:spacing w:line="240" w:lineRule="auto" w:after="0"/>
              <w:jc w:val="left"/>
            </w:pPr>
            <w:r>
              <w:rPr>
                <w:sz w:val="17"/>
              </w:rPr>
              <w:t xml:space="preserve">Signals and models undisclosed; cannot be benchmarked or reproduced</w:t>
            </w:r>
          </w:p>
        </w:tc>
      </w:tr>
      <w:tr>
        <w:tc>
          <w:tcPr>
            <w:tcW w:w="1420" w:type="dxa"/>
          </w:tcPr>
          <w:p>
            <w:pPr>
              <w:pStyle w:val="Compact"/>
              <w:spacing w:line="240" w:lineRule="auto" w:after="0"/>
              <w:jc w:val="left"/>
            </w:pPr>
            <w:r>
              <w:rPr>
                <w:sz w:val="17"/>
              </w:rPr>
              <w:t xml:space="preserve">Wiefling et al. [5]</w:t>
            </w:r>
          </w:p>
        </w:tc>
        <w:tc>
          <w:tcPr>
            <w:tcW w:w="1530" w:type="dxa"/>
          </w:tcPr>
          <w:p>
            <w:pPr>
              <w:pStyle w:val="Compact"/>
              <w:spacing w:line="240" w:lineRule="auto" w:after="0"/>
              <w:jc w:val="left"/>
            </w:pPr>
            <w:r>
              <w:rPr>
                <w:sz w:val="17"/>
              </w:rPr>
              <w:t xml:space="preserve">Black-box tests of eight services with 224 accounts</w:t>
            </w:r>
          </w:p>
        </w:tc>
        <w:tc>
          <w:tcPr>
            <w:tcW w:w="1530" w:type="dxa"/>
          </w:tcPr>
          <w:p>
            <w:pPr>
              <w:pStyle w:val="Compact"/>
              <w:spacing w:line="240" w:lineRule="auto" w:after="0"/>
              <w:jc w:val="left"/>
            </w:pPr>
            <w:r>
              <w:rPr>
                <w:sz w:val="17"/>
              </w:rPr>
              <w:t xml:space="preserve">Address, user agent, resolution, time and similar login features scored into risk buckets</w:t>
            </w:r>
          </w:p>
        </w:tc>
        <w:tc>
          <w:tcPr>
            <w:tcW w:w="1530" w:type="dxa"/>
          </w:tcPr>
          <w:p>
            <w:pPr>
              <w:pStyle w:val="Compact"/>
              <w:spacing w:line="240" w:lineRule="auto" w:after="0"/>
              <w:jc w:val="left"/>
            </w:pPr>
            <w:r>
              <w:rPr>
                <w:sz w:val="17"/>
              </w:rPr>
              <w:t xml:space="preserve">Per login to an existing account</w:t>
            </w:r>
          </w:p>
        </w:tc>
        <w:tc>
          <w:tcPr>
            <w:tcW w:w="1530" w:type="dxa"/>
          </w:tcPr>
          <w:p>
            <w:pPr>
              <w:pStyle w:val="Compact"/>
              <w:spacing w:line="240" w:lineRule="auto" w:after="0"/>
              <w:jc w:val="left"/>
            </w:pPr>
            <w:r>
              <w:rPr>
                <w:sz w:val="17"/>
              </w:rPr>
              <w:t xml:space="preserve">Not measured; re-authentication observed</w:t>
            </w:r>
          </w:p>
        </w:tc>
        <w:tc>
          <w:tcPr>
            <w:tcW w:w="1530" w:type="dxa"/>
          </w:tcPr>
          <w:p>
            <w:pPr>
              <w:pStyle w:val="Compact"/>
              <w:spacing w:line="240" w:lineRule="auto" w:after="0"/>
              <w:jc w:val="left"/>
            </w:pPr>
            <w:r>
              <w:rPr>
                <w:sz w:val="17"/>
              </w:rPr>
              <w:t xml:space="preserve">Scores a login, not a request made before any account exists; procedures undisclosed</w:t>
            </w:r>
          </w:p>
        </w:tc>
      </w:tr>
      <w:tr>
        <w:tc>
          <w:tcPr>
            <w:tcW w:w="1420" w:type="dxa"/>
            <w:tcBorders>
              <w:bottom w:val="single" w:sz="8" w:color="000000"/>
            </w:tcBorders>
          </w:tcPr>
          <w:p>
            <w:pPr>
              <w:pStyle w:val="Compact"/>
              <w:spacing w:line="240" w:lineRule="auto" w:after="0"/>
              <w:jc w:val="left"/>
            </w:pPr>
            <w:r>
              <w:rPr>
                <w:sz w:val="17"/>
              </w:rPr>
              <w:t xml:space="preserve">This study</w:t>
            </w:r>
          </w:p>
        </w:tc>
        <w:tc>
          <w:tcPr>
            <w:tcW w:w="1530"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30"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30"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30"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30"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32"/>
    <w:bookmarkEnd w:id="33"/>
    <w:bookmarkStart w:id="58" w:name="iii.-threat-model-and-design"/>
    <w:p>
      <w:pPr>
        <w:pStyle w:val="Heading1"/>
      </w:pPr>
      <w:r>
        <w:t xml:space="preserve">III. THREAT MODEL AND DESIGN</w:t>
      </w:r>
    </w:p>
    <w:p>
      <w:pPr>
        <w:pStyle w:val="FirstParagraph"/>
      </w:pPr>
      <w:r>
        <w:t xml:space="preserve">This section describes the baseline we replace, the attacker our design must resist, the twelve steps and two destination policies we designed, and the estimates of leakage we derive from its rules.</w:t>
      </w:r>
    </w:p>
    <w:bookmarkStart w:id="37" w:name="a.-the-baseline-and-its-gaps"/>
    <w:p>
      <w:pPr>
        <w:pStyle w:val="Heading2"/>
      </w:pPr>
      <w:r>
        <w:t xml:space="preserve">A. 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(the list</w:t>
      </w:r>
      <w:r>
        <w:t xml:space="preserve"> </w:t>
      </w:r>
      <m:oMath>
        <m:r>
          <m:rPr>
            <m:sty m:val="p"/>
            <m:scr m:val="script"/>
          </m:rPr>
          <m:t>V</m:t>
        </m:r>
      </m:oMath>
      <w:r>
        <w:t xml:space="preserve">, line 1) is refused. The platform</w:t>
      </w:r>
      <w:r>
        <w:t xml:space="preserve"> </w:t>
      </w:r>
      <m:oMath>
        <m:r>
          <m:t>p</m:t>
        </m:r>
      </m:oMath>
      <w:r>
        <w:t xml:space="preserve"> </w:t>
      </w:r>
      <w:r>
        <w:t xml:space="preserve">is read from a client header (line 2), and a request that claims iOS or Android skips the two checks that web requests face, a reCAPTCHA v3 score threshold of 0.5 and an origin check against the allowed domains</w:t>
      </w:r>
      <w:r>
        <w:t xml:space="preserve"> </w:t>
      </w:r>
      <m:oMath>
        <m:r>
          <m:rPr>
            <m:sty m:val="p"/>
            <m:scr m:val="script"/>
          </m:rPr>
          <m:t>O</m:t>
        </m:r>
      </m:oMath>
      <w:r>
        <w:t xml:space="preserve"> </w:t>
      </w:r>
      <w:r>
        <w:t xml:space="preserve">(line 3). The number’s country must be on the allow-list</w:t>
      </w:r>
      <w:r>
        <w:t xml:space="preserve"> </w:t>
      </w:r>
      <m:oMath>
        <m:r>
          <m:rPr>
            <m:sty m:val="p"/>
            <m:scr m:val="script"/>
          </m:rPr>
          <m:t>A</m:t>
        </m:r>
      </m:oMath>
      <w:r>
        <w:t xml:space="preserve"> </w:t>
      </w:r>
      <w:r>
        <w:t xml:space="preserve">unless the request carries the bulk flag (line 4); the body must be within the length limit</w:t>
      </w:r>
      <w:r>
        <w:t xml:space="preserve"> </w:t>
      </w:r>
      <m:oMath>
        <m:r>
          <m:t>L</m:t>
        </m:r>
      </m:oMath>
      <w:r>
        <w:t xml:space="preserve"> </w:t>
      </w:r>
      <w:r>
        <w:t xml:space="preserve">and the number not on the exclusion list</w:t>
      </w:r>
      <w:r>
        <w:t xml:space="preserve"> </w:t>
      </w:r>
      <m:oMath>
        <m:r>
          <m:rPr>
            <m:sty m:val="p"/>
            <m:scr m:val="script"/>
          </m:rPr>
          <m:t>X</m:t>
        </m:r>
      </m:oMath>
      <w:r>
        <w:t xml:space="preserve"> </w:t>
      </w:r>
      <w:r>
        <w:t xml:space="preserve">unless the request comes from a test server (line 5). One message per number per minute, five requests per address per minute and the static caps</w:t>
      </w:r>
      <w:r>
        <w:t xml:space="preserve"> </w:t>
      </w:r>
      <m:oMath>
        <m:r>
          <m:t>K</m:t>
        </m:r>
      </m:oMath>
      <w:r>
        <w:t xml:space="preserve"> </w:t>
      </w:r>
      <w:r>
        <w:t xml:space="preserve">per platform and country complete the controls (lines 6–8). Each cap is a counter</w:t>
      </w:r>
      <w:r>
        <w:t xml:space="preserve"> </w:t>
      </w:r>
      <m:oMath>
        <m:r>
          <m:t>n</m:t>
        </m:r>
      </m:oMath>
      <w:r>
        <w:t xml:space="preserve"> </w:t>
      </w:r>
      <w:r>
        <w:t xml:space="preserve">that is read when its check runs and incremented after every check has passed (line 9), and the response names the control that refused (line 11).</w:t>
      </w:r>
    </w:p>
    <w:p>
      <w:pPr>
        <w:pStyle w:val="BodyText"/>
      </w:pPr>
      <w:r>
        <w:t xml:space="preserve">Each control rests on an assumption that an attacker within the threat model of Section III-B breaks. We derived the eight gaps below from the rules, not from observed abuse, and we give for each the line of Algorithm 1 at which it opens. (A, line 2) The platform exemptions trust a client claim, so any request can send the header for iOS and skip line 3. (B, line 7) Five requests per address assume that addresses are scarce; a residential proxy pool supplies a fresh address per request, nothing throttles a subnet or an autonomous system, and no client identity survives an address change. (C, line 10) A number is sent to without validation, so numbers that cannot exist, numbers on dead ranges and generated sequences cost the same as a real message. (D, line 4) The country allow-list is the only notion of destination cost; premium-rate and revenue-share prefixes inside an allowed country cost many times a standard message, and a pumper targets exactly those. (E, line 8) Every limit is per key, so a wide attack that stays under each cap burns the budget without bound; nothing watches total volume or spend. (F, line 9) A limit checks its counter and increments it as two operations, so two concurrent requests on different instances both pass. (G, lines 4–5) The bulk and test paths skip checks but need no stronger authentication than a normal request, so a leaked flag is a bypass. (H, line 11) Every decision is pass or fail and the response names the control that refused, so an attacker can probe each threshold, stay under it, and enumerate registered numbers.</w:t>
      </w:r>
    </w:p>
    <w:p>
      <w:pPr>
        <w:pStyle w:val="CaptionedFigure"/>
      </w:pPr>
      <w:r>
        <w:drawing>
          <wp:inline>
            <wp:extent cx="4319999" cy="2468571"/>
            <wp:effectExtent b="0" l="0" r="0" t="0"/>
            <wp:docPr descr="" title="" id="35" name="Picture"/>
            <a:graphic>
              <a:graphicData uri="http://schemas.openxmlformats.org/drawingml/2006/picture">
                <pic:pic>
                  <pic:nvPicPr>
                    <pic:cNvPr descr="figures/alg1_v1.png" id="36" name="Picture"/>
                    <pic:cNvPicPr>
                      <a:picLocks noChangeArrowheads="1" noChangeAspect="1"/>
                    </pic:cNvPicPr>
                  </pic:nvPicPr>
                  <pic:blipFill>
                    <a:blip r:embed="rId34"/>
                    <a:stretch>
                      <a:fillRect/>
                    </a:stretch>
                  </pic:blipFill>
                  <pic:spPr bwMode="auto">
                    <a:xfrm>
                      <a:off x="0" y="0"/>
                      <a:ext cx="4319999" cy="2468571"/>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w:t>
      </w:r>
    </w:p>
    <w:bookmarkEnd w:id="37"/>
    <w:bookmarkStart w:id="41" w:name="b.-threat-model"/>
    <w:p>
      <w:pPr>
        <w:pStyle w:val="Heading2"/>
      </w:pPr>
      <w:r>
        <w:t xml:space="preserve">B. 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so in Section V-H we report instead the share at which each scripted pumper breaks even. Figure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9" name="Picture"/>
            <a:graphic>
              <a:graphicData uri="http://schemas.openxmlformats.org/drawingml/2006/picture">
                <pic:pic>
                  <pic:nvPicPr>
                    <pic:cNvPr descr="figures/fig9_threat_model.png" id="40" name="Picture"/>
                    <pic:cNvPicPr>
                      <a:picLocks noChangeArrowheads="1" noChangeAspect="1"/>
                    </pic:cNvPicPr>
                  </pic:nvPicPr>
                  <pic:blipFill>
                    <a:blip r:embed="rId38"/>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The 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III-C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II-E) and compromise of the service, its vendors or the attestation providers are outside the model. Table 2 lists the 25 profiles that instantiate these capabilities; pool size, rate and CAPTCHA class are drawn per seed.</w:t>
      </w:r>
    </w:p>
    <w:bookmarkEnd w:id="41"/>
    <w:bookmarkStart w:id="51" w:name="c.-the-pipeline"/>
    <w:p>
      <w:pPr>
        <w:pStyle w:val="Heading2"/>
      </w:pPr>
      <w:r>
        <w:t xml:space="preserve">C. 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(delivered, verified, failed, undelivered) as one compare-and-set. All state lives in one store, Redis in production and an in-memory twin with the same rules in the tests and the simulator: the sessions, every limit and reservation, the SMS history, the reputation counts, the block statistics and counters, the denylist, the adaptive multipliers and the operating mode. What the loop writes, the next request reads, which is how the outcome of one send changes the judgment of the next, and why any instance can verify any code. One worker per deployment ticks every minute to resolve the sends that timed out and to run the baseline job that sets the multipliers of Step 9 from the pipeline’s own counters. Every external dependency, attestation, reCAPTCHA, address intelligence, the HLR lookup, the SMS vendor and the downgrade channels, sits behind an adapter with an in-memory fake, and a deployment reports which adapters are fake so that production can refuse to start with any. The simulation of Section IV runs the pipeline, the feedback loop, the worker’s two jobs and the in-memory store as drawn, without the HTTP layer, replaces the external services with their fakes, and in the main study hands the baseline job the modeled legitimate rate instead of letting it learn it (Section V-D runs the learning job).</w:t>
      </w:r>
    </w:p>
    <w:p>
      <w:pPr>
        <w:pStyle w:val="CaptionedFigure"/>
      </w:pPr>
      <w:r>
        <w:drawing>
          <wp:inline>
            <wp:extent cx="5334000" cy="2601430"/>
            <wp:effectExtent b="0" l="0" r="0" t="0"/>
            <wp:docPr descr="" title="" id="43" name="Picture"/>
            <a:graphic>
              <a:graphicData uri="http://schemas.openxmlformats.org/drawingml/2006/picture">
                <pic:pic>
                  <pic:nvPicPr>
                    <pic:cNvPr descr="figures/fig12_architecture.png" id="44" name="Picture"/>
                    <pic:cNvPicPr>
                      <a:picLocks noChangeArrowheads="1" noChangeAspect="1"/>
                    </pic:cNvPicPr>
                  </pic:nvPicPr>
                  <pic:blipFill>
                    <a:blip r:embed="rId42"/>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the client cannot forge, an attestation, a server-signed session, and the fate of earlier codes, though such evidence can be manufactured (Section V-H).</w:t>
      </w:r>
    </w:p>
    <w:p>
      <w:pPr>
        <w:pStyle w:val="BodyText"/>
      </w:pPr>
      <w:r>
        <w:t xml:space="preserve">A request passes the twelve steps of Figure 4 in order until one refuses it. The figure numbers its stages in reading order: its stages 1 to 4 are Steps 0 to 4 of the text and of Algorithm 2, with Steps 3 and 4 drawn as one stage, the web checks; from stage 5 on the two numberings coincide; and stage 12 is the feedback loop. The letters below are the gaps of Section III-A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Equation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the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gives the same pipeline as we implemented it, in the order of the steps, with the feedback loop of Section III-D and the block statistics of Section III-E as its second procedure. Its sets are those of Algorithm 1, and</w:t>
      </w:r>
      <w:r>
        <w:t xml:space="preserve"> </w:t>
      </w:r>
      <m:oMath>
        <m:sSub>
          <m:e>
            <m:r>
              <m:t>θ</m:t>
            </m:r>
          </m:e>
          <m:sub>
            <m:r>
              <m:t>w</m:t>
            </m:r>
          </m:sub>
        </m:sSub>
      </m:oMath>
      <w:r>
        <w:t xml:space="preserve"> </w:t>
      </w:r>
      <w:r>
        <w:t xml:space="preserve">is the web score threshold.</w:t>
      </w:r>
      <w:r>
        <w:t xml:space="preserve"> </w:t>
      </w:r>
      <w:r>
        <w:rPr>
          <w:smallCaps/>
        </w:rPr>
        <w:t xml:space="preserve">Take</w:t>
      </w:r>
      <w:r>
        <w:t xml:space="preserve"> </w:t>
      </w:r>
      <w:r>
        <w:t xml:space="preserve">claims one slot of a limit in one atomic operation and fails once the limit is reached; a refusal at any later line releases every slot claimed so far.</w:t>
      </w:r>
      <w:r>
        <w:t xml:space="preserve"> </w:t>
      </w:r>
      <w:r>
        <w:rPr>
          <w:smallCaps/>
        </w:rPr>
        <w:t xml:space="preserve">CheckNumber</w:t>
      </w:r>
      <w:r>
        <w:t xml:space="preserve"> </w:t>
      </w:r>
      <w:r>
        <w:t xml:space="preserve">returns the number’s cost class</w:t>
      </w:r>
      <w:r>
        <w:t xml:space="preserve"> </w:t>
      </w:r>
      <m:oMath>
        <m:r>
          <m:t>c</m:t>
        </m:r>
      </m:oMath>
      <w:r>
        <w:t xml:space="preserve">, whether the HLR lookup finds it live, and the verdict stage</w:t>
      </w:r>
      <w:r>
        <w:t xml:space="preserve"> </w:t>
      </w:r>
      <m:oMath>
        <m:r>
          <m:t>v</m:t>
        </m:r>
      </m:oMath>
      <w:r>
        <w:t xml:space="preserve"> </w:t>
      </w:r>
      <w:r>
        <w:t xml:space="preserve">of its block;</w:t>
      </w:r>
      <w:r>
        <w:t xml:space="preserve"> </w:t>
      </w:r>
      <w:r>
        <w:rPr>
          <w:smallCaps/>
        </w:rPr>
        <w:t xml:space="preserve">Tier</w:t>
      </w:r>
      <w:r>
        <w:t xml:space="preserve"> </w:t>
      </w:r>
      <w:r>
        <w:t xml:space="preserve">maps the score to one of the five tiers and, for a client without verified history, raises it to challenge if</w:t>
      </w:r>
      <w:r>
        <w:t xml:space="preserve"> </w:t>
      </w:r>
      <m:oMath>
        <m:r>
          <m:t>v</m:t>
        </m:r>
        <m:r>
          <m:rPr>
            <m:sty m:val="p"/>
          </m:rPr>
          <m:t>=</m:t>
        </m:r>
        <m:r>
          <m:t>1</m:t>
        </m:r>
      </m:oMath>
      <w:r>
        <w:t xml:space="preserve"> </w:t>
      </w:r>
      <w:r>
        <w:t xml:space="preserve">and to downgrade if</w:t>
      </w:r>
      <w:r>
        <w:t xml:space="preserve"> </w:t>
      </w:r>
      <m:oMath>
        <m:r>
          <m:t>v</m:t>
        </m:r>
        <m:r>
          <m:rPr>
            <m:sty m:val="p"/>
          </m:rPr>
          <m:t>=</m:t>
        </m:r>
        <m:r>
          <m:t>2</m:t>
        </m:r>
      </m:oMath>
      <w:r>
        <w:t xml:space="preserve">;</w:t>
      </w:r>
      <w:r>
        <w:t xml:space="preserve"> </w:t>
      </w:r>
      <m:oMath>
        <m:r>
          <m:t>m</m:t>
        </m:r>
      </m:oMath>
      <w:r>
        <w:t xml:space="preserve"> </w:t>
      </w:r>
      <w:r>
        <w:t xml:space="preserve">is the adaptive multiplier of Step 9 and</w:t>
      </w:r>
      <w:r>
        <w:t xml:space="preserve"> </w:t>
      </w:r>
      <m:oMath>
        <m:r>
          <m:t>K</m:t>
        </m:r>
      </m:oMath>
      <w:r>
        <w:t xml:space="preserve"> </w:t>
      </w:r>
      <w:r>
        <w:t xml:space="preserve">the source caps.</w:t>
      </w:r>
      <w:r>
        <w:t xml:space="preserve"> </w:t>
      </w:r>
      <w:r>
        <w:rPr>
          <w:smallCaps/>
        </w:rPr>
        <w:t xml:space="preserve">Reserve</w:t>
      </w:r>
      <w:r>
        <w:t xml:space="preserve"> </w:t>
      </w:r>
      <w:r>
        <w:t xml:space="preserve">takes the hourly count, the spend and the block’s counter slot together and returns the counter’s stage</w:t>
      </w:r>
      <w:r>
        <w:t xml:space="preserve"> </w:t>
      </w:r>
      <m:oMath>
        <m:r>
          <m:t>g</m:t>
        </m:r>
      </m:oMath>
      <w:r>
        <w:t xml:space="preserve">, by which</w:t>
      </w:r>
      <w:r>
        <w:t xml:space="preserve"> </w:t>
      </w:r>
      <w:r>
        <w:rPr>
          <w:smallCaps/>
        </w:rPr>
        <w:t xml:space="preserve">Raise</w:t>
      </w:r>
      <w:r>
        <w:t xml:space="preserve"> </w:t>
      </w:r>
      <w:r>
        <w:t xml:space="preserve">lifts the tier of a client without verified history past the quota (Section III-E);</w:t>
      </w:r>
      <w:r>
        <w:t xml:space="preserve"> </w:t>
      </w:r>
      <w:r>
        <w:rPr>
          <w:smallCaps/>
        </w:rPr>
        <w:t xml:space="preserve">Dispatch</w:t>
      </w:r>
      <w:r>
        <w:t xml:space="preserve"> </w:t>
      </w:r>
      <w:r>
        <w:t xml:space="preserve">sends by SMS, or by push or WhatsApp at the downgrade tier, after a wait at the delay tier; and</w:t>
      </w:r>
      <w:r>
        <w:t xml:space="preserve"> </w:t>
      </w:r>
      <w:r>
        <w:rPr>
          <w:smallCaps/>
        </w:rPr>
        <w:t xml:space="preserve">Reply</w:t>
      </w:r>
      <w:r>
        <w:t xml:space="preserve"> </w:t>
      </w:r>
      <w:r>
        <w:t xml:space="preserve">is the one uniform body. Read against Algorithm 1, the pipeline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IV).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6" name="Picture"/>
            <a:graphic>
              <a:graphicData uri="http://schemas.openxmlformats.org/drawingml/2006/picture">
                <pic:pic>
                  <pic:nvPicPr>
                    <pic:cNvPr descr="figures/fig10_steps.png" id="47" name="Picture"/>
                    <pic:cNvPicPr>
                      <a:picLocks noChangeArrowheads="1" noChangeAspect="1"/>
                    </pic:cNvPicPr>
                  </pic:nvPicPr>
                  <pic:blipFill>
                    <a:blip r:embed="rId45"/>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twelve steps, and the loop that feeds the next request.</w:t>
      </w:r>
    </w:p>
    <w:p>
      <w:pPr>
        <w:pStyle w:val="CaptionedFigure"/>
      </w:pPr>
      <w:r>
        <w:drawing>
          <wp:inline>
            <wp:extent cx="5334000" cy="2919383"/>
            <wp:effectExtent b="0" l="0" r="0" t="0"/>
            <wp:docPr descr="" title="" id="49" name="Picture"/>
            <a:graphic>
              <a:graphicData uri="http://schemas.openxmlformats.org/drawingml/2006/picture">
                <pic:pic>
                  <pic:nvPicPr>
                    <pic:cNvPr descr="figures/alg2_v2.png" id="50" name="Picture"/>
                    <pic:cNvPicPr>
                      <a:picLocks noChangeArrowheads="1" noChangeAspect="1"/>
                    </pic:cNvPicPr>
                  </pic:nvPicPr>
                  <pic:blipFill>
                    <a:blip r:embed="rId48"/>
                    <a:stretch>
                      <a:fillRect/>
                    </a:stretch>
                  </pic:blipFill>
                  <pic:spPr bwMode="auto">
                    <a:xfrm>
                      <a:off x="0" y="0"/>
                      <a:ext cx="5334000" cy="2919383"/>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[13].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51"/>
    <w:bookmarkStart w:id="52" w:name="d.-the-feedback-loop"/>
    <w:p>
      <w:pPr>
        <w:pStyle w:val="Heading2"/>
      </w:pPr>
      <w:r>
        <w:t xml:space="preserve">D. THE FEEDBACK LOOP</w:t>
      </w:r>
    </w:p>
    <w:p>
      <w:pPr>
        <w:pStyle w:val="FirstParagraph"/>
      </w:pPr>
      <w:r>
        <w:rPr>
          <w:smallCaps/>
        </w:rPr>
        <w:t xml:space="preserve">OnOutcome</w:t>
      </w:r>
      <w:r>
        <w:t xml:space="preserve"> </w:t>
      </w:r>
      <w:r>
        <w:t xml:space="preserve">in Algorithm 2 applies one outcome</w:t>
      </w:r>
      <w:r>
        <w:t xml:space="preserve"> </w:t>
      </w:r>
      <m:oMath>
        <m:r>
          <m:t>o</m:t>
        </m:r>
      </m:oMath>
      <w:r>
        <w:t xml:space="preserve"> </w:t>
      </w:r>
      <w:r>
        <w:t xml:space="preserve">of a send</w:t>
      </w:r>
      <w:r>
        <w:t xml:space="preserve"> </w:t>
      </w:r>
      <m:oMath>
        <m:r>
          <m:t>x</m:t>
        </m:r>
      </m:oMath>
      <w:r>
        <w:t xml:space="preserve">. It counts the send on every key it carried, the address, its /24 and ASN, the fingerprint, the session, the country, the prefix and the number, and denylists a fine key for 24 hours once that key has 50 resolved sends and fewer than 10% of them verified; a verification marks the number trusted, which exempts the client from both destination policies. The block’s conversion statistic</w:t>
      </w:r>
      <w:r>
        <w:t xml:space="preserve"> </w:t>
      </w:r>
      <m:oMath>
        <m:sSub>
          <m:e>
            <m:r>
              <m:t>S</m:t>
            </m:r>
          </m:e>
          <m:sub>
            <m:r>
              <m:t>c</m:t>
            </m:r>
          </m:sub>
        </m:sSub>
      </m:oMath>
      <w:r>
        <w:t xml:space="preserve"> </w:t>
      </w:r>
      <w:r>
        <w:t xml:space="preserve">then takes the increment</w:t>
      </w:r>
      <w:r>
        <w:t xml:space="preserve"> </w:t>
      </w:r>
      <m:oMath>
        <m:sSub>
          <m:e>
            <m:r>
              <m:t>δ</m:t>
            </m:r>
          </m:e>
          <m:sub>
            <m:r>
              <m:t>c</m:t>
            </m:r>
          </m:sub>
        </m:sSub>
      </m:oMath>
      <w:r>
        <w:t xml:space="preserve"> </w:t>
      </w:r>
      <w:r>
        <w:t xml:space="preserve">of Section III-E for the outcome, the speed statistic</w:t>
      </w:r>
      <w:r>
        <w:t xml:space="preserve"> </w:t>
      </w:r>
      <m:oMath>
        <m:sSub>
          <m:e>
            <m:r>
              <m:t>S</m:t>
            </m:r>
          </m:e>
          <m:sub>
            <m:r>
              <m:t>s</m:t>
            </m:r>
          </m:sub>
        </m:sSub>
      </m:oMath>
      <w:r>
        <w:t xml:space="preserve"> </w:t>
      </w:r>
      <w:r>
        <w:t xml:space="preserve">takes</w:t>
      </w:r>
      <w:r>
        <w:t xml:space="preserve"> </w:t>
      </w:r>
      <m:oMath>
        <m:sSub>
          <m:e>
            <m:r>
              <m:t>δ</m:t>
            </m:r>
          </m:e>
          <m:sub>
            <m:r>
              <m:t>s</m:t>
            </m:r>
          </m:sub>
        </m:sSub>
      </m:oMath>
      <w:r>
        <w:t xml:space="preserve"> </w:t>
      </w:r>
      <w:r>
        <w:t xml:space="preserve">for a verification, and a statistic that crosses</w:t>
      </w:r>
      <w:r>
        <w:t xml:space="preserve"> </w:t>
      </w:r>
      <m:oMath>
        <m:r>
          <m:t>h</m:t>
        </m:r>
      </m:oMath>
      <w:r>
        <w:t xml:space="preserve"> </w:t>
      </w:r>
      <w:r>
        <w:t xml:space="preserve">issues a verdict on the block for an hour and resets both. 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52"/>
    <w:bookmarkStart w:id="55" w:name="e.-destination-policies"/>
    <w:p>
      <w:pPr>
        <w:pStyle w:val="Heading2"/>
      </w:pPr>
      <w:r>
        <w:t xml:space="preserve">E. 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53" w:name="sequential-tests"/>
    <w:p>
      <w:pPr>
        <w:pStyle w:val="Heading3"/>
      </w:pPr>
      <w:r>
        <w:t xml:space="preserve">1) 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53"/>
    <w:bookmarkStart w:id="54" w:name="counters"/>
    <w:p>
      <w:pPr>
        <w:pStyle w:val="Heading3"/>
      </w:pPr>
      <w:r>
        <w:t xml:space="preserve">2) 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[26]) and the counter combined with the tests.</w:t>
      </w:r>
    </w:p>
    <w:bookmarkEnd w:id="54"/>
    <w:bookmarkEnd w:id="55"/>
    <w:bookmarkStart w:id="56" w:name="f.-capacity-controls"/>
    <w:p>
      <w:pPr>
        <w:pStyle w:val="Heading2"/>
      </w:pPr>
      <w:r>
        <w:t xml:space="preserve">F. 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6"/>
    <w:bookmarkStart w:id="57" w:name="g.-leakage-estimates"/>
    <w:p>
      <w:pPr>
        <w:pStyle w:val="Heading2"/>
      </w:pPr>
      <w:r>
        <w:t xml:space="preserve">G. 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7"/>
    <w:bookmarkEnd w:id="58"/>
    <w:bookmarkStart w:id="69" w:name="iv.-methodology"/>
    <w:p>
      <w:pPr>
        <w:pStyle w:val="Heading1"/>
      </w:pPr>
      <w:r>
        <w:t xml:space="preserve">IV. 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III-G) are checked against the measurements. The rest of this section gives the implementation, the simulator, the protocols and the metrics in that order.</w:t>
      </w:r>
    </w:p>
    <w:p>
      <w:pPr>
        <w:pStyle w:val="CaptionedFigure"/>
      </w:pPr>
      <w:r>
        <w:drawing>
          <wp:inline>
            <wp:extent cx="5334000" cy="2408776"/>
            <wp:effectExtent b="0" l="0" r="0" t="0"/>
            <wp:docPr descr="" title="" id="60" name="Picture"/>
            <a:graphic>
              <a:graphicData uri="http://schemas.openxmlformats.org/drawingml/2006/picture">
                <pic:pic>
                  <pic:nvPicPr>
                    <pic:cNvPr descr="figures/fig11_method.png" id="61" name="Picture"/>
                    <pic:cNvPicPr>
                      <a:picLocks noChangeArrowheads="1" noChangeAspect="1"/>
                    </pic:cNvPicPr>
                  </pic:nvPicPr>
                  <pic:blipFill>
                    <a:blip r:embed="rId59"/>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How we evaluated the design.</w:t>
      </w:r>
    </w:p>
    <w:bookmarkStart w:id="62" w:name="a.-implementation"/>
    <w:p>
      <w:pPr>
        <w:pStyle w:val="Heading2"/>
      </w:pPr>
      <w:r>
        <w:t xml:space="preserve">A. IMPLEMENTATION</w:t>
      </w:r>
    </w:p>
    <w:p>
      <w:pPr>
        <w:pStyle w:val="FirstParagraph"/>
      </w:pPr>
      <w:r>
        <w:t xml:space="preserve">We implemented the pipeline of Algorithm 2 in about 4 000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run against a real</w:t>
      </w:r>
      <w:r>
        <w:t xml:space="preserve"> </w:t>
      </w:r>
      <w:r>
        <w:rPr>
          <w:rStyle w:val="VerbatimChar"/>
        </w:rPr>
        <w:t xml:space="preserve">redis-server</w:t>
      </w:r>
      <w:r>
        <w:t xml:space="preserve"> </w:t>
      </w:r>
      <w:r>
        <w:t xml:space="preserve">and 18 exercise specific interleavings of two instances, not all. Step 11 is still not one transaction: a crash after its reservations leaks reserved slots or resolves the send as undelivered. The implementation is a research prototype.</w:t>
      </w:r>
    </w:p>
    <w:bookmarkEnd w:id="62"/>
    <w:bookmarkStart w:id="66" w:name="b.-simulation"/>
    <w:p>
      <w:pPr>
        <w:pStyle w:val="Heading2"/>
      </w:pPr>
      <w:r>
        <w:t xml:space="preserve">B. SIMULATION</w:t>
      </w:r>
    </w:p>
    <w:p>
      <w:pPr>
        <w:pStyle w:val="FirstParagraph"/>
      </w:pPr>
      <w:r>
        <w:t xml:space="preserve">We run the pipeline against scripted vendor fakes on a simulated clock, as Algorithm 3 sets out. A seed</w:t>
      </w:r>
      <w:r>
        <w:t xml:space="preserve"> </w:t>
      </w:r>
      <m:oMath>
        <m:r>
          <m:t>z</m:t>
        </m:r>
      </m:oMath>
      <w:r>
        <w:t xml:space="preserve"> </w:t>
      </w:r>
      <w:r>
        <w:t xml:space="preserve">opens three random streams, for the users, the attacker and the challenge outcomes, so every scenario at a seed, the attack-free one included, offers the same users, and our comparisons between scenarios are paired; the pipeline</w:t>
      </w:r>
      <w:r>
        <w:t xml:space="preserve"> </w:t>
      </w:r>
      <m:oMath>
        <m:r>
          <m:t>P</m:t>
        </m:r>
      </m:oMath>
      <w:r>
        <w:t xml:space="preserve"> </w:t>
      </w:r>
      <w:r>
        <w:t xml:space="preserve">is built from the design</w:t>
      </w:r>
      <w:r>
        <w:t xml:space="preserve"> </w:t>
      </w:r>
      <m:oMath>
        <m:r>
          <m:t>d</m:t>
        </m:r>
      </m:oMath>
      <w:r>
        <w:t xml:space="preserve"> </w:t>
      </w:r>
      <w:r>
        <w:t xml:space="preserve">on the in-memory store with the vendor fakes, with a fifth of the user pool seeded as returning account holders. Minute by minute, Poisson draws at the legitimate rate</w:t>
      </w:r>
      <w:r>
        <w:t xml:space="preserve"> </w:t>
      </w:r>
      <m:oMath>
        <m:sSub>
          <m:e>
            <m:r>
              <m:t>λ</m:t>
            </m:r>
          </m:e>
          <m:sub>
            <m:r>
              <m:rPr>
                <m:sty m:val="p"/>
              </m:rPr>
              <m:t>ℓ</m:t>
            </m:r>
          </m:sub>
        </m:sSub>
      </m:oMath>
      <w:r>
        <w:t xml:space="preserve"> </w:t>
      </w:r>
      <w:r>
        <w:t xml:space="preserve">and the attack rate</w:t>
      </w:r>
      <w:r>
        <w:t xml:space="preserve"> </w:t>
      </w:r>
      <m:oMath>
        <m:sSub>
          <m:e>
            <m:r>
              <m:t>λ</m:t>
            </m:r>
          </m:e>
          <m:sub>
            <m:r>
              <m:t>a</m:t>
            </m:r>
          </m:sub>
        </m:sSub>
      </m:oMath>
      <w:r>
        <w:t xml:space="preserve"> </w:t>
      </w:r>
      <w:r>
        <w:t xml:space="preserve">set the arrivals, the attacker’s only from minute 0, and each request</w:t>
      </w:r>
      <w:r>
        <w:t xml:space="preserve"> </w:t>
      </w:r>
      <m:oMath>
        <m:r>
          <m:t>q</m:t>
        </m:r>
      </m:oMath>
      <w:r>
        <w:t xml:space="preserve"> </w:t>
      </w:r>
      <w:r>
        <w:t xml:space="preserve">is drawn in full before the pipeline sees it: identity, address, number, CAPTCHA score, delays, and whether the person would verify. A challenge is answered at once when</w:t>
      </w:r>
      <w:r>
        <w:t xml:space="preserve"> </w:t>
      </w:r>
      <m:oMath>
        <m:r>
          <m:t>q</m:t>
        </m:r>
      </m:oMath>
      <w:r>
        <w:t xml:space="preserve"> </w:t>
      </w:r>
      <w:r>
        <w:t xml:space="preserve">solves it; a send queues in</w:t>
      </w:r>
      <w:r>
        <w:t xml:space="preserve"> </w:t>
      </w:r>
      <m:oMath>
        <m:r>
          <m:t>E</m:t>
        </m:r>
      </m:oMath>
      <w:r>
        <w:t xml:space="preserve"> </w:t>
      </w:r>
      <w:r>
        <w:t xml:space="preserve">a delivery receipt at the queue and delivery delay and, if</w:t>
      </w:r>
      <w:r>
        <w:t xml:space="preserve"> </w:t>
      </w:r>
      <m:oMath>
        <m:r>
          <m:t>q</m:t>
        </m:r>
      </m:oMath>
      <w:r>
        <w:t xml:space="preserve"> </w:t>
      </w:r>
      <w:r>
        <w:t xml:space="preserve">verifies, a code entry after its delay; the timed events are applied before each later request and at the end of each minute, when the pipeline’s timeouts and its adaptive job also run. After the last minute the queue is drained through the receipt grace, the resolution timeout, the slowest entry and a resend. The run record</w:t>
      </w:r>
      <w:r>
        <w:t xml:space="preserve"> </w:t>
      </w:r>
      <m:oMath>
        <m:r>
          <m:t>R</m:t>
        </m:r>
      </m:oMath>
      <w:r>
        <w:t xml:space="preserve"> </w:t>
      </w:r>
      <w:r>
        <w:t xml:space="preserve">holds the messages leaked and offered per minute, each user’s funnel by cohort, the verdict events, the attacker’s verifications, challenges solved and bill, and the configuration with the workload digest and the code hash. After a warm-up of ten minutes (30 or 130 for pumping), the attack runs over legitimate traffic at 20 requests per minute. Our simulated users verify 80% of codes after a lognormal delay (median 22 s; 2 s for the 20% using autofill); 70% of numbers are reachable on WhatsApp; 90% of users complete a challenge; 20% are returning account holders with a stable fingerprint, a trusted number and verified history, so our results for returning users describe trusted identities only.</w:t>
      </w:r>
    </w:p>
    <w:p>
      <w:pPr>
        <w:pStyle w:val="CaptionedFigure"/>
      </w:pPr>
      <w:r>
        <w:drawing>
          <wp:inline>
            <wp:extent cx="4319999" cy="3458473"/>
            <wp:effectExtent b="0" l="0" r="0" t="0"/>
            <wp:docPr descr="" title="" id="64" name="Picture"/>
            <a:graphic>
              <a:graphicData uri="http://schemas.openxmlformats.org/drawingml/2006/picture">
                <pic:pic>
                  <pic:nvPicPr>
                    <pic:cNvPr descr="figures/alg3_sim.png" id="65" name="Picture"/>
                    <pic:cNvPicPr>
                      <a:picLocks noChangeArrowheads="1" noChangeAspect="1"/>
                    </pic:cNvPicPr>
                  </pic:nvPicPr>
                  <pic:blipFill>
                    <a:blip r:embed="rId63"/>
                    <a:stretch>
                      <a:fillRect/>
                    </a:stretch>
                  </pic:blipFill>
                  <pic:spPr bwMode="auto">
                    <a:xfrm>
                      <a:off x="0" y="0"/>
                      <a:ext cx="4319999" cy="3458473"/>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w:t>
      </w:r>
    </w:p>
    <w:p>
      <w:pPr>
        <w:pStyle w:val="BodyText"/>
      </w:pPr>
      <w:r>
        <w:t xml:space="preserve">Three behavioral parameters have published counterparts: genuine conversion (one provider’s 68% or more [27]; ours 60%–90%) and the never-converting destinations and identity churn of Section II;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6"/>
    <w:bookmarkStart w:id="67" w:name="c.-the-two-protocols"/>
    <w:p>
      <w:pPr>
        <w:pStyle w:val="Heading2"/>
      </w:pPr>
      <w:r>
        <w:t xml:space="preserve">C. 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50 000 to 500 000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7"/>
    <w:bookmarkStart w:id="68" w:name="d.-designs-and-metrics"/>
    <w:p>
      <w:pPr>
        <w:pStyle w:val="Heading2"/>
      </w:pPr>
      <w:r>
        <w:t xml:space="preserve">D. DESIGNS AND METRICS</w:t>
      </w:r>
    </w:p>
    <w:p>
      <w:pPr>
        <w:pStyle w:val="FirstParagraph"/>
      </w:pPr>
      <w:r>
        <w:t xml:space="preserve">We evaluate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8"/>
    <w:bookmarkEnd w:id="69"/>
    <w:bookmarkStart w:id="90" w:name="v.-results"/>
    <w:p>
      <w:pPr>
        <w:pStyle w:val="Heading1"/>
      </w:pPr>
      <w:r>
        <w:t xml:space="preserve">V. RESULTS</w:t>
      </w:r>
    </w:p>
    <w:bookmarkStart w:id="70" w:name="a.-what-is-contained"/>
    <w:p>
      <w:pPr>
        <w:pStyle w:val="Heading2"/>
      </w:pPr>
      <w:r>
        <w:t xml:space="preserve">A. WHAT IS CONTAINED</w:t>
      </w:r>
    </w:p>
    <w:p>
      <w:pPr>
        <w:pStyle w:val="TableCaption"/>
      </w:pPr>
      <w:r>
        <w:rPr>
          <w:bCs/>
          <w:b/>
        </w:rPr>
        <w:t xml:space="preserve">TABLE 3.</w:t>
      </w:r>
      <w:r>
        <w:t xml:space="preserve"> </w:t>
      </w:r>
      <w: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70"/>
    <w:bookmarkStart w:id="71" w:name="b.-what-each-layer-does"/>
    <w:p>
      <w:pPr>
        <w:pStyle w:val="Heading2"/>
      </w:pPr>
      <w:r>
        <w:t xml:space="preserve">B. 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71"/>
    <w:bookmarkStart w:id="72" w:name="c.-where-reputation-stops-separating"/>
    <w:p>
      <w:pPr>
        <w:pStyle w:val="Heading2"/>
      </w:pPr>
      <w:r>
        <w:t xml:space="preserve">C.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[9].</w:t>
      </w:r>
    </w:p>
    <w:bookmarkEnd w:id="72"/>
    <w:bookmarkStart w:id="73" w:name="d.-what-rationing-costs"/>
    <w:p>
      <w:pPr>
        <w:pStyle w:val="Heading2"/>
      </w:pPr>
      <w:r>
        <w:t xml:space="preserve">D. 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73"/>
    <w:bookmarkStart w:id="74" w:name="e.-pumping-against-the-tests"/>
    <w:p>
      <w:pPr>
        <w:pStyle w:val="Heading2"/>
      </w:pPr>
      <w:r>
        <w:t xml:space="preserve">E. PUMPING AGAINST THE TESTS</w:t>
      </w:r>
    </w:p>
    <w:p>
      <w:pPr>
        <w:pStyle w:val="TableCaption"/>
      </w:pPr>
      <w:r>
        <w:rPr>
          <w:bCs/>
          <w:b/>
        </w:rPr>
        <w:t xml:space="preserve">TABLE 4.</w:t>
      </w:r>
      <w:r>
        <w:t xml:space="preserve"> </w:t>
      </w:r>
      <w:r>
        <w:t xml:space="preserve">Concentrated pumping: how much leaks before the tests contain it.</w:t>
      </w:r>
    </w:p>
    <w:tbl>
      <w:tblPr>
        <w:tblStyle w:val="Table"/>
        <w:tblW w:w="9068" w:type="dxa"/>
        <w:jc w:val="center"/>
        <w:tblLayout w:type="fixed"/>
        <w:tblCellMar>
          <w:left w:w="57" w:type="dxa"/>
          <w:right w:w="57" w:type="dxa"/>
        </w:tblCellMar>
        <w:tblLook w:firstRow="0" w:lastRow="0" w:firstColumn="0" w:lastColumn="0" w:noHBand="0" w:noVBand="0" w:val="0000"/>
        <w:tblCaption w:val="TABLE 4. Concentrated pumping: how much leaks before the tests contain it."/>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4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74"/>
    <w:bookmarkStart w:id="87" w:name="f.-counting-against-testing"/>
    <w:p>
      <w:pPr>
        <w:pStyle w:val="Heading2"/>
      </w:pPr>
      <w:r>
        <w:t xml:space="preserve">F. COUNTING AGAINST TESTING</w:t>
      </w:r>
    </w:p>
    <w:p>
      <w:pPr>
        <w:pStyle w:val="TableCaption"/>
      </w:pPr>
      <w:r>
        <w:rPr>
          <w:bCs/>
          <w:b/>
        </w:rPr>
        <w:t xml:space="preserve">TABLE 5.</w:t>
      </w:r>
      <w:r>
        <w:t xml:space="preserve"> </w:t>
      </w:r>
      <w:r>
        <w:t xml:space="preserve">Counting against testing at the service target.</w:t>
      </w:r>
    </w:p>
    <w:tbl>
      <w:tblPr>
        <w:tblStyle w:val="Table"/>
        <w:tblW w:w="9069" w:type="dxa"/>
        <w:jc w:val="center"/>
        <w:tblLayout w:type="fixed"/>
        <w:tblCellMar>
          <w:left w:w="57" w:type="dxa"/>
          <w:right w:w="57" w:type="dxa"/>
        </w:tblCellMar>
        <w:tblLook w:firstRow="1" w:lastRow="0" w:firstColumn="0" w:lastColumn="0" w:noHBand="0" w:noVBand="0" w:val="0020"/>
        <w:tblCaption w:val="TABLE 5. Counting against testing at the service target."/>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5" w:name="at-a-service-target"/>
    <w:p>
      <w:pPr>
        <w:pStyle w:val="Heading3"/>
      </w:pPr>
      <w:r>
        <w:t xml:space="preserve">1) AT A SERVICE TARGET</w:t>
      </w:r>
    </w:p>
    <w:p>
      <w:pPr>
        <w:pStyle w:val="FirstParagraph"/>
      </w:pPr>
      <w:r>
        <w:t xml:space="preserve">Table 5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A setting is named by its rule, threshold and credit, so</w:t>
      </w:r>
      <w:r>
        <w:t xml:space="preserve"> </w:t>
      </w:r>
      <w:r>
        <w:rPr>
          <w:iCs/>
          <w:i/>
        </w:rPr>
        <w:t xml:space="preserve">T</w:t>
      </w:r>
      <w:r>
        <w:t xml:space="preserve">300,</w:t>
      </w:r>
      <w:r>
        <w:t xml:space="preserve"> </w:t>
      </w:r>
      <w:r>
        <w:rPr>
          <w:iCs/>
          <w:i/>
        </w:rPr>
        <w:t xml:space="preserve">c</w:t>
      </w:r>
      <w:r>
        <w:t xml:space="preserve">0 is the test with threshold 300 and no credit; every setting of the grid is listed in</w:t>
      </w:r>
      <w:r>
        <w:t xml:space="preserve"> </w:t>
      </w:r>
      <w:r>
        <w:rPr>
          <w:rStyle w:val="VerbatimChar"/>
        </w:rPr>
        <w:t xml:space="preserve">results/ figure1_key.md</w:t>
      </w:r>
      <w:r>
        <w:t xml:space="preserve">. Paired per seed against the default tests, the selected counter leaked 66 [47, 89] fewer messages against the never-verifying carrier, 428 [340, 515] fewer against the human-like one and 58 [39, 79] fewer against the challenge buyer, and 6 [3, 7] more against the instant verifier; the sequential setting selected at the tuning target leaked 327 [241, 408] fewer against the human-like carrier and 2 to 7 fewer against the other three; the daily counter leaked 44 [3, 84] fewer against the human-like carrier and 229 to 391 more against the rest.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TableCaption"/>
      </w:pPr>
      <w:r>
        <w:rPr>
          <w:bCs/>
          <w:b/>
        </w:rPr>
        <w:t xml:space="preserve">TABLE 6.</w:t>
      </w:r>
      <w:r>
        <w:t xml:space="preserve"> </w:t>
      </w:r>
      <w:r>
        <w:t xml:space="preserve">The frozen counter on seeds and workloads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6. The frozen counter on seeds and workloads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5"/>
    <w:bookmarkStart w:id="76" w:name="on-held-out-traffic"/>
    <w:p>
      <w:pPr>
        <w:pStyle w:val="Heading3"/>
      </w:pPr>
      <w:r>
        <w:t xml:space="preserve">2) ON HELD-OUT TRAFFIC</w:t>
      </w:r>
    </w:p>
    <w:p>
      <w:pPr>
        <w:pStyle w:val="FirstParagraph"/>
      </w:pPr>
      <w:r>
        <w:t xml:space="preserve">Table 6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7.</w:t>
      </w:r>
      <w:r>
        <w:t xml:space="preserve"> </w:t>
      </w:r>
      <w: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7.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8.</w:t>
      </w:r>
      <w:r>
        <w:t xml:space="preserve"> </w:t>
      </w:r>
      <w:r>
        <w:t xml:space="preserve">A poisoner on every block: what users lose.</w:t>
      </w:r>
    </w:p>
    <w:tbl>
      <w:tblPr>
        <w:tblStyle w:val="Table"/>
        <w:tblW w:w="9070" w:type="dxa"/>
        <w:jc w:val="center"/>
        <w:tblLayout w:type="fixed"/>
        <w:tblCellMar>
          <w:left w:w="57" w:type="dxa"/>
          <w:right w:w="57" w:type="dxa"/>
        </w:tblCellMar>
        <w:tblLook w:firstRow="0" w:lastRow="0" w:firstColumn="0" w:lastColumn="0" w:noHBand="0" w:noVBand="0" w:val="0000"/>
        <w:tblCaption w:val="TABLE 8. A poisoner on every block: what users lose."/>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7 and 8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7 and for all users’ extra harm in Table 8. In Table 7,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8)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76"/>
    <w:bookmarkStart w:id="86" w:name="the-counters-boundary"/>
    <w:p>
      <w:pPr>
        <w:pStyle w:val="Heading3"/>
      </w:pPr>
      <w:r>
        <w:t xml:space="preserve">3) THE COUNTER’S BOUNDARY</w:t>
      </w:r>
    </w:p>
    <w:p>
      <w:pPr>
        <w:pStyle w:val="FirstParagraph"/>
      </w:pPr>
      <w:r>
        <w:t xml:space="preserve">Figures 6–8 show the counter’s operating boundary (E4, seeds 300–304). In each, a point is the mean over five seeds and its error bar the 95% interval, lines join the sampled settings without locating a crossover, and the horizontal axis is logarithmic. Figure 6 plots the attributable loss of the three hot blocks’ users, in points of completion, against the legitimate rate on those blocks, from one half to eight sends per block per ten minutes, with 70% of users reachable on WhatsApp; the hollow markers are attack-free runs, the filled ones have a never-verifying pumper on the same blocks, and the dotted vertical line is the counter’s quota of four sends per ten minutes.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3946421"/>
            <wp:effectExtent b="0" l="0" r="0" t="0"/>
            <wp:docPr descr="" title="" id="78" name="Picture"/>
            <a:graphic>
              <a:graphicData uri="http://schemas.openxmlformats.org/drawingml/2006/picture">
                <pic:pic>
                  <pic:nvPicPr>
                    <pic:cNvPr descr="figures/fig7a_service.png" id="79" name="Picture"/>
                    <pic:cNvPicPr>
                      <a:picLocks noChangeArrowheads="1" noChangeAspect="1"/>
                    </pic:cNvPicPr>
                  </pic:nvPicPr>
                  <pic:blipFill>
                    <a:blip r:embed="rId77"/>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What the counter costs the users of a busy block.</w:t>
      </w:r>
    </w:p>
    <w:p>
      <w:pPr>
        <w:pStyle w:val="BodyText"/>
      </w:pPr>
      <w:r>
        <w:t xml:space="preserve">Figures 7 and 8 plot the messages a pumper got through against the number of blocks it spread over, 3 to 300, on logarithmic axes. Figure 7 covers a 20-minute attack under no policy, the default tests and the selected counter, for a pumper at full rate (solid lines) and for one paced to the counter’s quota (dashed); a paced pumper leaks under no policy what it leaks under the counter, to within two messages, so that line is not drawn. At full rate the counter leaked 25 and 81 messages on 3 and 10 blocks where the tests leaked 110 and 144, the two leaked about the same on 30 blocks (235 against 242), and from 100 blocks on both approached the no-policy line of about 700. Paced to the quota, the pumper leaked under the counter about what the quota allows and what it would leak with no policy, 24 messages on three blocks in twenty minutes and 71 in an hour, and a little less under the tests, 23 on three blocks and 509 against 579 on 100.</w:t>
      </w:r>
    </w:p>
    <w:p>
      <w:pPr>
        <w:pStyle w:val="CaptionedFigure"/>
      </w:pPr>
      <w:r>
        <w:drawing>
          <wp:inline>
            <wp:extent cx="5334000" cy="3946421"/>
            <wp:effectExtent b="0" l="0" r="0" t="0"/>
            <wp:docPr descr="" title="" id="81" name="Picture"/>
            <a:graphic>
              <a:graphicData uri="http://schemas.openxmlformats.org/drawingml/2006/picture">
                <pic:pic>
                  <pic:nvPicPr>
                    <pic:cNvPr descr="figures/fig7b_security20.png" id="82" name="Picture"/>
                    <pic:cNvPicPr>
                      <a:picLocks noChangeArrowheads="1" noChangeAspect="1"/>
                    </pic:cNvPicPr>
                  </pic:nvPicPr>
                  <pic:blipFill>
                    <a:blip r:embed="rId80"/>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Leakage in twenty minutes against the blocks a pumper spreads over.</w:t>
      </w:r>
    </w:p>
    <w:p>
      <w:pPr>
        <w:pStyle w:val="BodyText"/>
      </w:pPr>
      <w:r>
        <w:t xml:space="preserve">Figure 8 sets the hour-long attack at full rate against the estimates of Section III-G, computed from each run’s offered requests, offered rate and the configured timeouts, nothing fitted: Equation (2) for the tests and Equations (3) and (4) for the counter’s cold- and warm-start bounds, drawn with hollow markers on dotted lines (the 20-minute estimates are in</w:t>
      </w:r>
      <w:r>
        <w:t xml:space="preserve"> </w:t>
      </w:r>
      <w:r>
        <w:rPr>
          <w:rStyle w:val="VerbatimChar"/>
        </w:rPr>
        <w:t xml:space="preserve">results/ condition_check.json</w:t>
      </w:r>
      <w:r>
        <w:t xml:space="preserve">). Over 60 minutes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w:t>
      </w:r>
    </w:p>
    <w:p>
      <w:pPr>
        <w:pStyle w:val="CaptionedFigure"/>
      </w:pPr>
      <w:r>
        <w:drawing>
          <wp:inline>
            <wp:extent cx="5334000" cy="3946421"/>
            <wp:effectExtent b="0" l="0" r="0" t="0"/>
            <wp:docPr descr="" title="" id="84" name="Picture"/>
            <a:graphic>
              <a:graphicData uri="http://schemas.openxmlformats.org/drawingml/2006/picture">
                <pic:pic>
                  <pic:nvPicPr>
                    <pic:cNvPr descr="figures/fig7c_security60.png" id="85" name="Picture"/>
                    <pic:cNvPicPr>
                      <a:picLocks noChangeArrowheads="1" noChangeAspect="1"/>
                    </pic:cNvPicPr>
                  </pic:nvPicPr>
                  <pic:blipFill>
                    <a:blip r:embed="rId83"/>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Leakage in an hour, measured and estimated from the rules.</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86"/>
    <w:bookmarkEnd w:id="87"/>
    <w:bookmarkStart w:id="88" w:name="g.-the-cost-to-legitimate-users"/>
    <w:p>
      <w:pPr>
        <w:pStyle w:val="Heading2"/>
      </w:pPr>
      <w:r>
        <w:t xml:space="preserve">G. 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88"/>
    <w:bookmarkStart w:id="89" w:name="h.-adaptation-economics-and-overhead"/>
    <w:p>
      <w:pPr>
        <w:pStyle w:val="Heading2"/>
      </w:pPr>
      <w:r>
        <w:t xml:space="preserve">H. ADAPTATION,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we measured sends at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89"/>
    <w:bookmarkEnd w:id="90"/>
    <w:bookmarkStart w:id="91" w:name="vi.-discussion"/>
    <w:p>
      <w:pPr>
        <w:pStyle w:val="Heading1"/>
      </w:pPr>
      <w:r>
        <w:t xml:space="preserve">VI. 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while over longer campaigns verdicts expire and the tests leak again. Equation (5) summarizes this for pumpers that solve no challenge and hold no exemption; its inputs are in an operator’s logs, whereas the cost of an excess send, competition under attack and exemption abuse come only from the simulation. Table 9 sets the seven designs of Section IV against the nine source-side attackers on the same traffic and seeds, with source caps lifted so that only the behavioral layers act (intervals in supplementary Table S1); each design adds one thing to the baseline, and the table says what it bought. Correcting the platform header alone changed only the forged-header attack, from 100% to 99.5%, because that attacker is the farm with a header. Sessions and a hard budget removed the single client’s leakage (5.6% to 0.3%) and cut the premium pumper’s from 99.4% to 94.9%. A refusing counter of five sends per block a day held the premium pumper and the walked numbers, the two attacks that concentrate on a few blocks, to 1%. The behavioral layers of v2 removed datacenter rotation (69% to 0) and most of the reused profile (99.5% to 22.5%), and the two block tests differ only on the walked numbers (11.5% against 13.3%). No design separates the residential bot (37.2%) or the farm (99.5%); those are held only by the adaptive caps of Table 3, at the price Section V-D reports. On the destination, against the never-verifying pumper v1 leaked 570 messages, the default tests 90 and the selected counter 24, and under the shared-block pumper of Table 7 the counter leaked 403 where the default tests leaked 1 149 and no policy 5 509, neither policy costing all users anything on average.</w:t>
      </w:r>
    </w:p>
    <w:p>
      <w:pPr>
        <w:pStyle w:val="TableCaption"/>
      </w:pPr>
      <w:r>
        <w:rPr>
          <w:bCs/>
          <w:b/>
        </w:rPr>
        <w:t xml:space="preserve">TABLE 9.</w:t>
      </w:r>
      <w:r>
        <w:t xml:space="preserve"> </w:t>
      </w:r>
      <w:r>
        <w:t xml:space="preserve">Every design against every source-side attacker, caps lifted.</w:t>
      </w:r>
    </w:p>
    <w:tbl>
      <w:tblPr>
        <w:tblStyle w:val="Table"/>
        <w:tblW w:w="9068" w:type="dxa"/>
        <w:jc w:val="center"/>
        <w:tblLayout w:type="fixed"/>
        <w:tblCellMar>
          <w:left w:w="57" w:type="dxa"/>
          <w:right w:w="57" w:type="dxa"/>
        </w:tblCellMar>
        <w:tblLook w:firstRow="1" w:lastRow="0" w:firstColumn="0" w:lastColumn="0" w:noHBand="0" w:noVBand="0" w:val="0020"/>
        <w:tblCaption w:val="TABLE 9. Every design against every source-side attacker, caps lifted."/>
      </w:tblPr>
      <w:tblGrid>
        <w:gridCol w:w="2761"/>
        <w:gridCol w:w="920"/>
        <w:gridCol w:w="920"/>
        <w:gridCol w:w="1051"/>
        <w:gridCol w:w="788"/>
        <w:gridCol w:w="920"/>
        <w:gridCol w:w="920"/>
        <w:gridCol w:w="788"/>
      </w:tblGrid>
      <w:tr>
        <w:trPr>
          <w:tblHeader w:val="true"/>
        </w:trPr>
        <w:tc>
          <w:tcPr>
            <w:tcW w:w="2761" w:type="dxa"/>
            <w:tcBorders>
              <w:top w:val="single" w:sz="8" w:color="000000"/>
              <w:bottom w:val="single" w:sz="4" w:color="000000"/>
            </w:tcBorders>
          </w:tcPr>
          <w:p>
            <w:pPr>
              <w:pStyle w:val="Compact"/>
              <w:spacing w:line="240" w:lineRule="auto" w:after="0"/>
              <w:jc w:val="left"/>
            </w:pPr>
            <w:r>
              <w:rPr>
                <w:sz w:val="17"/>
              </w:rPr>
              <w:t xml:space="preserve">Attacker</w:t>
            </w:r>
          </w:p>
        </w:tc>
        <w:tc>
          <w:tcPr>
            <w:tcW w:w="920" w:type="dxa"/>
            <w:tcBorders>
              <w:top w:val="single" w:sz="8" w:color="000000"/>
              <w:bottom w:val="single" w:sz="4" w:color="000000"/>
            </w:tcBorders>
          </w:tcPr>
          <w:p>
            <w:pPr>
              <w:pStyle w:val="Compact"/>
              <w:spacing w:line="240" w:lineRule="auto" w:after="0"/>
              <w:jc w:val="right"/>
            </w:pPr>
            <w:r>
              <w:rPr>
                <w:sz w:val="17"/>
              </w:rPr>
              <w:t xml:space="preserve">v1</w:t>
            </w:r>
          </w:p>
        </w:tc>
        <w:tc>
          <w:tcPr>
            <w:tcW w:w="920" w:type="dxa"/>
            <w:tcBorders>
              <w:top w:val="single" w:sz="8" w:color="000000"/>
              <w:bottom w:val="single" w:sz="4" w:color="000000"/>
            </w:tcBorders>
          </w:tcPr>
          <w:p>
            <w:pPr>
              <w:pStyle w:val="Compact"/>
              <w:spacing w:line="240" w:lineRule="auto" w:after="0"/>
              <w:jc w:val="right"/>
            </w:pPr>
            <w:r>
              <w:rPr>
                <w:sz w:val="17"/>
              </w:rPr>
              <w:t xml:space="preserve">v1-c.</w:t>
            </w:r>
          </w:p>
        </w:tc>
        <w:tc>
          <w:tcPr>
            <w:tcW w:w="1051" w:type="dxa"/>
            <w:tcBorders>
              <w:top w:val="single" w:sz="8" w:color="000000"/>
              <w:bottom w:val="single" w:sz="4" w:color="000000"/>
            </w:tcBorders>
          </w:tcPr>
          <w:p>
            <w:pPr>
              <w:pStyle w:val="Compact"/>
              <w:spacing w:line="240" w:lineRule="auto" w:after="0"/>
              <w:jc w:val="right"/>
            </w:pPr>
            <w:r>
              <w:rPr>
                <w:sz w:val="17"/>
              </w:rPr>
              <w:t xml:space="preserve">budget</w:t>
            </w:r>
          </w:p>
        </w:tc>
        <w:tc>
          <w:tcPr>
            <w:tcW w:w="788" w:type="dxa"/>
            <w:tcBorders>
              <w:top w:val="single" w:sz="8" w:color="000000"/>
              <w:bottom w:val="single" w:sz="4" w:color="000000"/>
            </w:tcBorders>
          </w:tcPr>
          <w:p>
            <w:pPr>
              <w:pStyle w:val="Compact"/>
              <w:spacing w:line="240" w:lineRule="auto" w:after="0"/>
              <w:jc w:val="right"/>
            </w:pPr>
            <w:r>
              <w:rPr>
                <w:sz w:val="17"/>
              </w:rPr>
              <w:t xml:space="preserve">BL</w:t>
            </w:r>
          </w:p>
        </w:tc>
        <w:tc>
          <w:tcPr>
            <w:tcW w:w="920" w:type="dxa"/>
            <w:tcBorders>
              <w:top w:val="single" w:sz="8" w:color="000000"/>
              <w:bottom w:val="single" w:sz="4" w:color="000000"/>
            </w:tcBorders>
          </w:tcPr>
          <w:p>
            <w:pPr>
              <w:pStyle w:val="Compact"/>
              <w:spacing w:line="240" w:lineRule="auto" w:after="0"/>
              <w:jc w:val="right"/>
            </w:pPr>
            <w:r>
              <w:rPr>
                <w:sz w:val="17"/>
              </w:rPr>
              <w:t xml:space="preserve">conv.</w:t>
            </w:r>
          </w:p>
        </w:tc>
        <w:tc>
          <w:tcPr>
            <w:tcW w:w="920" w:type="dxa"/>
            <w:tcBorders>
              <w:top w:val="single" w:sz="8" w:color="000000"/>
              <w:bottom w:val="single" w:sz="4" w:color="000000"/>
            </w:tcBorders>
          </w:tcPr>
          <w:p>
            <w:pPr>
              <w:pStyle w:val="Compact"/>
              <w:spacing w:line="240" w:lineRule="auto" w:after="0"/>
              <w:jc w:val="right"/>
            </w:pPr>
            <w:r>
              <w:rPr>
                <w:sz w:val="17"/>
              </w:rPr>
              <w:t xml:space="preserve">speed</w:t>
            </w:r>
          </w:p>
        </w:tc>
        <w:tc>
          <w:tcPr>
            <w:tcW w:w="788" w:type="dxa"/>
            <w:tcBorders>
              <w:top w:val="single" w:sz="8" w:color="000000"/>
              <w:bottom w:val="single" w:sz="4" w:color="000000"/>
            </w:tcBorders>
          </w:tcPr>
          <w:p>
            <w:pPr>
              <w:pStyle w:val="Compact"/>
              <w:spacing w:line="240" w:lineRule="auto" w:after="0"/>
              <w:jc w:val="right"/>
            </w:pPr>
            <w:r>
              <w:rPr>
                <w:sz w:val="17"/>
              </w:rPr>
              <w:t xml:space="preserve">v2</w:t>
            </w:r>
          </w:p>
        </w:tc>
      </w:tr>
      <w:tr>
        <w:tc>
          <w:tcPr>
            <w:tcW w:w="2761" w:type="dxa"/>
          </w:tcPr>
          <w:p>
            <w:pPr>
              <w:pStyle w:val="Compact"/>
              <w:spacing w:line="240" w:lineRule="auto" w:after="0"/>
              <w:jc w:val="left"/>
            </w:pPr>
            <w:r>
              <w:rPr>
                <w:sz w:val="17"/>
              </w:rPr>
              <w:t xml:space="preserve">Single client</w:t>
            </w:r>
          </w:p>
        </w:tc>
        <w:tc>
          <w:tcPr>
            <w:tcW w:w="920" w:type="dxa"/>
          </w:tcPr>
          <w:p>
            <w:pPr>
              <w:pStyle w:val="Compact"/>
              <w:spacing w:line="240" w:lineRule="auto" w:after="0"/>
              <w:jc w:val="right"/>
            </w:pPr>
            <w:r>
              <w:rPr>
                <w:sz w:val="17"/>
              </w:rPr>
              <w:t xml:space="preserve">5.6</w:t>
            </w:r>
          </w:p>
        </w:tc>
        <w:tc>
          <w:tcPr>
            <w:tcW w:w="920" w:type="dxa"/>
          </w:tcPr>
          <w:p>
            <w:pPr>
              <w:pStyle w:val="Compact"/>
              <w:spacing w:line="240" w:lineRule="auto" w:after="0"/>
              <w:jc w:val="right"/>
            </w:pPr>
            <w:r>
              <w:rPr>
                <w:sz w:val="17"/>
              </w:rPr>
              <w:t xml:space="preserve">5.6</w:t>
            </w:r>
          </w:p>
        </w:tc>
        <w:tc>
          <w:tcPr>
            <w:tcW w:w="1051"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r>
      <w:tr>
        <w:tc>
          <w:tcPr>
            <w:tcW w:w="2761" w:type="dxa"/>
          </w:tcPr>
          <w:p>
            <w:pPr>
              <w:pStyle w:val="Compact"/>
              <w:spacing w:line="240" w:lineRule="auto" w:after="0"/>
              <w:jc w:val="left"/>
            </w:pPr>
            <w:r>
              <w:rPr>
                <w:sz w:val="17"/>
              </w:rPr>
              <w:t xml:space="preserve">Datacenter rotation</w:t>
            </w:r>
          </w:p>
        </w:tc>
        <w:tc>
          <w:tcPr>
            <w:tcW w:w="920"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69.0</w:t>
            </w:r>
          </w:p>
        </w:tc>
        <w:tc>
          <w:tcPr>
            <w:tcW w:w="1051" w:type="dxa"/>
          </w:tcPr>
          <w:p>
            <w:pPr>
              <w:pStyle w:val="Compact"/>
              <w:spacing w:line="240" w:lineRule="auto" w:after="0"/>
              <w:jc w:val="right"/>
            </w:pPr>
            <w:r>
              <w:rPr>
                <w:sz w:val="17"/>
              </w:rPr>
              <w:t xml:space="preserve">69.0</w:t>
            </w:r>
          </w:p>
        </w:tc>
        <w:tc>
          <w:tcPr>
            <w:tcW w:w="788"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Premium pumping</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94.9</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Sequential numbers</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99.4</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11.5</w:t>
            </w:r>
          </w:p>
        </w:tc>
        <w:tc>
          <w:tcPr>
            <w:tcW w:w="920" w:type="dxa"/>
          </w:tcPr>
          <w:p>
            <w:pPr>
              <w:pStyle w:val="Compact"/>
              <w:spacing w:line="240" w:lineRule="auto" w:after="0"/>
              <w:jc w:val="right"/>
            </w:pPr>
            <w:r>
              <w:rPr>
                <w:sz w:val="17"/>
              </w:rPr>
              <w:t xml:space="preserve">13.3</w:t>
            </w:r>
          </w:p>
        </w:tc>
        <w:tc>
          <w:tcPr>
            <w:tcW w:w="788" w:type="dxa"/>
          </w:tcPr>
          <w:p>
            <w:pPr>
              <w:pStyle w:val="Compact"/>
              <w:spacing w:line="240" w:lineRule="auto" w:after="0"/>
              <w:jc w:val="right"/>
            </w:pPr>
            <w:r>
              <w:rPr>
                <w:sz w:val="17"/>
              </w:rPr>
              <w:t xml:space="preserve">11.5</w:t>
            </w:r>
          </w:p>
        </w:tc>
      </w:tr>
      <w:tr>
        <w:tc>
          <w:tcPr>
            <w:tcW w:w="2761" w:type="dxa"/>
          </w:tcPr>
          <w:p>
            <w:pPr>
              <w:pStyle w:val="Compact"/>
              <w:spacing w:line="240" w:lineRule="auto" w:after="0"/>
              <w:jc w:val="left"/>
            </w:pPr>
            <w:r>
              <w:rPr>
                <w:sz w:val="17"/>
              </w:rPr>
              <w:t xml:space="preserve">Reused profile</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22.5</w:t>
            </w:r>
          </w:p>
        </w:tc>
        <w:tc>
          <w:tcPr>
            <w:tcW w:w="920" w:type="dxa"/>
          </w:tcPr>
          <w:p>
            <w:pPr>
              <w:pStyle w:val="Compact"/>
              <w:spacing w:line="240" w:lineRule="auto" w:after="0"/>
              <w:jc w:val="right"/>
            </w:pPr>
            <w:r>
              <w:rPr>
                <w:sz w:val="17"/>
              </w:rPr>
              <w:t xml:space="preserve">22.5</w:t>
            </w:r>
          </w:p>
        </w:tc>
        <w:tc>
          <w:tcPr>
            <w:tcW w:w="788" w:type="dxa"/>
          </w:tcPr>
          <w:p>
            <w:pPr>
              <w:pStyle w:val="Compact"/>
              <w:spacing w:line="240" w:lineRule="auto" w:after="0"/>
              <w:jc w:val="right"/>
            </w:pPr>
            <w:r>
              <w:rPr>
                <w:sz w:val="17"/>
              </w:rPr>
              <w:t xml:space="preserve">22.5</w:t>
            </w:r>
          </w:p>
        </w:tc>
      </w:tr>
      <w:tr>
        <w:tc>
          <w:tcPr>
            <w:tcW w:w="2761" w:type="dxa"/>
          </w:tcPr>
          <w:p>
            <w:pPr>
              <w:pStyle w:val="Compact"/>
              <w:spacing w:line="240" w:lineRule="auto" w:after="0"/>
              <w:jc w:val="left"/>
            </w:pPr>
            <w:r>
              <w:rPr>
                <w:sz w:val="17"/>
              </w:rPr>
              <w:t xml:space="preserve">Residential bot</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1051"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r>
      <w:tr>
        <w:tc>
          <w:tcPr>
            <w:tcW w:w="2761" w:type="dxa"/>
          </w:tcPr>
          <w:p>
            <w:pPr>
              <w:pStyle w:val="Compact"/>
              <w:spacing w:line="240" w:lineRule="auto" w:after="0"/>
              <w:jc w:val="left"/>
            </w:pPr>
            <w:r>
              <w:rPr>
                <w:sz w:val="17"/>
              </w:rPr>
              <w:t xml:space="preserve">Farmed CAPTCHA</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Pr>
          <w:p>
            <w:pPr>
              <w:pStyle w:val="Compact"/>
              <w:spacing w:line="240" w:lineRule="auto" w:after="0"/>
              <w:jc w:val="left"/>
            </w:pPr>
            <w:r>
              <w:rPr>
                <w:sz w:val="17"/>
              </w:rPr>
              <w:t xml:space="preserve">Aged fingerprints</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Borders>
              <w:bottom w:val="single" w:sz="8" w:color="000000"/>
            </w:tcBorders>
          </w:tcPr>
          <w:p>
            <w:pPr>
              <w:pStyle w:val="Compact"/>
              <w:spacing w:line="240" w:lineRule="auto" w:after="0"/>
              <w:jc w:val="left"/>
            </w:pPr>
            <w:r>
              <w:rPr>
                <w:sz w:val="17"/>
              </w:rPr>
              <w:t xml:space="preserve">Forged header</w:t>
            </w:r>
          </w:p>
        </w:tc>
        <w:tc>
          <w:tcPr>
            <w:tcW w:w="920" w:type="dxa"/>
            <w:tcBorders>
              <w:bottom w:val="single" w:sz="8" w:color="000000"/>
            </w:tcBorders>
          </w:tcPr>
          <w:p>
            <w:pPr>
              <w:pStyle w:val="Compact"/>
              <w:spacing w:line="240" w:lineRule="auto" w:after="0"/>
              <w:jc w:val="right"/>
            </w:pPr>
            <w:r>
              <w:rPr>
                <w:sz w:val="17"/>
              </w:rPr>
              <w:t xml:space="preserve">100.0</w:t>
            </w:r>
          </w:p>
        </w:tc>
        <w:tc>
          <w:tcPr>
            <w:tcW w:w="920" w:type="dxa"/>
            <w:tcBorders>
              <w:bottom w:val="single" w:sz="8" w:color="000000"/>
            </w:tcBorders>
          </w:tcPr>
          <w:p>
            <w:pPr>
              <w:pStyle w:val="Compact"/>
              <w:spacing w:line="240" w:lineRule="auto" w:after="0"/>
              <w:jc w:val="right"/>
            </w:pPr>
            <w:r>
              <w:rPr>
                <w:sz w:val="17"/>
              </w:rPr>
              <w:t xml:space="preserve">99.5</w:t>
            </w:r>
          </w:p>
        </w:tc>
        <w:tc>
          <w:tcPr>
            <w:tcW w:w="1051"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r>
    </w:tbl>
    <w:p>
      <w:pPr>
        <w:pStyle w:val="BodyText"/>
      </w:pPr>
      <w:r>
        <w:t xml:space="preserve">The nearest external work, set out in Table 1, can be compared only on what each needs and reports, since none ran on the same traffic. Huh et al. [4] report 89.6% recall at 0.19% false positives for a supervised model on one service’s real logs; the attack it targets, a few requests per identity over many fresh identities, is the farm here, which our layers do not separate and the caps only ration, at 54% of first-time users refused, while what the layers contain without labels are the attacks with a signature in the request and most of the reused profile. Zaliskyi and Odarchenko [8] report that fixed-window prefix counts blocked 95% and 63% of two incidents at the price of 58% of a legitimate campaign; our graded counter is the same family of control, a ten-minute window on a 10 000-number block with a challenge rather than a 24-hour quarantine, and it leaked 24 of about 574 requests from each outcome-reading pumper at an attack-free cost of 0.06 points of completion, on simulated traffic with no campaigns in it, and failed its service claims on blocks the attacker shares. Twilio’s products report claimed false-positive rates and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p>
      <w:pPr>
        <w:pStyle w:val="BodyText"/>
      </w:pPr>
      <w:r>
        <w:t xml:space="preserve">The limitations follow from the method. We simulated everything and assumed the calibration, and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91"/>
    <w:bookmarkStart w:id="92" w:name="vii.-conclusion"/>
    <w:p>
      <w:pPr>
        <w:pStyle w:val="Heading1"/>
      </w:pPr>
      <w:r>
        <w:t xml:space="preserve">VII. CONCLUSION</w:t>
      </w:r>
    </w:p>
    <w:p>
      <w:pPr>
        <w:pStyle w:val="FirstParagraph"/>
      </w:pPr>
      <w:r>
        <w:t xml:space="preserve">In this work we asked which of two label-free destination signals a service that verifies phone numbers by SMS should act on when a pumper is paid on the destination, and we answered it in simulation, inside a twelve-step defense evaluated against a seven-control baseline, five simpler designs and 25 attacker profiles under two protocols committed before their runs. The design contains the attacks that carry a signature in the request at a low cost to simulated users, while a residential attacker that resembles a person can only be rationed, at a price set by how well the cap tracks the legitimate rate. On the destination, a counter of sends per number block whose quota matches the block’s traffic leaked less than tests of code outcomes against short, concentrated pumping and cost its users less, but it failed its service claims on blocks the attacker shares and lost its advantage against paced or widely spread pumpers; estimates derived from the rules alone ordered the two policies in 18 of 18 decisive cells. Every number describes scripted attackers and simulated users under assumed calibration, and close rankings rest on ten or fewer seeds. Replaying real traffic is the experiment this work most needs; the policies left outside the evaluation, per-client quotas within a block, bounded exemptions, tuned token buckets and time-uniform statistics, could then be compared under the same protocols.</w:t>
      </w:r>
    </w:p>
    <w:bookmarkEnd w:id="92"/>
    <w:bookmarkStart w:id="93" w:name="acknowledgment"/>
    <w:p>
      <w:pPr>
        <w:pStyle w:val="Heading1"/>
      </w:pPr>
      <w:r>
        <w:t xml:space="preserve">ACKNOWLEDGMENT</w:t>
      </w:r>
    </w:p>
    <w:p>
      <w:pPr>
        <w:pStyle w:val="FirstParagraph"/>
      </w:pPr>
      <w:r>
        <w:t xml:space="preserve">The author used Claude (Anthropic) for code, evaluation, drafting and editing, checked every number against the recorded results and every claim against the code, and takes full responsibility for the content.</w:t>
      </w:r>
    </w:p>
    <w:bookmarkEnd w:id="93"/>
    <w:bookmarkStart w:id="94" w:name="funding-and-competing-interests"/>
    <w:p>
      <w:pPr>
        <w:pStyle w:val="Heading1"/>
      </w:pPr>
      <w:r>
        <w:t xml:space="preserve">FUNDING AND COMPETING INTERESTS</w:t>
      </w:r>
    </w:p>
    <w:p>
      <w:pPr>
        <w:pStyle w:val="FirstParagraph"/>
      </w:pPr>
      <w:r>
        <w:t xml:space="preserve">No funding was received for this work. The author has no competing interests to declare.</w:t>
      </w:r>
    </w:p>
    <w:bookmarkEnd w:id="94"/>
    <w:bookmarkStart w:id="96"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95">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6"/>
    <w:bookmarkStart w:id="105"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w:t>
      </w:r>
      <w:r>
        <w:rPr>
          <w:sz w:val="20"/>
          <w:szCs w:val="20"/>
        </w:rPr>
        <w:t xml:space="preserve"> </w:t>
      </w:r>
      <w:r>
        <w:rPr>
          <w:sz w:val="20"/>
          <w:szCs w:val="20"/>
        </w:rPr>
        <w:t xml:space="preserve">“</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w:t>
      </w:r>
      <w:r>
        <w:rPr>
          <w:sz w:val="20"/>
          <w:szCs w:val="20"/>
        </w:rPr>
        <w:t xml:space="preserve"> </w:t>
      </w:r>
      <w:hyperlink r:id="rId97">
        <w:r>
          <w:rPr>
            <w:rStyle w:val="Hyperlink"/>
            <w:sz w:val="20"/>
            <w:szCs w:val="20"/>
          </w:rPr>
          <w:t xml:space="preserve">https://attack.mitre.org/techniques/T1496/003/</w:t>
        </w:r>
      </w:hyperlink>
      <w:r>
        <w:rPr>
          <w:sz w:val="20"/>
          <w:szCs w:val="20"/>
        </w:rPr>
        <w:t xml:space="preserve">, 2026, accessed 2026-10-01.</w:t>
      </w:r>
    </w:p>
    <w:p>
      <w:pPr>
        <w:pStyle w:val="BodyText"/>
        <w:spacing w:line="240" w:lineRule="auto" w:after="60"/>
        <w:ind w:left="454" w:hanging="454"/>
      </w:pPr>
      <w:r>
        <w:rPr>
          <w:sz w:val="20"/>
          <w:szCs w:val="20"/>
        </w:rPr>
        <w:t>[2] M. Sahin, A. Francillon, P. Gupta, and M. Ahamad,</w:t>
      </w:r>
      <w:r>
        <w:rPr>
          <w:sz w:val="20"/>
          <w:szCs w:val="20"/>
        </w:rPr>
        <w:t xml:space="preserve"> </w:t>
      </w:r>
      <w:r>
        <w:rPr>
          <w:sz w:val="20"/>
          <w:szCs w:val="20"/>
        </w:rPr>
        <w:t xml:space="preserve">“</w:t>
      </w:r>
      <w:r>
        <w:rPr>
          <w:sz w:val="20"/>
          <w:szCs w:val="20"/>
        </w:rPr>
        <w:t xml:space="preserve">SoK</w:t>
      </w:r>
      <w:r>
        <w:rPr>
          <w:sz w:val="20"/>
          <w:szCs w:val="20"/>
        </w:rPr>
        <w:t xml:space="preserve">: Fraud in telephony networks,</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2017 IEEE European Symposium on Security and Privacy (EuroS&amp;P)</w:t>
      </w:r>
      <w:r>
        <w:rPr>
          <w:sz w:val="20"/>
          <w:szCs w:val="20"/>
        </w:rPr>
        <w:t xml:space="preserve">. Paris, France: IEEE, 2017, pp. 235–250, doi: 10.1109/EuroSP.2017.40.</w:t>
      </w:r>
    </w:p>
    <w:p>
      <w:pPr>
        <w:pStyle w:val="BodyText"/>
        <w:spacing w:line="240" w:lineRule="auto" w:after="60"/>
        <w:ind w:left="454" w:hanging="454"/>
      </w:pPr>
      <w:r>
        <w:rPr>
          <w:sz w:val="20"/>
          <w:szCs w:val="20"/>
        </w:rPr>
        <w:t>[3]</w:t>
      </w:r>
      <w:r>
        <w:rPr>
          <w:sz w:val="20"/>
          <w:szCs w:val="20"/>
        </w:rPr>
        <w:t xml:space="preserve"> </w:t>
      </w:r>
      <w:r>
        <w:rPr>
          <w:sz w:val="20"/>
          <w:szCs w:val="20"/>
        </w:rPr>
        <w:t xml:space="preserve">Commsrisk</w:t>
      </w:r>
      <w:r>
        <w:rPr>
          <w:sz w:val="20"/>
          <w:szCs w:val="20"/>
        </w:rPr>
        <w:t xml:space="preserve">,</w:t>
      </w:r>
      <w:r>
        <w:rPr>
          <w:sz w:val="20"/>
          <w:szCs w:val="20"/>
        </w:rPr>
        <w:t xml:space="preserve"> </w:t>
      </w:r>
      <w:r>
        <w:rPr>
          <w:sz w:val="20"/>
          <w:szCs w:val="20"/>
        </w:rPr>
        <w:t xml:space="preserve">“</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w:t>
      </w:r>
      <w:r>
        <w:rPr>
          <w:sz w:val="20"/>
          <w:szCs w:val="20"/>
        </w:rPr>
        <w:t xml:space="preserve"> </w:t>
      </w:r>
      <w:hyperlink r:id="rId98">
        <w:r>
          <w:rPr>
            <w:rStyle w:val="Hyperlink"/>
            <w:sz w:val="20"/>
            <w:szCs w:val="20"/>
          </w:rPr>
          <w:t xml:space="preserve">https://commsrisk.com/elon-musk-says-twitter-lost-60mn-a-year-because-390-telcos-used-bot-accounts-to-pump-a2p-sms/</w:t>
        </w:r>
      </w:hyperlink>
      <w:r>
        <w:rPr>
          <w:sz w:val="20"/>
          <w:szCs w:val="20"/>
        </w:rPr>
        <w:t xml:space="preserve">, 2023, trade press; the figure is the company’s own claim.</w:t>
      </w:r>
    </w:p>
    <w:p>
      <w:pPr>
        <w:pStyle w:val="BodyText"/>
        <w:spacing w:line="240" w:lineRule="auto" w:after="60"/>
        <w:ind w:left="454" w:hanging="454"/>
      </w:pPr>
      <w:r>
        <w:rPr>
          <w:sz w:val="20"/>
          <w:szCs w:val="20"/>
        </w:rPr>
        <w:t>[4] J. H. Huh, H. Shin, S. Ahn, H. Yi, J. Cho, T. Kim, M. Lim, and N. Choi,</w:t>
      </w:r>
      <w:r>
        <w:rPr>
          <w:sz w:val="20"/>
          <w:szCs w:val="20"/>
        </w:rPr>
        <w:t xml:space="preserve"> </w:t>
      </w:r>
      <w:r>
        <w:rPr>
          <w:sz w:val="20"/>
          <w:szCs w:val="20"/>
        </w:rPr>
        <w:t xml:space="preserve">“</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34th USENIX Security Symposium</w:t>
      </w:r>
      <w:r>
        <w:rPr>
          <w:sz w:val="20"/>
          <w:szCs w:val="20"/>
        </w:rPr>
        <w:t xml:space="preserve">. Seattle, WA, USA: USENIX Association, 2025.</w:t>
      </w:r>
    </w:p>
    <w:p>
      <w:pPr>
        <w:pStyle w:val="BodyText"/>
        <w:spacing w:line="240" w:lineRule="auto" w:after="60"/>
        <w:ind w:left="454" w:hanging="454"/>
      </w:pPr>
      <w:r>
        <w:rPr>
          <w:sz w:val="20"/>
          <w:szCs w:val="20"/>
        </w:rPr>
        <w:t>[5] S. Wiefling, L. Lo Iacono, and M. D</w:t>
      </w:r>
      <w:r>
        <w:rPr>
          <w:sz w:val="20"/>
          <w:szCs w:val="20"/>
        </w:rPr>
        <w:t xml:space="preserve">ü</w:t>
      </w:r>
      <w:r>
        <w:rPr>
          <w:sz w:val="20"/>
          <w:szCs w:val="20"/>
        </w:rPr>
        <w:t xml:space="preserve">rmuth,</w:t>
      </w:r>
      <w:r>
        <w:rPr>
          <w:sz w:val="20"/>
          <w:szCs w:val="20"/>
        </w:rPr>
        <w:t xml:space="preserve"> </w:t>
      </w:r>
      <w:r>
        <w:rPr>
          <w:sz w:val="20"/>
          <w:szCs w:val="20"/>
        </w:rPr>
        <w:t xml:space="preserve">“</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ICT Systems Security and Privacy Protection (IFIP SEC 2019)</w:t>
      </w:r>
      <w:r>
        <w:rPr>
          <w:sz w:val="20"/>
          <w:szCs w:val="20"/>
        </w:rPr>
        <w:t xml:space="preserve">, ser. IFIP Advances in Information and Communication Technology, vol. 562. Springer, 2019, pp. 134–148, doi: 10.1007/978-3-030-22312-0_10.</w:t>
      </w:r>
    </w:p>
    <w:p>
      <w:pPr>
        <w:pStyle w:val="BodyText"/>
        <w:spacing w:line="240" w:lineRule="auto" w:after="60"/>
        <w:ind w:left="454" w:hanging="454"/>
      </w:pPr>
      <w:r>
        <w:rPr>
          <w:sz w:val="20"/>
          <w:szCs w:val="20"/>
        </w:rPr>
        <w:t>[6]</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 fraud guard,</w:t>
      </w:r>
      <w:r>
        <w:rPr>
          <w:sz w:val="20"/>
          <w:szCs w:val="20"/>
        </w:rPr>
        <w:t xml:space="preserve">”</w:t>
      </w:r>
      <w:r>
        <w:rPr>
          <w:sz w:val="20"/>
          <w:szCs w:val="20"/>
        </w:rPr>
        <w:t xml:space="preserve"> </w:t>
      </w:r>
      <w:hyperlink r:id="rId99">
        <w:r>
          <w:rPr>
            <w:rStyle w:val="Hyperlink"/>
            <w:sz w:val="20"/>
            <w:szCs w:val="20"/>
          </w:rPr>
          <w:t xml:space="preserve">https://www.twilio.com/docs/verify/preventing-toll-fraud/sms-fraud-guard</w:t>
        </w:r>
      </w:hyperlink>
      <w:r>
        <w:rPr>
          <w:sz w:val="20"/>
          <w:szCs w:val="20"/>
        </w:rPr>
        <w:t xml:space="preserve">, 2026, accessed 2026-10-01.</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100">
        <w:r>
          <w:rPr>
            <w:rStyle w:val="Hyperlink"/>
            <w:sz w:val="20"/>
            <w:szCs w:val="20"/>
          </w:rPr>
          <w:t xml:space="preserve">https://www.twilio.com/docs/lookup/v2-api/sms-pumping-risk</w:t>
        </w:r>
      </w:hyperlink>
      <w:r>
        <w:rPr>
          <w:sz w:val="20"/>
          <w:szCs w:val="20"/>
        </w:rPr>
        <w:t xml:space="preserve">, 2026, accessed 2026-10-01.</w:t>
      </w:r>
    </w:p>
    <w:p>
      <w:pPr>
        <w:pStyle w:val="BodyText"/>
        <w:spacing w:line="240" w:lineRule="auto" w:after="60"/>
        <w:ind w:left="454" w:hanging="454"/>
      </w:pPr>
      <w:r>
        <w:rPr>
          <w:sz w:val="20"/>
          <w:szCs w:val="20"/>
        </w:rPr>
        <w:t>[8] M. Zaliskyi and M. Odarchenko,</w:t>
      </w:r>
      <w:r>
        <w:rPr>
          <w:sz w:val="20"/>
          <w:szCs w:val="20"/>
        </w:rPr>
        <w:t xml:space="preserve"> </w:t>
      </w:r>
      <w:r>
        <w:rPr>
          <w:sz w:val="20"/>
          <w:szCs w:val="20"/>
        </w:rPr>
        <w:t xml:space="preserve">“</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iCs/>
          <w:i/>
          <w:sz w:val="20"/>
          <w:szCs w:val="20"/>
        </w:rPr>
        <w:t xml:space="preserve">Science-Based Technologies</w:t>
      </w:r>
      <w:r>
        <w:rPr>
          <w:sz w:val="20"/>
          <w:szCs w:val="20"/>
        </w:rPr>
        <w:t xml:space="preserve">, vol. 69, no. 1, pp. 89–98, 2026, doi: 10.18372/2310-5461.69.20735.</w:t>
      </w:r>
    </w:p>
    <w:p>
      <w:pPr>
        <w:pStyle w:val="BodyText"/>
        <w:spacing w:line="240" w:lineRule="auto" w:after="60"/>
        <w:ind w:left="454" w:hanging="454"/>
      </w:pPr>
      <w:r>
        <w:rPr>
          <w:sz w:val="20"/>
          <w:szCs w:val="20"/>
        </w:rPr>
        <w:t>[9] J. R. Douceur,</w:t>
      </w:r>
      <w:r>
        <w:rPr>
          <w:sz w:val="20"/>
          <w:szCs w:val="20"/>
        </w:rPr>
        <w:t xml:space="preserve"> </w:t>
      </w:r>
      <w:r>
        <w:rPr>
          <w:sz w:val="20"/>
          <w:szCs w:val="20"/>
        </w:rPr>
        <w:t xml:space="preserve">“</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Peer-to-Peer Systems (IPTPS 2002)</w:t>
      </w:r>
      <w:r>
        <w:rPr>
          <w:sz w:val="20"/>
          <w:szCs w:val="20"/>
        </w:rPr>
        <w:t xml:space="preserve">, ser. LNCS, vol. 2429. Springer, 2002, pp. 251–260, doi: 10.1007/3-540-45748-8_24.</w:t>
      </w:r>
    </w:p>
    <w:p>
      <w:pPr>
        <w:pStyle w:val="BodyText"/>
        <w:spacing w:line="240" w:lineRule="auto" w:after="60"/>
        <w:ind w:left="454" w:hanging="454"/>
      </w:pPr>
      <w:r>
        <w:rPr>
          <w:sz w:val="20"/>
          <w:szCs w:val="20"/>
        </w:rPr>
        <w:t>[10] X. Mi, X. Feng, X. Liao, B. Liu, X. Wang, F. Qian, Z. Li, S. Alrwais, L. Sun, and Y. Liu,</w:t>
      </w:r>
      <w:r>
        <w:rPr>
          <w:sz w:val="20"/>
          <w:szCs w:val="20"/>
        </w:rPr>
        <w:t xml:space="preserve"> </w:t>
      </w:r>
      <w:r>
        <w:rPr>
          <w:sz w:val="20"/>
          <w:szCs w:val="20"/>
        </w:rPr>
        <w:t xml:space="preserve">“</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2019 IEEE Symposium on Security and Privacy (S&amp;P)</w:t>
      </w:r>
      <w:r>
        <w:rPr>
          <w:sz w:val="20"/>
          <w:szCs w:val="20"/>
        </w:rPr>
        <w:t xml:space="preserve">. San Francisco, CA, USA: IEEE, 2019, doi: 10.1109/SP.2019.00011.</w:t>
      </w:r>
    </w:p>
    <w:p>
      <w:pPr>
        <w:pStyle w:val="BodyText"/>
        <w:spacing w:line="240" w:lineRule="auto" w:after="60"/>
        <w:ind w:left="454" w:hanging="454"/>
      </w:pPr>
      <w:r>
        <w:rPr>
          <w:sz w:val="20"/>
          <w:szCs w:val="20"/>
        </w:rPr>
        <w:t>[11] P. Richter, F. Wohlfart, N. Vallina-Rodriguez, M. Allman, R. Bush, A. Feldmann, C. Kreibich, N. Weaver, and V. Paxson,</w:t>
      </w:r>
      <w:r>
        <w:rPr>
          <w:sz w:val="20"/>
          <w:szCs w:val="20"/>
        </w:rPr>
        <w:t xml:space="preserve"> </w:t>
      </w:r>
      <w:r>
        <w:rPr>
          <w:sz w:val="20"/>
          <w:szCs w:val="20"/>
        </w:rPr>
        <w:t xml:space="preserve">“</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Proceedings of the 2016 ACM Internet Measurement Conference (IMC)</w:t>
      </w:r>
      <w:r>
        <w:rPr>
          <w:sz w:val="20"/>
          <w:szCs w:val="20"/>
        </w:rPr>
        <w:t xml:space="preserve">. Santa Monica, CA, USA: ACM, 2016, pp. 215–229, doi: 10.1145/2987443.2987474.</w:t>
      </w:r>
    </w:p>
    <w:p>
      <w:pPr>
        <w:pStyle w:val="BodyText"/>
        <w:spacing w:line="240" w:lineRule="auto" w:after="60"/>
        <w:ind w:left="454" w:hanging="454"/>
      </w:pPr>
      <w:r>
        <w:rPr>
          <w:sz w:val="20"/>
          <w:szCs w:val="20"/>
        </w:rPr>
        <w:t>[12] M. Motoyama, K. Levchenko, C. Kanich, D. McCoy, G. M. Voelker, and S. Savage,</w:t>
      </w:r>
      <w:r>
        <w:rPr>
          <w:sz w:val="20"/>
          <w:szCs w:val="20"/>
        </w:rPr>
        <w:t xml:space="preserve"> </w:t>
      </w:r>
      <w:r>
        <w:rPr>
          <w:sz w:val="20"/>
          <w:szCs w:val="20"/>
        </w:rPr>
        <w:t xml:space="preserve">“</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19th USENIX Security Symposium</w:t>
      </w:r>
      <w:r>
        <w:rPr>
          <w:sz w:val="20"/>
          <w:szCs w:val="20"/>
        </w:rPr>
        <w:t xml:space="preserve">. Washington, DC, USA: USENIX Association, 2010.</w:t>
      </w:r>
    </w:p>
    <w:p>
      <w:pPr>
        <w:pStyle w:val="BodyText"/>
        <w:spacing w:line="240" w:lineRule="auto" w:after="60"/>
        <w:ind w:left="454" w:hanging="454"/>
      </w:pPr>
      <w:r>
        <w:rPr>
          <w:sz w:val="20"/>
          <w:szCs w:val="20"/>
        </w:rPr>
        <w:t>[13] N. Ahmed,</w:t>
      </w:r>
      <w:r>
        <w:rPr>
          <w:sz w:val="20"/>
          <w:szCs w:val="20"/>
        </w:rPr>
        <w:t xml:space="preserve"> </w:t>
      </w:r>
      <w:r>
        <w:rPr>
          <w:sz w:val="20"/>
          <w:szCs w:val="20"/>
        </w:rPr>
        <w:t xml:space="preserve">“</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5">
        <w:r>
          <w:rPr>
            <w:rStyle w:val="Hyperlink"/>
            <w:sz w:val="20"/>
            <w:szCs w:val="20"/>
          </w:rPr>
          <w:t xml:space="preserve">https://github.com/nahmedpsu/OTP-DDOS</w:t>
        </w:r>
      </w:hyperlink>
      <w:r>
        <w:rPr>
          <w:sz w:val="20"/>
          <w:szCs w:val="20"/>
        </w:rPr>
        <w:t xml:space="preserve">, tag v2.9.1, 2026, results produced by 2.9.0 (commit 9af3100), whose executable code 2.9.1 keeps; 2.8.0 results (commit 1c277a0) in results/historical_2.8.</w:t>
      </w:r>
    </w:p>
    <w:p>
      <w:pPr>
        <w:pStyle w:val="BodyText"/>
        <w:spacing w:line="240" w:lineRule="auto" w:after="60"/>
        <w:ind w:left="454" w:hanging="454"/>
      </w:pPr>
      <w:r>
        <w:rPr>
          <w:sz w:val="20"/>
          <w:szCs w:val="20"/>
        </w:rPr>
        <w:t>[14] A. Dionysiou and E. Athanasopoulos,</w:t>
      </w:r>
      <w:r>
        <w:rPr>
          <w:sz w:val="20"/>
          <w:szCs w:val="20"/>
        </w:rPr>
        <w:t xml:space="preserve"> </w:t>
      </w:r>
      <w:r>
        <w:rPr>
          <w:sz w:val="20"/>
          <w:szCs w:val="20"/>
        </w:rPr>
        <w:t xml:space="preserve">“</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97, p. 101947, 2020, doi: 10.1016/j.cose.2020.101947.</w:t>
      </w:r>
    </w:p>
    <w:p>
      <w:pPr>
        <w:pStyle w:val="BodyText"/>
        <w:spacing w:line="240" w:lineRule="auto" w:after="60"/>
        <w:ind w:left="454" w:hanging="454"/>
      </w:pPr>
      <w:r>
        <w:rPr>
          <w:sz w:val="20"/>
          <w:szCs w:val="20"/>
        </w:rPr>
        <w:t>[15] M. Sahin and A. Francillon,</w:t>
      </w:r>
      <w:r>
        <w:rPr>
          <w:sz w:val="20"/>
          <w:szCs w:val="20"/>
        </w:rPr>
        <w:t xml:space="preserve"> </w:t>
      </w:r>
      <w:r>
        <w:rPr>
          <w:sz w:val="20"/>
          <w:szCs w:val="20"/>
        </w:rPr>
        <w:t xml:space="preserve">“</w:t>
      </w:r>
      <w:r>
        <w:rPr>
          <w:sz w:val="20"/>
          <w:szCs w:val="20"/>
        </w:rPr>
        <w:t xml:space="preserve">Understanding and detecting international revenue share fraud,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Network and Distributed System Security Symposium (NDSS)</w:t>
      </w:r>
      <w:r>
        <w:rPr>
          <w:sz w:val="20"/>
          <w:szCs w:val="20"/>
        </w:rPr>
        <w:t xml:space="preserve">. Virtual: Internet Society, 2021, doi: 10.14722/ndss.2021.24051.</w:t>
      </w:r>
    </w:p>
    <w:p>
      <w:pPr>
        <w:pStyle w:val="BodyText"/>
        <w:spacing w:line="240" w:lineRule="auto" w:after="60"/>
        <w:ind w:left="454" w:hanging="454"/>
      </w:pPr>
      <w:r>
        <w:rPr>
          <w:sz w:val="20"/>
          <w:szCs w:val="20"/>
        </w:rPr>
        <w:t>[16] D. Dean and A. Stubblefield,</w:t>
      </w:r>
      <w:r>
        <w:rPr>
          <w:sz w:val="20"/>
          <w:szCs w:val="20"/>
        </w:rPr>
        <w:t xml:space="preserve"> </w:t>
      </w:r>
      <w:r>
        <w:rPr>
          <w:sz w:val="20"/>
          <w:szCs w:val="20"/>
        </w:rPr>
        <w:t xml:space="preserve">“</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10th USENIX Security Symposium</w:t>
      </w:r>
      <w:r>
        <w:rPr>
          <w:sz w:val="20"/>
          <w:szCs w:val="20"/>
        </w:rPr>
        <w:t xml:space="preserve">. Washington, DC, USA: USENIX Association, 2001.</w:t>
      </w:r>
    </w:p>
    <w:p>
      <w:pPr>
        <w:pStyle w:val="BodyText"/>
        <w:spacing w:line="240" w:lineRule="auto" w:after="60"/>
        <w:ind w:left="454" w:hanging="454"/>
      </w:pPr>
      <w:r>
        <w:rPr>
          <w:sz w:val="20"/>
          <w:szCs w:val="20"/>
        </w:rPr>
        <w:t>[17] A. Wald,</w:t>
      </w:r>
      <w:r>
        <w:rPr>
          <w:sz w:val="20"/>
          <w:szCs w:val="20"/>
        </w:rPr>
        <w:t xml:space="preserve"> </w:t>
      </w:r>
      <w:r>
        <w:rPr>
          <w:sz w:val="20"/>
          <w:szCs w:val="20"/>
        </w:rPr>
        <w:t xml:space="preserve">“</w:t>
      </w:r>
      <w:r>
        <w:rPr>
          <w:sz w:val="20"/>
          <w:szCs w:val="20"/>
        </w:rPr>
        <w:t xml:space="preserve">Sequential tests of statistical hypotheses,</w:t>
      </w:r>
      <w:r>
        <w:rPr>
          <w:sz w:val="20"/>
          <w:szCs w:val="20"/>
        </w:rPr>
        <w:t xml:space="preserve">”</w:t>
      </w:r>
      <w:r>
        <w:rPr>
          <w:sz w:val="20"/>
          <w:szCs w:val="20"/>
        </w:rPr>
        <w:t xml:space="preserve"> </w:t>
      </w:r>
      <w:r>
        <w:rPr>
          <w:iCs/>
          <w:i/>
          <w:sz w:val="20"/>
          <w:szCs w:val="20"/>
        </w:rPr>
        <w:t xml:space="preserve">The Annals of Mathematical Statistics</w:t>
      </w:r>
      <w:r>
        <w:rPr>
          <w:sz w:val="20"/>
          <w:szCs w:val="20"/>
        </w:rPr>
        <w:t xml:space="preserve">, vol. 16, no. 2, pp. 117–186, 1945, doi: 10.1214/aoms/1177731118.</w:t>
      </w:r>
    </w:p>
    <w:p>
      <w:pPr>
        <w:pStyle w:val="BodyText"/>
        <w:spacing w:line="240" w:lineRule="auto" w:after="60"/>
        <w:ind w:left="454" w:hanging="454"/>
      </w:pPr>
      <w:r>
        <w:rPr>
          <w:sz w:val="20"/>
          <w:szCs w:val="20"/>
        </w:rPr>
        <w:t>[18] E. S. Page,</w:t>
      </w:r>
      <w:r>
        <w:rPr>
          <w:sz w:val="20"/>
          <w:szCs w:val="20"/>
        </w:rPr>
        <w:t xml:space="preserve"> </w:t>
      </w:r>
      <w:r>
        <w:rPr>
          <w:sz w:val="20"/>
          <w:szCs w:val="20"/>
        </w:rPr>
        <w:t xml:space="preserve">“</w:t>
      </w:r>
      <w:r>
        <w:rPr>
          <w:sz w:val="20"/>
          <w:szCs w:val="20"/>
        </w:rPr>
        <w:t xml:space="preserve">Continuous inspection schemes,</w:t>
      </w:r>
      <w:r>
        <w:rPr>
          <w:sz w:val="20"/>
          <w:szCs w:val="20"/>
        </w:rPr>
        <w:t xml:space="preserve">”</w:t>
      </w:r>
      <w:r>
        <w:rPr>
          <w:sz w:val="20"/>
          <w:szCs w:val="20"/>
        </w:rPr>
        <w:t xml:space="preserve"> </w:t>
      </w:r>
      <w:r>
        <w:rPr>
          <w:iCs/>
          <w:i/>
          <w:sz w:val="20"/>
          <w:szCs w:val="20"/>
        </w:rPr>
        <w:t xml:space="preserve">Biometrika</w:t>
      </w:r>
      <w:r>
        <w:rPr>
          <w:sz w:val="20"/>
          <w:szCs w:val="20"/>
        </w:rPr>
        <w:t xml:space="preserve">, vol. 41, no. 1/2, pp. 100–115, 1954, doi: 10.2307/2333009.</w:t>
      </w:r>
    </w:p>
    <w:p>
      <w:pPr>
        <w:pStyle w:val="BodyText"/>
        <w:spacing w:line="240" w:lineRule="auto" w:after="60"/>
        <w:ind w:left="454" w:hanging="454"/>
      </w:pPr>
      <w:r>
        <w:rPr>
          <w:sz w:val="20"/>
          <w:szCs w:val="20"/>
        </w:rPr>
        <w:t>[19] V. V. Veeravalli and T. Banerjee,</w:t>
      </w:r>
      <w:r>
        <w:rPr>
          <w:sz w:val="20"/>
          <w:szCs w:val="20"/>
        </w:rPr>
        <w:t xml:space="preserve"> </w:t>
      </w:r>
      <w:r>
        <w:rPr>
          <w:sz w:val="20"/>
          <w:szCs w:val="20"/>
        </w:rPr>
        <w:t xml:space="preserve">“</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 2012.</w:t>
      </w:r>
    </w:p>
    <w:p>
      <w:pPr>
        <w:pStyle w:val="BodyText"/>
        <w:spacing w:line="240" w:lineRule="auto" w:after="60"/>
        <w:ind w:left="454" w:hanging="454"/>
      </w:pPr>
      <w:r>
        <w:rPr>
          <w:sz w:val="20"/>
          <w:szCs w:val="20"/>
        </w:rPr>
        <w:t>[20]</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101">
        <w:r>
          <w:rPr>
            <w:rStyle w:val="Hyperlink"/>
            <w:sz w:val="20"/>
            <w:szCs w:val="20"/>
          </w:rPr>
          <w:t xml:space="preserve">https://www.itl.nist.gov/div898/handbook/pmc/section3/pmc323.htm</w:t>
        </w:r>
      </w:hyperlink>
      <w:r>
        <w:rPr>
          <w:sz w:val="20"/>
          <w:szCs w:val="20"/>
        </w:rPr>
        <w:t xml:space="preserve">, 2026, accessed 2026-10-02.</w:t>
      </w:r>
    </w:p>
    <w:p>
      <w:pPr>
        <w:pStyle w:val="BodyText"/>
        <w:spacing w:line="240" w:lineRule="auto" w:after="60"/>
        <w:ind w:left="454" w:hanging="454"/>
      </w:pPr>
      <w:r>
        <w:rPr>
          <w:sz w:val="20"/>
          <w:szCs w:val="20"/>
        </w:rPr>
        <w:t>[21] S. R. Howard, A. Ramdas, J. McAuliffe, and J. Sekhon,</w:t>
      </w:r>
      <w:r>
        <w:rPr>
          <w:sz w:val="20"/>
          <w:szCs w:val="20"/>
        </w:rPr>
        <w:t xml:space="preserve"> </w:t>
      </w:r>
      <w:r>
        <w:rPr>
          <w:sz w:val="20"/>
          <w:szCs w:val="20"/>
        </w:rPr>
        <w:t xml:space="preserve">“</w:t>
      </w:r>
      <w:r>
        <w:rPr>
          <w:sz w:val="20"/>
          <w:szCs w:val="20"/>
        </w:rPr>
        <w:t xml:space="preserve">Time-uniform, nonparametric, nonasymptotic confidence sequences,</w:t>
      </w:r>
      <w:r>
        <w:rPr>
          <w:sz w:val="20"/>
          <w:szCs w:val="20"/>
        </w:rPr>
        <w:t xml:space="preserve">”</w:t>
      </w:r>
      <w:r>
        <w:rPr>
          <w:sz w:val="20"/>
          <w:szCs w:val="20"/>
        </w:rPr>
        <w:t xml:space="preserve"> </w:t>
      </w:r>
      <w:r>
        <w:rPr>
          <w:iCs/>
          <w:i/>
          <w:sz w:val="20"/>
          <w:szCs w:val="20"/>
        </w:rPr>
        <w:t xml:space="preserve">The Annals of Statistics</w:t>
      </w:r>
      <w:r>
        <w:rPr>
          <w:sz w:val="20"/>
          <w:szCs w:val="20"/>
        </w:rPr>
        <w:t xml:space="preserve">, vol. 49, no. 2, pp. 1055–1080, 2021, doi: 10.1214/20-AOS1991.</w:t>
      </w:r>
    </w:p>
    <w:p>
      <w:pPr>
        <w:pStyle w:val="BodyText"/>
        <w:spacing w:line="240" w:lineRule="auto" w:after="60"/>
        <w:ind w:left="454" w:hanging="454"/>
      </w:pPr>
      <w:r>
        <w:rPr>
          <w:sz w:val="20"/>
          <w:szCs w:val="20"/>
        </w:rPr>
        <w:t>[22] C. Mulliner, R. Borgaonkar, P. Stewin, and J.-P. Seifert,</w:t>
      </w:r>
      <w:r>
        <w:rPr>
          <w:sz w:val="20"/>
          <w:szCs w:val="20"/>
        </w:rPr>
        <w:t xml:space="preserve"> </w:t>
      </w:r>
      <w:r>
        <w:rPr>
          <w:sz w:val="20"/>
          <w:szCs w:val="20"/>
        </w:rPr>
        <w:t xml:space="preserve">“</w:t>
      </w:r>
      <w:r>
        <w:rPr>
          <w:sz w:val="20"/>
          <w:szCs w:val="20"/>
        </w:rPr>
        <w:t xml:space="preserve">SMS</w:t>
      </w:r>
      <w:r>
        <w:rPr>
          <w:sz w:val="20"/>
          <w:szCs w:val="20"/>
        </w:rPr>
        <w:t xml:space="preserve">-based one-time passwords: Attacks and defense,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Detection of Intrusions and Malware, and Vulnerability Assessment (DIMVA 2013)</w:t>
      </w:r>
      <w:r>
        <w:rPr>
          <w:sz w:val="20"/>
          <w:szCs w:val="20"/>
        </w:rPr>
        <w:t xml:space="preserve">, ser. LNCS, vol. 7967. Springer, 2013, pp. 150–159, doi: 10.1007/978-3-642-39235-1_9.</w:t>
      </w:r>
    </w:p>
    <w:p>
      <w:pPr>
        <w:pStyle w:val="BodyText"/>
        <w:spacing w:line="240" w:lineRule="auto" w:after="60"/>
        <w:ind w:left="454" w:hanging="454"/>
      </w:pPr>
      <w:r>
        <w:rPr>
          <w:sz w:val="20"/>
          <w:szCs w:val="20"/>
        </w:rPr>
        <w:t>[23] H. Siadati, T. Nguyen, P. Gupta, M. Jakobsson, and N. Memon,</w:t>
      </w:r>
      <w:r>
        <w:rPr>
          <w:sz w:val="20"/>
          <w:szCs w:val="20"/>
        </w:rPr>
        <w:t xml:space="preserve"> </w:t>
      </w:r>
      <w:r>
        <w:rPr>
          <w:sz w:val="20"/>
          <w:szCs w:val="20"/>
        </w:rPr>
        <w:t xml:space="preserve">“</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65, pp. 14–28, 2017, doi: 10.1016/j.cose.2016.09.009.</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102">
        <w:r>
          <w:rPr>
            <w:rStyle w:val="Hyperlink"/>
            <w:sz w:val="20"/>
            <w:szCs w:val="20"/>
          </w:rPr>
          <w:t xml:space="preserve">https://developers.google.com/identity/sms-retriever/overview</w:t>
        </w:r>
      </w:hyperlink>
      <w:r>
        <w:rPr>
          <w:sz w:val="20"/>
          <w:szCs w:val="20"/>
        </w:rPr>
        <w:t xml:space="preserve">, 2026,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t>
      </w:r>
      <w:r>
        <w:rPr>
          <w:sz w:val="20"/>
          <w:szCs w:val="20"/>
        </w:rPr>
        <w:t xml:space="preserve">WebOTP API</w:t>
      </w:r>
      <w:r>
        <w:rPr>
          <w:sz w:val="20"/>
          <w:szCs w:val="20"/>
        </w:rPr>
        <w:t xml:space="preserve">,</w:t>
      </w:r>
      <w:r>
        <w:rPr>
          <w:sz w:val="20"/>
          <w:szCs w:val="20"/>
        </w:rPr>
        <w:t xml:space="preserve">”</w:t>
      </w:r>
      <w:r>
        <w:rPr>
          <w:sz w:val="20"/>
          <w:szCs w:val="20"/>
        </w:rPr>
        <w:t xml:space="preserve"> </w:t>
      </w:r>
      <w:hyperlink r:id="rId103">
        <w:r>
          <w:rPr>
            <w:rStyle w:val="Hyperlink"/>
            <w:sz w:val="20"/>
            <w:szCs w:val="20"/>
          </w:rPr>
          <w:t xml:space="preserve">https://github.com/WICG/WebOTP</w:t>
        </w:r>
      </w:hyperlink>
      <w:r>
        <w:rPr>
          <w:sz w:val="20"/>
          <w:szCs w:val="20"/>
        </w:rPr>
        <w:t xml:space="preserve">, 2026, accessed 2026-10-01.</w:t>
      </w:r>
    </w:p>
    <w:p>
      <w:pPr>
        <w:pStyle w:val="BodyText"/>
        <w:spacing w:line="240" w:lineRule="auto" w:after="60"/>
        <w:ind w:left="454" w:hanging="454"/>
      </w:pPr>
      <w:r>
        <w:rPr>
          <w:sz w:val="20"/>
          <w:szCs w:val="20"/>
        </w:rPr>
        <w:t>[26] J. Heinanen and R. Guerin,</w:t>
      </w:r>
      <w:r>
        <w:rPr>
          <w:sz w:val="20"/>
          <w:szCs w:val="20"/>
        </w:rPr>
        <w:t xml:space="preserve"> </w:t>
      </w:r>
      <w:r>
        <w:rPr>
          <w:sz w:val="20"/>
          <w:szCs w:val="20"/>
        </w:rPr>
        <w:t xml:space="preserve">“</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 1999, doi: 10.17487/RFC2697.</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w:t>
      </w:r>
      <w:r>
        <w:rPr>
          <w:sz w:val="20"/>
          <w:szCs w:val="20"/>
        </w:rPr>
        <w:t xml:space="preserve"> </w:t>
      </w:r>
      <w:hyperlink r:id="rId104">
        <w:r>
          <w:rPr>
            <w:rStyle w:val="Hyperlink"/>
            <w:sz w:val="20"/>
            <w:szCs w:val="20"/>
          </w:rPr>
          <w:t xml:space="preserve">https://www.twilio.com/en-us/user-authentication-identity/verify</w:t>
        </w:r>
      </w:hyperlink>
      <w:r>
        <w:rPr>
          <w:sz w:val="20"/>
          <w:szCs w:val="20"/>
        </w:rPr>
        <w:t xml:space="preserve">, 2026, accessed 2026-10-03.</w:t>
      </w:r>
    </w:p>
    <w:p>
      <w:pPr>
        <w:pStyle w:val="BodyText"/>
      </w:pPr>
      <w:r>
        <w:rPr>
          <w:bCs/>
          <w:b/>
        </w:rPr>
        <w:t xml:space="preserve">NAVEED AHMED</w:t>
      </w:r>
      <w:r>
        <w:t xml:space="preserve"> </w:t>
      </w:r>
      <w:r>
        <w:t xml:space="preserve">is with the College of Computer and Information Science, Prince Sultan University, Riyadh, Saudi Arabia (e-mail: nahmed@psu.edu.sa).</w:t>
      </w:r>
    </w:p>
    <w:bookmarkEnd w:id="105"/>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8" Type="http://schemas.openxmlformats.org/officeDocument/2006/relationships/image" Target="media/rId48.png"/><Relationship Id="rId63" Type="http://schemas.openxmlformats.org/officeDocument/2006/relationships/image" Target="media/rId63.png"/><Relationship Id="rId45" Type="http://schemas.openxmlformats.org/officeDocument/2006/relationships/image" Target="media/rId45.png"/><Relationship Id="rId59" Type="http://schemas.openxmlformats.org/officeDocument/2006/relationships/image" Target="media/rId59.png"/><Relationship Id="rId42" Type="http://schemas.openxmlformats.org/officeDocument/2006/relationships/image" Target="media/rId42.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24" Type="http://schemas.openxmlformats.org/officeDocument/2006/relationships/image" Target="media/rId24.png"/><Relationship Id="rId38" Type="http://schemas.openxmlformats.org/officeDocument/2006/relationships/image" Target="media/rId38.png"/><Relationship Id="rId97" Type="http://schemas.openxmlformats.org/officeDocument/2006/relationships/hyperlink" Target="https://attack.mitre.org/techniques/T1496/003/" TargetMode="External"/><Relationship Id="rId98" Type="http://schemas.openxmlformats.org/officeDocument/2006/relationships/hyperlink" Target="https://commsrisk.com/elon-musk-says-twitter-lost-60mn-a-year-because-390-telcos-used-bot-accounts-to-pump-a2p-sms/" TargetMode="External"/><Relationship Id="rId102" Type="http://schemas.openxmlformats.org/officeDocument/2006/relationships/hyperlink" Target="https://developers.google.com/identity/sms-retriever/overview" TargetMode="External"/><Relationship Id="rId103" Type="http://schemas.openxmlformats.org/officeDocument/2006/relationships/hyperlink" Target="https://github.com/WICG/WebOTP" TargetMode="External"/><Relationship Id="rId95" Type="http://schemas.openxmlformats.org/officeDocument/2006/relationships/hyperlink" Target="https://github.com/nahmedpsu/OTP-DDOS" TargetMode="External"/><Relationship Id="rId101" Type="http://schemas.openxmlformats.org/officeDocument/2006/relationships/hyperlink" Target="https://www.itl.nist.gov/div898/handbook/pmc/section3/pmc323.htm" TargetMode="External"/><Relationship Id="rId100" Type="http://schemas.openxmlformats.org/officeDocument/2006/relationships/hyperlink" Target="https://www.twilio.com/docs/lookup/v2-api/sms-pumping-risk" TargetMode="External"/><Relationship Id="rId99" Type="http://schemas.openxmlformats.org/officeDocument/2006/relationships/hyperlink" Target="https://www.twilio.com/docs/verify/preventing-toll-fraud/sms-fraud-guard" TargetMode="External"/><Relationship Id="rId104"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attack.mitre.org/techniques/T1496/003/" TargetMode="External"/><Relationship Id="rId98" Type="http://schemas.openxmlformats.org/officeDocument/2006/relationships/hyperlink" Target="https://commsrisk.com/elon-musk-says-twitter-lost-60mn-a-year-because-390-telcos-used-bot-accounts-to-pump-a2p-sms/" TargetMode="External"/><Relationship Id="rId102" Type="http://schemas.openxmlformats.org/officeDocument/2006/relationships/hyperlink" Target="https://developers.google.com/identity/sms-retriever/overview" TargetMode="External"/><Relationship Id="rId103" Type="http://schemas.openxmlformats.org/officeDocument/2006/relationships/hyperlink" Target="https://github.com/WICG/WebOTP" TargetMode="External"/><Relationship Id="rId95" Type="http://schemas.openxmlformats.org/officeDocument/2006/relationships/hyperlink" Target="https://github.com/nahmedpsu/OTP-DDOS" TargetMode="External"/><Relationship Id="rId101" Type="http://schemas.openxmlformats.org/officeDocument/2006/relationships/hyperlink" Target="https://www.itl.nist.gov/div898/handbook/pmc/section3/pmc323.htm" TargetMode="External"/><Relationship Id="rId100" Type="http://schemas.openxmlformats.org/officeDocument/2006/relationships/hyperlink" Target="https://www.twilio.com/docs/lookup/v2-api/sms-pumping-risk" TargetMode="External"/><Relationship Id="rId99" Type="http://schemas.openxmlformats.org/officeDocument/2006/relationships/hyperlink" Target="https://www.twilio.com/docs/verify/preventing-toll-fraud/sms-fraud-guard" TargetMode="External"/><Relationship Id="rId104"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2026-10-27T17:10:02Z</dcterms:created>
  <dcterms:modified xsi:type="dcterms:W3CDTF">2026-10-27T17:10:02Z</dcterms:modified>
</cp:coreProperties>
</file>

<file path=docProps/custom.xml><?xml version="1.0" encoding="utf-8"?>
<Properties xmlns="http://schemas.openxmlformats.org/officeDocument/2006/custom-properties" xmlns:vt="http://schemas.openxmlformats.org/officeDocument/2006/docPropsVTypes"/>
</file>