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8 and the attacked-service table are reworked. The incident narrative is removed.</w:t>
      </w:r>
    </w:p>
    <w:p>
      <w:pPr>
        <w:spacing w:after="120"/>
      </w:pPr>
      <w:r>
        <w:rPr>
          <w:b/>
          <w:bCs/>
        </w:rPr>
        <w:t xml:space="preserve">Manuscript.</w:t>
      </w:r>
      <w:r>
        <w:t xml:space="preserve"> Revision 8 has 14,300 words from the title to the references inclusive (14,307 by a whitespace count) and 19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architecture of the implementation is drawn as Figure 3, the twelve steps as a block diagram (Figure 4) and given as Algorithm 2 as implemented; the evaluation method is drawn as Figure 5 and one simulation run is given as Algorithm 3; the contributions are four short labelled statements;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8, Tables 7 and 8 and the Figure 6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4, a block diagram, and the threat model has its own figure, Figure 2. Revision 7's Tables 4 to 8 are therefore Tables 2 to 6, and revision 7's Table 9 is split into Tables 7 (pumper on shared blocks) and 8 (poisoner); the architecture of the implementation is new Figure 3 (Section 3.3) and the evaluation method is new Figure 5 (Section 4), so revision 7's Figures 1 and 2 are Figures 6 and 7, and revision 7's Figure 3 is split into Figures 8 to 10, one per panel. Algorithm 2 gives the v2 pipeline and its feedback loop as implemented (Section 3.3), Algorithm 3 gives one simulation run as the evaluation harness executes it (Section 4.2),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11, 12, 13, 13, 13, 14, 15 and 17, Figures 1 to 10 on pages 3, 6, 7, 8, 10, 13, 14, 15, 16 and 16, and Algorithms 1 to 3 on pages 5, 8 and 11, each on the page of the paragraph that discusses it or the page after, which we checked page by page.</w:t>
      </w:r>
    </w:p>
    <w:p>
      <w:pPr>
        <w:pStyle w:val="ListParagraph"/>
        <w:numPr>
          <w:ilvl w:val="0"/>
          <w:numId w:val="2"/>
        </w:numPr>
        <w:spacing w:after="60"/>
      </w:pPr>
      <w:r>
        <w:rPr>
          <w:b/>
          <w:bCs/>
        </w:rPr>
        <w:t xml:space="preserve">Figures 8 to 10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8, 'both axes are logarithmic' for Figures 9 and 10).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Figures 6 and 7 (revision 7's Figures 1 and 2).</w:t>
      </w:r>
      <w:r>
        <w:t xml:space="preserve"> Both figures now name every setting in plain words (its rule, threshold and credit, or its quota and window) and carry their legends and axis labels in the same words; Figure 7 groups its rows by carrier. The settings matched to the default's false alarms at other credits share one note in Figure 6, and the text says what they are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is set on page 15 with no float inside the text; the two tables, introduced on page 14, are set on pages 14 and 15, and Figures 8 to 10 are set beside the paragraphs that discuss them on pages 15 and 16.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6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6's interval construction, Figure 7's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2026-10-23T21:00:26.655Z</dcterms:created>
  <dcterms:modified xsi:type="dcterms:W3CDTF">2026-10-23T21:00:26.662Z</dcterms:modified>
</cp:coreProperties>
</file>

<file path=docProps/custom.xml><?xml version="1.0" encoding="utf-8"?>
<Properties xmlns="http://schemas.openxmlformats.org/officeDocument/2006/custom-properties" xmlns:vt="http://schemas.openxmlformats.org/officeDocument/2006/docPropsVTypes"/>
</file>