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Defences Against SMS OTP Flooding and Pumping</w:t>
      </w:r>
    </w:p>
    <w:p>
      <w:pPr>
        <w:pStyle w:val="BodyText"/>
        <w:spacing w:after="120"/>
        <w:jc w:val="center"/>
      </w:pPr>
      <w:r>
        <w:rPr>
          <w:sz w:val="24"/>
          <w:szCs w:val="24"/>
        </w:rPr>
        <w:t>Naveed Ahmed</w:t>
      </w:r>
      <w:r>
        <w:rPr>
          <w:vertAlign w:val="superscript"/>
          <w:sz w:val="24"/>
          <w:szCs w:val="24"/>
        </w:rPr>
        <w:t xml:space="preserve">*</w:t>
      </w:r>
    </w:p>
    <w:p>
      <w:pPr>
        <w:pStyle w:val="BodyText"/>
        <w:spacing w:after="120"/>
        <w:jc w:val="center"/>
      </w:pPr>
      <w:r>
        <w:rPr>
          <w:i/>
          <w:sz w:val="22"/>
          <w:szCs w:val="22"/>
        </w:rPr>
        <w:t>College of Computer and Information Science, Prince Sultan University, Riyadh, Saudi Arabia</w:t>
      </w:r>
    </w:p>
    <w:p>
      <w:pPr>
        <w:pStyle w:val="BodyText"/>
        <w:spacing w:after="120"/>
        <w:jc w:val="left"/>
      </w:pPr>
      <w:r>
        <w:rPr>
          <w:sz w:val="20"/>
          <w:szCs w:val="20"/>
        </w:rPr>
      </w:r>
      <w:r>
        <w:rPr>
          <w:sz w:val="20"/>
          <w:szCs w:val="20"/>
        </w:rPr>
      </w:r>
      <w:r>
        <w:rPr>
          <w:vertAlign w:val="superscript"/>
          <w:sz w:val="20"/>
          <w:szCs w:val="20"/>
        </w:rPr>
        <w:t xml:space="preserve">*</w:t>
      </w:r>
      <w:r>
        <w:rPr>
          <w:sz w:val="20"/>
          <w:szCs w:val="20"/>
        </w:rPr>
        <w:t xml:space="preserve">Corresponding author. E-mail: nahmed@psu.edu.sa</w:t>
      </w:r>
    </w:p>
    <w:p>
      <w:pPr>
        <w:pStyle w:val="BodyText"/>
      </w:pPr>
      <w:r>
        <w:rPr>
          <w:b/>
          <w:sz w:val="24"/>
          <w:szCs w:val="24"/>
        </w:rPr>
        <w:t>Abstract</w:t>
      </w:r>
    </w:p>
    <w:p>
      <w:pPr>
        <w:pStyle w:val="BodyText"/>
        <w:spacing w:line="360" w:lineRule="auto"/>
      </w:pPr>
      <w:r>
        <w:rPr>
          <w:sz w:val="24"/>
          <w:szCs w:val="24"/>
        </w:rPr>
        <w:t>Endpoints that send one-time passwords via SMS must be reachable before any account exists, and they are abused to waste a service’s messaging budget (flooding) or to earn part of the termination fee on a colluding operator’s number ranges (SMS pumping). Existing defenses limit the request source, score each request with labeled traffic, or block destination prefixes, but a service that sees only its own traffic has no controlled evidence of which destination signal to act on, the number of sends to a block or the fate of their codes, nor of what either costs the legitimate users who share a block with an attacker. This study evaluates in simulation a twelve-step defense for a registration flow, which draws trust from app attestation, signed sessions and verification outcomes, against a seven-control baseline, five simpler designs and 25 attacker profiles, and compares those two label-free destination policies under two protocols committed before their runs. Results show that attacks carrying a signature in the request are contained at a low cost to simulated users, whereas a residential attacker with farmed CAPTCHA scores is only rationed, by refusing half of first-time users. On the destination, short-window counters of SMS sent per number block, selected at a benign service target, leaked 6 to 48 messages against four concentrated 20-minute pumpers at 0.06 to 0.43 points of attack-free completion, where the default sequential tests of verification outcomes leaked 19 to 452 at the busiest density; on seeds and workloads held out from selection, the frozen counter met its leakage and benign-cost claims and leaked no more than the tests in all but 13 of 144 cells, all against an instantly verifying carrier, but failed both service-under-attack claims when the pumper shared blocks with real users. Unfitted estimates ordered the policies’ mean leakage in 18 of 18 decisive boundary cells with the counter’s cold-start bound and 17 with its warm-start bound; their crossing is algebraic, not a measured switching point, and the counter loses its advantage against paced or widely spread pumpers. These findings rest on simulated users and assumed calibration. For operators they give a tested ordering of destination policies against short, concentrated pumping, and identify the quota per block, and the competition for it on a shared block, as what decides a counter’s cost.</w:t>
      </w:r>
    </w:p>
    <w:p>
      <w:pPr>
        <w:pStyle w:val="BodyText"/>
      </w:pPr>
      <w:r>
        <w:rPr>
          <w:sz w:val="24"/>
          <w:szCs w:val="24"/>
        </w:rPr>
      </w:r>
      <w:r>
        <w:rPr>
          <w:sz w:val="24"/>
          <w:szCs w:val="24"/>
        </w:rPr>
      </w:r>
      <w:r>
        <w:rPr>
          <w:iCs/>
          <w:i/>
          <w:sz w:val="24"/>
          <w:szCs w:val="24"/>
        </w:rPr>
        <w:t xml:space="preserve">Keywords:</w:t>
      </w:r>
      <w:r>
        <w:rPr>
          <w:sz w:val="24"/>
          <w:szCs w:val="24"/>
        </w:rPr>
        <w:t xml:space="preserve"> </w:t>
      </w:r>
      <w:r>
        <w:rPr>
          <w:sz w:val="24"/>
          <w:szCs w:val="24"/>
        </w:rPr>
        <w:t xml:space="preserve">SMS pumping; Artificially inflated traffic; One-time password; Rate limiting; Sequential tests; Fraud prevention</w:t>
      </w:r>
    </w:p>
    <w:bookmarkStart w:id="20" w:name="introduction"/>
    <w:p>
      <w:pPr>
        <w:pStyle w:val="Heading1"/>
      </w:pPr>
      <w:r>
        <w:rPr>
          <w:rStyle w:val="SectionNumber"/>
        </w:rPr>
        <w:t xml:space="preserve">1</w:t>
      </w:r>
      <w:r>
        <w:tab/>
      </w:r>
      <w:r>
        <w:t xml:space="preserve">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(MITRE Corporation, 2026). Pumping is the SMS form of international revenue-share fraud, whose voice form was estimated at $10.76 billion a year in 2015 (Sahin et al., 2017). The sums at a single service are not small: Twitter’s owner said in 2023 that pumping had cost the company approximately $60 million a year (Commsrisk, 2023), and Huh et al. (2025)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and restrict destination countries, and risk-based authentication combines such signals into a score with graded responses (Wiefling et al., 2019). At the messaging vendor, Twilio’s Fraud Guard blocks destination prefixes and countries whose traffic departs from an account’s history (Twilio Inc., 2026c), and its per-number pumping risk score advises friction from 60 and refusal above 90 (Twilio Inc., 2026a). On a service’s own logs, Huh et al. (2025) detect attack requests one at a time with gradient-boosted trees, at 89.6% recall and 0.19% false positives on web traffic, and Zaliskyi and Odarchenko (2026)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likes (Douceur, 2002). Addresses are not scarce either: five residential proxy services relayed through 6.2 million addresses in 238 countries, 90% of them for under fifteen minutes each and 2.2% of them on any blacklist (Mi et al., 2019),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(Richter et al., 2016). A CAPTCHA costs an attacker about a dollar per thousand solutions from a labor market that was already paying ten dollars per thousand in 2007 (Motoyama et al., 2010). Supervised detection needs labels, which Huh et al. (2025)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(2026) also blocked 58% of a legitimate marketing campaign.</w:t>
      </w:r>
    </w:p>
    <w:p>
      <w:pPr>
        <w:pStyle w:val="BodyText"/>
      </w:pPr>
      <w:r>
        <w:t xml:space="preserve">The two closest studies therefore each act on one destination signal, and neither measures what acting on it costs. Huh et al. (2025) report that about 92% of attack requests fell on prefixes with zero conversion, against 21% for genuine traffic, so whether codes are entered is informative; but the signal enters a classifier that needs labeled traffic and was not released because it is deployed. Zaliskyi and Odarchenko (2026) act on send counts alone, without outcomes, and conclude that counts by themselves cannot safely separate inflated traffic from a campaign. Neither reports what a destination policy costs the legitimate users who share a number block with the attacker, neither reports its cost when there is no attack, and neither fixed the setting it would select before seeing the evaluation traffic. A service that sees only its own traffic is thus left without controlled evidence on the question it can act on: whether to count sends per block or to test the outcomes of their codes, at what quota or threshold, and at what price to its own users.</w:t>
      </w:r>
    </w:p>
    <w:p>
      <w:pPr>
        <w:pStyle w:val="BodyText"/>
      </w:pPr>
      <w:r>
        <w:t xml:space="preserve">This paper makes that comparison in simulation, inside a complete defense for a registration flow. We start from a baseline of seven controls, v1, and show how an attacker within a stated threat model breaks each of eight assumptions behind them. The twelve-step redesign takes the platform from an attestation rather than a header, binds requests to signed sessions, checks the number before a message is paid for, builds reputation from whether earlier codes were entered, scores each request into one of five responses, and enforces a hard budget; on the destination it offers two label-free policies keyed on the 8-digit number block, a short-window counter of sends and sequential tests of code outcomes. Seven designs and 25 scripted attacker profiles, from a single address to pumpers that enter codes, fake delivery receipts or buy challenge solutions, run over simulated users on a simulated clock. Two protocols were committed before their runs: the first selects destination settings on tuning seeds at a benign service target, and the second, written after that selection, freezes the selected counter and tests five claims on seeds and workloads held out from selection. The implementation, the protocols and every run’s configuration and outcome are public (Ahmed, 2026). Everything is simulated: three behavioral parameters have published counterparts and the rest are assumptions, so the results describe this generator rather than real traffic.</w:t>
      </w:r>
    </w:p>
    <w:p>
      <w:pPr>
        <w:pStyle w:val="BodyText"/>
      </w:pPr>
      <w:r>
        <w:t xml:space="preserve">We ask which attacks the design contains against simpler designs, and at what cost in completed registrations (RQ1); which layer is responsible (RQ2); when outcome-based reputation separates an attacker from simulated users (RQ3); what rationing costs when it does not (RQ4); and what destination policies cost legitimate users, with and without an attack (RQ5). This paper makes the following contributions:</w:t>
      </w:r>
    </w:p>
    <w:p>
      <w:pPr>
        <w:numPr>
          <w:ilvl w:val="0"/>
          <w:numId w:val="1001"/>
        </w:numPr>
      </w:pPr>
      <w:r>
        <w:t xml:space="preserve">an analysis of eight gaps in a seven-control baseline, a twelve-step design that closes them, and an open implementation with a regression test for each of the replay and concurrency defects found on the way;</w:t>
      </w:r>
    </w:p>
    <w:p>
      <w:pPr>
        <w:numPr>
          <w:ilvl w:val="0"/>
          <w:numId w:val="1001"/>
        </w:numPr>
      </w:pPr>
      <w:r>
        <w:t xml:space="preserve">measurements of where outcome-based reputation stops separating an attacker from the users whose keys it shares, and of what rationing then costs and depends on;</w:t>
      </w:r>
    </w:p>
    <w:p>
      <w:pPr>
        <w:numPr>
          <w:ilvl w:val="0"/>
          <w:numId w:val="1001"/>
        </w:numPr>
      </w:pPr>
      <w:r>
        <w:t xml:space="preserve">two predeclared comparisons of destination policies, a send counter against sequential tests of code outcomes, selected at a stated service target and charged with their failures and with their collateral damage to users who share a block with the attacker;</w:t>
      </w:r>
    </w:p>
    <w:p>
      <w:pPr>
        <w:numPr>
          <w:ilvl w:val="0"/>
          <w:numId w:val="1001"/>
        </w:numPr>
      </w:pPr>
      <w:r>
        <w:t xml:space="preserve">unfitted estimates of when counting leaks less than testing, derived from the rules and the attack rate alone and checked against the measurements over attacks of up to an hour.</w:t>
      </w:r>
    </w:p>
    <w:p>
      <w:pPr>
        <w:pStyle w:val="FirstParagraph"/>
      </w:pPr>
      <w:r>
        <w:t xml:space="preserve">Section 2 reviews related work; Section 3 gives the baseline, the threat model and the design with its leakage estimates; Section 4 the methodology; Section 5 reports the results; Sections 6–8 discuss them, state the limitations, and conclude.</w:t>
      </w:r>
    </w:p>
    <w:bookmarkEnd w:id="20"/>
    <w:bookmarkStart w:id="30" w:name="related-work"/>
    <w:p>
      <w:pPr>
        <w:pStyle w:val="Heading1"/>
      </w:pPr>
      <w:r>
        <w:rPr>
          <w:rStyle w:val="SectionNumber"/>
        </w:rPr>
        <w:t xml:space="preserve">2</w:t>
      </w:r>
      <w:r>
        <w:tab/>
      </w:r>
      <w:r>
        <w:t xml:space="preserve">Related work</w:t>
      </w:r>
    </w:p>
    <w:p>
      <w:pPr>
        <w:pStyle w:val="FirstParagraph"/>
      </w:pPr>
      <w:r>
        <w:t xml:space="preserve">We group prior work by where it acts on the path of an OTP request, from the client through the service and its messaging vendor to the operator that terminates the message (Figure 1), and close with the gap this study addresses (Table 1).</w:t>
      </w:r>
    </w:p>
    <w:p>
      <w:pPr>
        <w:pStyle w:val="CaptionedFigure"/>
      </w:pPr>
      <w:r>
        <w:drawing>
          <wp:inline>
            <wp:extent cx="5334000" cy="2089500"/>
            <wp:effectExtent b="0" l="0" r="0" t="0"/>
            <wp:docPr descr="" title="" id="22" name="Picture"/>
            <a:graphic>
              <a:graphicData uri="http://schemas.openxmlformats.org/drawingml/2006/picture">
                <pic:pic>
                  <pic:nvPicPr>
                    <pic:cNvPr descr="figures/fig8_defense_path.png" id="23" name="Picture"/>
                    <pic:cNvPicPr>
                      <a:picLocks noChangeArrowheads="1" noChangeAspect="1"/>
                    </pic:cNvPicPr>
                  </pic:nvPicPr>
                  <pic:blipFill>
                    <a:blip r:embed="rId21"/>
                    <a:stretch>
                      <a:fillRect/>
                    </a:stretch>
                  </pic:blipFill>
                  <pic:spPr bwMode="auto">
                    <a:xfrm>
                      <a:off x="0" y="0"/>
                      <a:ext cx="5334000" cy="2089500"/>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Defenses Along the Path of an OTP Request.</w:t>
      </w:r>
    </w:p>
    <w:bookmarkStart w:id="24" w:name="Xdc4f4927748c3842e74dd54c57f02ecb9c6dc2c"/>
    <w:p>
      <w:pPr>
        <w:pStyle w:val="Heading2"/>
      </w:pPr>
      <w:r>
        <w:rPr>
          <w:rStyle w:val="SectionNumber"/>
        </w:rPr>
        <w:t xml:space="preserve">2.1</w:t>
      </w:r>
      <w:r>
        <w:tab/>
      </w:r>
      <w:r>
        <w:t xml:space="preserve">Revenue-share fraud and the destination as the attacker’s asset</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 et al. (2017) sets the scheme among frauds that persist because call routing is opaque, each operator knowing only the next hop, and because operators are reluctant to share pricing, routes or fraud findings with competitors. Sahin and Francillon (2021)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3.5 are keyed on the 8-digit block and use only those two quantities.</w:t>
      </w:r>
    </w:p>
    <w:bookmarkEnd w:id="24"/>
    <w:bookmarkStart w:id="25" w:name="X54ece4fa9c9178e0a892a2fb454b0c3ae29bfd2"/>
    <w:p>
      <w:pPr>
        <w:pStyle w:val="Heading2"/>
      </w:pPr>
      <w:r>
        <w:rPr>
          <w:rStyle w:val="SectionNumber"/>
        </w:rPr>
        <w:t xml:space="preserve">2.2</w:t>
      </w:r>
      <w:r>
        <w:tab/>
      </w:r>
      <w:r>
        <w:t xml:space="preserve">Detecting artificially inflated SMS traffic</w:t>
      </w:r>
    </w:p>
    <w:p>
      <w:pPr>
        <w:pStyle w:val="FirstParagraph"/>
      </w:pPr>
      <w:r>
        <w:t xml:space="preserve">Huh et al. (2025)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Approximately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Their detector requires labeled traffic and acts per request; the cost to legitimate users is reported as false positives only, and the model was not released because it is deployed. Their data show that destination aggregation is informative; we add a controlled comparison of two label-free ways to act on it per block, from send counts or code outcomes, and of their cost to users sharing a block. Theirs was not reproduced, so the two are not ranked.</w:t>
      </w:r>
    </w:p>
    <w:p>
      <w:pPr>
        <w:pStyle w:val="BodyText"/>
      </w:pPr>
      <w:r>
        <w:t xml:space="preserve">Zaliskyi and Odarchenko (2026)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 authors conclude that message counts alone cannot safely separate inflated traffic from a campaign; they do not use verification outcomes. Theirs is a send counter judged on real traffic by messages blocked; ours compares a counter with outcome tests at a service target, in simulation, by what users sharing a block lose; the numbers are not comparable.</w:t>
      </w:r>
    </w:p>
    <w:p>
      <w:pPr>
        <w:pStyle w:val="BodyText"/>
      </w:pPr>
      <w:r>
        <w:t xml:space="preserve">The messaging vendors act one hop later. Twilio’s Fraud Guard analyzes an account’s historical traffic and blocks sends to a destination prefix or country whose pattern departs from it, with three protection levels and claimed false-positive rates under 1% and 2% (Twilio Inc., 2026c); its SMS Pumping Risk Score rates a number from 0 to 100 from Fraud Guard, risky carriers, traffic patterns and low conversion, and advises friction from 60 and refusal above 90 (Twilio Inc., 2026a). Graded destination action is therefore established practice, but the signals and models are undisclosed, so no product was benchmarked.</w:t>
      </w:r>
    </w:p>
    <w:p>
      <w:pPr>
        <w:pStyle w:val="BodyText"/>
      </w:pPr>
      <w:r>
        <w:t xml:space="preserve">Taken together, these works establish that attacks concentrate on destination prefixes and avoid converting, that counts alone misfire on campaigns, and that some campaigns now enter codes to pass conversion rules. None of them compares counting with outcome testing on the same traffic, fixes its setting before the evaluation runs, or charges a policy with the registrations it costs the users of a shared block. Those are the questions of Sections 5.5–5.7, and the attackers that enter codes, fake receipts and build trust (Table 4) are modeled on the counter-move above.</w:t>
      </w:r>
    </w:p>
    <w:bookmarkEnd w:id="25"/>
    <w:bookmarkStart w:id="26" w:name="Xacd34ca2899e26b07c0be49a94f9c27ea97f1a2"/>
    <w:p>
      <w:pPr>
        <w:pStyle w:val="Heading2"/>
      </w:pPr>
      <w:r>
        <w:rPr>
          <w:rStyle w:val="SectionNumber"/>
        </w:rPr>
        <w:t xml:space="preserve">2.3</w:t>
      </w:r>
      <w:r>
        <w:tab/>
      </w:r>
      <w:r>
        <w:t xml:space="preserve">Source-side controls and the attacker’s market</w:t>
      </w:r>
    </w:p>
    <w:p>
      <w:pPr>
        <w:pStyle w:val="FirstParagraph"/>
      </w:pPr>
      <w:r>
        <w:t xml:space="preserve">What a source-side control costs an attacker has been measured. Motoyama et al. (2010) bought CAPTCHA solutions from eight retail services at $1 to $20 per thousand, found that the wage for solving had fallen from $10 per thousand in 2007 to about a dollar by 2009, and measured a median response of 14 seconds at error rates of 10% to 20%; human labor had displaced automated solvers, and the authors conclude that a CAPTCHA limits access to attackers whose business is profitable despite that cost rather than keeping machines out. Dionysiou and Athanasopoulos (2020) classify the machine-learning solvers that have since appeared. Addresses have a market too: Mi et al. (2019) infiltrated five residential proxy providers and observed 6,183,876 addresses in 238 countries and 52,905 ISPs, 95% of them residential, 90% relaying for under 870 seconds and 2.2% on any blacklist; Richter et al. (2016) found carrier-grade NAT in more than 90% of cellular networks, with 64 subscribers behind one address where each receives a thousand ports,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(2002) that without a trusted authority one entity can present many identities, so a signed session provides continuity, not scarcity. Risk-based authentication, which Wiefling et al. (2019)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(Dean and Stubblefield, 2001) would add a computational price per request; they were not evaluated.</w:t>
      </w:r>
    </w:p>
    <w:p>
      <w:pPr>
        <w:pStyle w:val="BodyText"/>
      </w:pPr>
      <w:r>
        <w:t xml:space="preserve">These measurements say what an attacker can buy. For a defense they imply that per-identity controls tax identity reset rather than prevent it, and that the question for a residential attacker is not whether it can be told from a person but what rationing it costs the people it resembles. RQ3 and RQ4 measure that in this design.</w:t>
      </w:r>
    </w:p>
    <w:bookmarkEnd w:id="26"/>
    <w:bookmarkStart w:id="27" w:name="sequential-tests-and-change-detection"/>
    <w:p>
      <w:pPr>
        <w:pStyle w:val="Heading2"/>
      </w:pPr>
      <w:r>
        <w:rPr>
          <w:rStyle w:val="SectionNumber"/>
        </w:rPr>
        <w:t xml:space="preserve">2.4</w:t>
      </w:r>
      <w:r>
        <w:tab/>
      </w:r>
      <w:r>
        <w:t xml:space="preserve">Sequential tests and change detection</w:t>
      </w:r>
    </w:p>
    <w:p>
      <w:pPr>
        <w:pStyle w:val="FirstParagraph"/>
      </w:pPr>
      <w:r>
        <w:t xml:space="preserve">Our block tests are Wald’s sequential tests (Wald, 1945) run as Page’s cumulative sums (Page, 1954), with a floor parameter that selects between the two (Section 3.5). Quickest change detection minimizes detection delay under false-alarm constraints (Veeravalli and Banerjee, 2012), and a CUSUM’s parameters follow from the error rates it must meet (NIST/SEMATECH, 2026); windowed statistics and the time-uniform confidence sequences of Howard et al. (2021), which stay valid at any stopping time, were not evaluated, so</w:t>
      </w:r>
      <w:r>
        <w:t xml:space="preserve"> </w:t>
      </w:r>
      <w:r>
        <w:t xml:space="preserve">‘</w:t>
      </w:r>
      <w:r>
        <w:t xml:space="preserve">testing</w:t>
      </w:r>
      <w:r>
        <w:t xml:space="preserve">’</w:t>
      </w:r>
      <w:r>
        <w:t xml:space="preserve"> </w:t>
      </w:r>
      <w:r>
        <w:t xml:space="preserve">below means our conversion and speed tests only, and their error rates are reported empirically rather than derived.</w:t>
      </w:r>
    </w:p>
    <w:bookmarkEnd w:id="27"/>
    <w:bookmarkStart w:id="28" w:name="attacks-on-the-code-once-sent"/>
    <w:p>
      <w:pPr>
        <w:pStyle w:val="Heading2"/>
      </w:pPr>
      <w:r>
        <w:rPr>
          <w:rStyle w:val="SectionNumber"/>
        </w:rPr>
        <w:t xml:space="preserve">2.5</w:t>
      </w:r>
      <w:r>
        <w:tab/>
      </w:r>
      <w:r>
        <w:t xml:space="preserve">Attacks on the code once sent</w:t>
      </w:r>
    </w:p>
    <w:p>
      <w:pPr>
        <w:pStyle w:val="FirstParagraph"/>
      </w:pPr>
      <w:r>
        <w:t xml:space="preserve">Malware on the handset or a social-engineering call can take a code after it is delivered (Mulliner et al., 2013; Siadati et al., 2017). Those attacks begin where this paper stops: it asks whether a message should be sent at all, and leaves the protection of a delivered code aside.</w:t>
      </w:r>
    </w:p>
    <w:bookmarkEnd w:id="28"/>
    <w:bookmarkStart w:id="29" w:name="summary-of-the-gap"/>
    <w:p>
      <w:pPr>
        <w:pStyle w:val="Heading2"/>
      </w:pPr>
      <w:r>
        <w:rPr>
          <w:rStyle w:val="SectionNumber"/>
        </w:rPr>
        <w:t xml:space="preserve">2.6</w:t>
      </w:r>
      <w:r>
        <w:tab/>
      </w:r>
      <w:r>
        <w:t xml:space="preserve">Summary of the gap</w:t>
      </w:r>
    </w:p>
    <w:p>
      <w:pPr>
        <w:pStyle w:val="FirstParagraph"/>
      </w:pPr>
      <w:r>
        <w:t xml:space="preserve">Table 1 compares the works closest to this study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This study supplies that comparison, in simulation, together with the source-side layers it sits in.</w:t>
      </w:r>
    </w:p>
    <w:p>
      <w:pPr>
        <w:pStyle w:val="TableCaption"/>
      </w:pPr>
      <w:r>
        <w:rPr>
          <w:bCs/>
          <w:b/>
        </w:rPr>
        <w:t xml:space="preserve">Table 1</w:t>
      </w:r>
      <w:r>
        <w:t xml:space="preserve"> </w:t>
      </w:r>
      <w:r>
        <w:br/>
        <w:t xml:space="preserve">Comparison of Related Work with This Study.</w:t>
      </w:r>
    </w:p>
    <w:tbl>
      <w:tblPr>
        <w:tblStyle w:val="Table"/>
        <w:tblW w:w="9072" w:type="dxa"/>
        <w:jc w:val="center"/>
        <w:tblLayout w:type="fixed"/>
        <w:tblCellMar>
          <w:left w:w="57" w:type="dxa"/>
          <w:right w:w="57" w:type="dxa"/>
        </w:tblCellMar>
        <w:tblLook w:firstRow="1" w:lastRow="0" w:firstColumn="0" w:lastColumn="0" w:noHBand="0" w:noVBand="0" w:val="0020"/>
        <w:tblCaption w:val="Table 1 TBLBRK Comparison of Related Work with This Study."/>
      </w:tblPr>
      <w:tblGrid>
        <w:gridCol w:w="1512"/>
        <w:gridCol w:w="1512"/>
        <w:gridCol w:w="1512"/>
        <w:gridCol w:w="1512"/>
        <w:gridCol w:w="1512"/>
        <w:gridCol w:w="1512"/>
      </w:tblGrid>
      <w:tr>
        <w:trPr>
          <w:tblHeader w:val="true"/>
        </w:trPr>
        <w:tc>
          <w:tcPr>
            <w:tcW w:w="1512" w:type="dxa"/>
            <w:tcBorders>
              <w:top w:val="single" w:sz="8" w:color="000000"/>
              <w:bottom w:val="single" w:sz="4" w:color="000000"/>
            </w:tcBorders>
          </w:tcPr>
          <w:p>
            <w:pPr>
              <w:pStyle w:val="Compact"/>
              <w:spacing w:line="240" w:lineRule="auto" w:after="0"/>
              <w:jc w:val="left"/>
            </w:pPr>
            <w:r>
              <w:rPr>
                <w:sz w:val="17"/>
              </w:rPr>
              <w:t xml:space="preserve">Work</w:t>
            </w:r>
          </w:p>
        </w:tc>
        <w:tc>
          <w:tcPr>
            <w:tcW w:w="1512" w:type="dxa"/>
            <w:tcBorders>
              <w:top w:val="single" w:sz="8" w:color="000000"/>
              <w:bottom w:val="single" w:sz="4" w:color="000000"/>
            </w:tcBorders>
          </w:tcPr>
          <w:p>
            <w:pPr>
              <w:pStyle w:val="Compact"/>
              <w:spacing w:line="240" w:lineRule="auto" w:after="0"/>
              <w:jc w:val="left"/>
            </w:pPr>
            <w:r>
              <w:rPr>
                <w:sz w:val="17"/>
              </w:rPr>
              <w:t xml:space="preserve">Evidence</w:t>
            </w:r>
          </w:p>
        </w:tc>
        <w:tc>
          <w:tcPr>
            <w:tcW w:w="1512"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12"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12"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12"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512" w:type="dxa"/>
          </w:tcPr>
          <w:p>
            <w:pPr>
              <w:pStyle w:val="Compact"/>
              <w:spacing w:line="240" w:lineRule="auto" w:after="0"/>
              <w:jc w:val="left"/>
            </w:pPr>
            <w:r>
              <w:rPr>
                <w:sz w:val="17"/>
              </w:rPr>
              <w:t xml:space="preserve">Sahin and Francillon (2021)</w:t>
            </w:r>
          </w:p>
        </w:tc>
        <w:tc>
          <w:tcPr>
            <w:tcW w:w="1512" w:type="dxa"/>
          </w:tcPr>
          <w:p>
            <w:pPr>
              <w:pStyle w:val="Compact"/>
              <w:spacing w:line="240" w:lineRule="auto" w:after="0"/>
              <w:jc w:val="left"/>
            </w:pPr>
            <w:r>
              <w:rPr>
                <w:sz w:val="17"/>
              </w:rPr>
              <w:t xml:space="preserve">Operator call records; 3.1 million test numbers advertised by 12 providers, 2016–2019</w:t>
            </w:r>
          </w:p>
        </w:tc>
        <w:tc>
          <w:tcPr>
            <w:tcW w:w="1512" w:type="dxa"/>
          </w:tcPr>
          <w:p>
            <w:pPr>
              <w:pStyle w:val="Compact"/>
              <w:spacing w:line="240" w:lineRule="auto" w:after="0"/>
              <w:jc w:val="left"/>
            </w:pPr>
            <w:r>
              <w:rPr>
                <w:sz w:val="17"/>
              </w:rPr>
              <w:t xml:space="preserve">Distance of the called number to advertised ranges and call history; labels from matched test numbers</w:t>
            </w:r>
          </w:p>
        </w:tc>
        <w:tc>
          <w:tcPr>
            <w:tcW w:w="1512" w:type="dxa"/>
          </w:tcPr>
          <w:p>
            <w:pPr>
              <w:pStyle w:val="Compact"/>
              <w:spacing w:line="240" w:lineRule="auto" w:after="0"/>
              <w:jc w:val="left"/>
            </w:pPr>
            <w:r>
              <w:rPr>
                <w:sz w:val="17"/>
              </w:rPr>
              <w:t xml:space="preserve">Per call, at an operator</w:t>
            </w:r>
          </w:p>
        </w:tc>
        <w:tc>
          <w:tcPr>
            <w:tcW w:w="1512" w:type="dxa"/>
          </w:tcPr>
          <w:p>
            <w:pPr>
              <w:pStyle w:val="Compact"/>
              <w:spacing w:line="240" w:lineRule="auto" w:after="0"/>
              <w:jc w:val="left"/>
            </w:pPr>
            <w:r>
              <w:rPr>
                <w:sz w:val="17"/>
              </w:rPr>
              <w:t xml:space="preserve">A false-positive rate (0.28%), not harm to callers</w:t>
            </w:r>
          </w:p>
        </w:tc>
        <w:tc>
          <w:tcPr>
            <w:tcW w:w="1512" w:type="dxa"/>
          </w:tcPr>
          <w:p>
            <w:pPr>
              <w:pStyle w:val="Compact"/>
              <w:spacing w:line="240" w:lineRule="auto" w:after="0"/>
              <w:jc w:val="left"/>
            </w:pPr>
            <w:r>
              <w:rPr>
                <w:sz w:val="17"/>
              </w:rPr>
              <w:t xml:space="preserve">Voice calls; needs number intelligence and call histories an OTP endpoint does not hold</w:t>
            </w:r>
          </w:p>
        </w:tc>
      </w:tr>
      <w:tr>
        <w:tc>
          <w:tcPr>
            <w:tcW w:w="1512" w:type="dxa"/>
          </w:tcPr>
          <w:p>
            <w:pPr>
              <w:pStyle w:val="Compact"/>
              <w:spacing w:line="240" w:lineRule="auto" w:after="0"/>
              <w:jc w:val="left"/>
            </w:pPr>
            <w:r>
              <w:rPr>
                <w:sz w:val="17"/>
              </w:rPr>
              <w:t xml:space="preserve">Huh et al. (2025)</w:t>
            </w:r>
          </w:p>
        </w:tc>
        <w:tc>
          <w:tcPr>
            <w:tcW w:w="1512" w:type="dxa"/>
          </w:tcPr>
          <w:p>
            <w:pPr>
              <w:pStyle w:val="Compact"/>
              <w:spacing w:line="240" w:lineRule="auto" w:after="0"/>
              <w:jc w:val="left"/>
            </w:pPr>
            <w:r>
              <w:rPr>
                <w:sz w:val="17"/>
              </w:rPr>
              <w:t xml:space="preserve">One service’s 9.4 million SMS authentication logs, 19 countries, three months</w:t>
            </w:r>
          </w:p>
        </w:tc>
        <w:tc>
          <w:tcPr>
            <w:tcW w:w="1512" w:type="dxa"/>
          </w:tcPr>
          <w:p>
            <w:pPr>
              <w:pStyle w:val="Compact"/>
              <w:spacing w:line="240" w:lineRule="auto" w:after="0"/>
              <w:jc w:val="left"/>
            </w:pPr>
            <w:r>
              <w:rPr>
                <w:sz w:val="17"/>
              </w:rPr>
              <w:t xml:space="preserve">Per-request features with prefix-level counts and conversion; labels derived from traffic peaks</w:t>
            </w:r>
          </w:p>
        </w:tc>
        <w:tc>
          <w:tcPr>
            <w:tcW w:w="1512" w:type="dxa"/>
          </w:tcPr>
          <w:p>
            <w:pPr>
              <w:pStyle w:val="Compact"/>
              <w:spacing w:line="240" w:lineRule="auto" w:after="0"/>
              <w:jc w:val="left"/>
            </w:pPr>
            <w:r>
              <w:rPr>
                <w:sz w:val="17"/>
              </w:rPr>
              <w:t xml:space="preserve">Per request at the service, before the message is sent</w:t>
            </w:r>
          </w:p>
        </w:tc>
        <w:tc>
          <w:tcPr>
            <w:tcW w:w="1512" w:type="dxa"/>
          </w:tcPr>
          <w:p>
            <w:pPr>
              <w:pStyle w:val="Compact"/>
              <w:spacing w:line="240" w:lineRule="auto" w:after="0"/>
              <w:jc w:val="left"/>
            </w:pPr>
            <w:r>
              <w:rPr>
                <w:sz w:val="17"/>
              </w:rPr>
              <w:t xml:space="preserve">False positives only (0.19% web, 0.11% app)</w:t>
            </w:r>
          </w:p>
        </w:tc>
        <w:tc>
          <w:tcPr>
            <w:tcW w:w="1512" w:type="dxa"/>
          </w:tcPr>
          <w:p>
            <w:pPr>
              <w:pStyle w:val="Compact"/>
              <w:spacing w:line="240" w:lineRule="auto" w:after="0"/>
              <w:jc w:val="left"/>
            </w:pPr>
            <w:r>
              <w:rPr>
                <w:sz w:val="17"/>
              </w:rPr>
              <w:t xml:space="preserve">Needs labels; the deployed model was not released; a per-request decision can be probed</w:t>
            </w:r>
          </w:p>
        </w:tc>
      </w:tr>
      <w:tr>
        <w:tc>
          <w:tcPr>
            <w:tcW w:w="1512" w:type="dxa"/>
          </w:tcPr>
          <w:p>
            <w:pPr>
              <w:pStyle w:val="Compact"/>
              <w:spacing w:line="240" w:lineRule="auto" w:after="0"/>
              <w:jc w:val="left"/>
            </w:pPr>
            <w:r>
              <w:rPr>
                <w:sz w:val="17"/>
              </w:rPr>
              <w:t xml:space="preserve">Zaliskyi and Odarchenko (2026)</w:t>
            </w:r>
          </w:p>
        </w:tc>
        <w:tc>
          <w:tcPr>
            <w:tcW w:w="1512" w:type="dxa"/>
          </w:tcPr>
          <w:p>
            <w:pPr>
              <w:pStyle w:val="Compact"/>
              <w:spacing w:line="240" w:lineRule="auto" w:after="0"/>
              <w:jc w:val="left"/>
            </w:pPr>
            <w:r>
              <w:rPr>
                <w:sz w:val="17"/>
              </w:rPr>
              <w:t xml:space="preserve">Aggregator delivery metadata: two confirmed incidents and one legitimate campaign</w:t>
            </w:r>
          </w:p>
        </w:tc>
        <w:tc>
          <w:tcPr>
            <w:tcW w:w="1512" w:type="dxa"/>
          </w:tcPr>
          <w:p>
            <w:pPr>
              <w:pStyle w:val="Compact"/>
              <w:spacing w:line="240" w:lineRule="auto" w:after="0"/>
              <w:jc w:val="left"/>
            </w:pPr>
            <w:r>
              <w:rPr>
                <w:sz w:val="17"/>
              </w:rPr>
              <w:t xml:space="preserve">Sends, or unique recipients, per prefix in five-minute windows; no labels</w:t>
            </w:r>
          </w:p>
        </w:tc>
        <w:tc>
          <w:tcPr>
            <w:tcW w:w="1512" w:type="dxa"/>
          </w:tcPr>
          <w:p>
            <w:pPr>
              <w:pStyle w:val="Compact"/>
              <w:spacing w:line="240" w:lineRule="auto" w:after="0"/>
              <w:jc w:val="left"/>
            </w:pPr>
            <w:r>
              <w:rPr>
                <w:sz w:val="17"/>
              </w:rPr>
              <w:t xml:space="preserve">Per prefix, with a 24-hour quarantine</w:t>
            </w:r>
          </w:p>
        </w:tc>
        <w:tc>
          <w:tcPr>
            <w:tcW w:w="1512" w:type="dxa"/>
          </w:tcPr>
          <w:p>
            <w:pPr>
              <w:pStyle w:val="Compact"/>
              <w:spacing w:line="240" w:lineRule="auto" w:after="0"/>
              <w:jc w:val="left"/>
            </w:pPr>
            <w:r>
              <w:rPr>
                <w:sz w:val="17"/>
              </w:rPr>
              <w:t xml:space="preserve">Share of a campaign blocked (58%; 2% with unique recipients)</w:t>
            </w:r>
          </w:p>
        </w:tc>
        <w:tc>
          <w:tcPr>
            <w:tcW w:w="1512" w:type="dxa"/>
          </w:tcPr>
          <w:p>
            <w:pPr>
              <w:pStyle w:val="Compact"/>
              <w:spacing w:line="240" w:lineRule="auto" w:after="0"/>
              <w:jc w:val="left"/>
            </w:pPr>
            <w:r>
              <w:rPr>
                <w:sz w:val="17"/>
              </w:rPr>
              <w:t xml:space="preserve">Outcomes unused; thresholds that stop incidents block campaigns; no per-user cost</w:t>
            </w:r>
          </w:p>
        </w:tc>
      </w:tr>
      <w:tr>
        <w:tc>
          <w:tcPr>
            <w:tcW w:w="1512" w:type="dxa"/>
          </w:tcPr>
          <w:p>
            <w:pPr>
              <w:pStyle w:val="Compact"/>
              <w:spacing w:line="240" w:lineRule="auto" w:after="0"/>
              <w:jc w:val="left"/>
            </w:pPr>
            <w:r>
              <w:rPr>
                <w:sz w:val="17"/>
              </w:rPr>
              <w:t xml:space="preserve">Twilio Inc. (2026a); Twilio Inc. (2026c)</w:t>
            </w:r>
          </w:p>
        </w:tc>
        <w:tc>
          <w:tcPr>
            <w:tcW w:w="1512" w:type="dxa"/>
          </w:tcPr>
          <w:p>
            <w:pPr>
              <w:pStyle w:val="Compact"/>
              <w:spacing w:line="240" w:lineRule="auto" w:after="0"/>
              <w:jc w:val="left"/>
            </w:pPr>
            <w:r>
              <w:rPr>
                <w:sz w:val="17"/>
              </w:rPr>
              <w:t xml:space="preserve">Vendor-wide traffic across accounts; documentation only</w:t>
            </w:r>
          </w:p>
        </w:tc>
        <w:tc>
          <w:tcPr>
            <w:tcW w:w="1512"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12" w:type="dxa"/>
          </w:tcPr>
          <w:p>
            <w:pPr>
              <w:pStyle w:val="Compact"/>
              <w:spacing w:line="240" w:lineRule="auto" w:after="0"/>
              <w:jc w:val="left"/>
            </w:pPr>
            <w:r>
              <w:rPr>
                <w:sz w:val="17"/>
              </w:rPr>
              <w:t xml:space="preserve">Before the send, at the vendor; bands at 60, 75 and 90</w:t>
            </w:r>
          </w:p>
        </w:tc>
        <w:tc>
          <w:tcPr>
            <w:tcW w:w="1512" w:type="dxa"/>
          </w:tcPr>
          <w:p>
            <w:pPr>
              <w:pStyle w:val="Compact"/>
              <w:spacing w:line="240" w:lineRule="auto" w:after="0"/>
              <w:jc w:val="left"/>
            </w:pPr>
            <w:r>
              <w:rPr>
                <w:sz w:val="17"/>
              </w:rPr>
              <w:t xml:space="preserve">Claimed false-positive rates under 1% and 2%</w:t>
            </w:r>
          </w:p>
        </w:tc>
        <w:tc>
          <w:tcPr>
            <w:tcW w:w="1512" w:type="dxa"/>
          </w:tcPr>
          <w:p>
            <w:pPr>
              <w:pStyle w:val="Compact"/>
              <w:spacing w:line="240" w:lineRule="auto" w:after="0"/>
              <w:jc w:val="left"/>
            </w:pPr>
            <w:r>
              <w:rPr>
                <w:sz w:val="17"/>
              </w:rPr>
              <w:t xml:space="preserve">Signals and models undisclosed; cannot be benchmarked or reproduced</w:t>
            </w:r>
          </w:p>
        </w:tc>
      </w:tr>
      <w:tr>
        <w:tc>
          <w:tcPr>
            <w:tcW w:w="1512" w:type="dxa"/>
          </w:tcPr>
          <w:p>
            <w:pPr>
              <w:pStyle w:val="Compact"/>
              <w:spacing w:line="240" w:lineRule="auto" w:after="0"/>
              <w:jc w:val="left"/>
            </w:pPr>
            <w:r>
              <w:rPr>
                <w:sz w:val="17"/>
              </w:rPr>
              <w:t xml:space="preserve">Wiefling et al. (2019)</w:t>
            </w:r>
          </w:p>
        </w:tc>
        <w:tc>
          <w:tcPr>
            <w:tcW w:w="1512" w:type="dxa"/>
          </w:tcPr>
          <w:p>
            <w:pPr>
              <w:pStyle w:val="Compact"/>
              <w:spacing w:line="240" w:lineRule="auto" w:after="0"/>
              <w:jc w:val="left"/>
            </w:pPr>
            <w:r>
              <w:rPr>
                <w:sz w:val="17"/>
              </w:rPr>
              <w:t xml:space="preserve">Black-box tests of eight services with 224 accounts</w:t>
            </w:r>
          </w:p>
        </w:tc>
        <w:tc>
          <w:tcPr>
            <w:tcW w:w="1512" w:type="dxa"/>
          </w:tcPr>
          <w:p>
            <w:pPr>
              <w:pStyle w:val="Compact"/>
              <w:spacing w:line="240" w:lineRule="auto" w:after="0"/>
              <w:jc w:val="left"/>
            </w:pPr>
            <w:r>
              <w:rPr>
                <w:sz w:val="17"/>
              </w:rPr>
              <w:t xml:space="preserve">Address, user agent, resolution, time and similar login features scored into risk buckets</w:t>
            </w:r>
          </w:p>
        </w:tc>
        <w:tc>
          <w:tcPr>
            <w:tcW w:w="1512" w:type="dxa"/>
          </w:tcPr>
          <w:p>
            <w:pPr>
              <w:pStyle w:val="Compact"/>
              <w:spacing w:line="240" w:lineRule="auto" w:after="0"/>
              <w:jc w:val="left"/>
            </w:pPr>
            <w:r>
              <w:rPr>
                <w:sz w:val="17"/>
              </w:rPr>
              <w:t xml:space="preserve">Per login to an existing account</w:t>
            </w:r>
          </w:p>
        </w:tc>
        <w:tc>
          <w:tcPr>
            <w:tcW w:w="1512" w:type="dxa"/>
          </w:tcPr>
          <w:p>
            <w:pPr>
              <w:pStyle w:val="Compact"/>
              <w:spacing w:line="240" w:lineRule="auto" w:after="0"/>
              <w:jc w:val="left"/>
            </w:pPr>
            <w:r>
              <w:rPr>
                <w:sz w:val="17"/>
              </w:rPr>
              <w:t xml:space="preserve">Not measured; re-authentication observed</w:t>
            </w:r>
          </w:p>
        </w:tc>
        <w:tc>
          <w:tcPr>
            <w:tcW w:w="1512" w:type="dxa"/>
          </w:tcPr>
          <w:p>
            <w:pPr>
              <w:pStyle w:val="Compact"/>
              <w:spacing w:line="240" w:lineRule="auto" w:after="0"/>
              <w:jc w:val="left"/>
            </w:pPr>
            <w:r>
              <w:rPr>
                <w:sz w:val="17"/>
              </w:rPr>
              <w:t xml:space="preserve">Scores a login, not a request made before any account exists; procedures undisclosed</w:t>
            </w:r>
          </w:p>
        </w:tc>
      </w:tr>
      <w:tr>
        <w:tc>
          <w:tcPr>
            <w:tcW w:w="1512" w:type="dxa"/>
            <w:tcBorders>
              <w:bottom w:val="single" w:sz="8" w:color="000000"/>
            </w:tcBorders>
          </w:tcPr>
          <w:p>
            <w:pPr>
              <w:pStyle w:val="Compact"/>
              <w:spacing w:line="240" w:lineRule="auto" w:after="0"/>
              <w:jc w:val="left"/>
            </w:pPr>
            <w:r>
              <w:rPr>
                <w:sz w:val="17"/>
              </w:rPr>
              <w:t xml:space="preserve">This study</w:t>
            </w:r>
          </w:p>
        </w:tc>
        <w:tc>
          <w:tcPr>
            <w:tcW w:w="1512"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12"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12" w:type="dxa"/>
            <w:tcBorders>
              <w:bottom w:val="single" w:sz="8" w:color="000000"/>
            </w:tcBorders>
          </w:tcPr>
          <w:p>
            <w:pPr>
              <w:pStyle w:val="Compact"/>
              <w:spacing w:line="240" w:lineRule="auto" w:after="0"/>
              <w:jc w:val="left"/>
            </w:pPr>
            <w:r>
              <w:rPr>
                <w:sz w:val="17"/>
              </w:rPr>
              <w:t xml:space="preserve">Per 10 000-number block at the service, before the message is sent</w:t>
            </w:r>
          </w:p>
        </w:tc>
        <w:tc>
          <w:tcPr>
            <w:tcW w:w="1512"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12"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29"/>
    <w:bookmarkEnd w:id="30"/>
    <w:bookmarkStart w:id="40" w:name="threat-model-and-design"/>
    <w:p>
      <w:pPr>
        <w:pStyle w:val="Heading1"/>
      </w:pPr>
      <w:r>
        <w:rPr>
          <w:rStyle w:val="SectionNumber"/>
        </w:rPr>
        <w:t xml:space="preserve">3</w:t>
      </w:r>
      <w:r>
        <w:tab/>
      </w:r>
      <w:r>
        <w:t xml:space="preserve">Threat model and design</w:t>
      </w:r>
    </w:p>
    <w:p>
      <w:pPr>
        <w:pStyle w:val="FirstParagraph"/>
      </w:pPr>
      <w:r>
        <w:t xml:space="preserve">This section describes the baseline that the design replaces, the attacker it must resist, the twelve steps and two destination policies of the design, and the estimates of leakage that follow from its rules.</w:t>
      </w:r>
    </w:p>
    <w:bookmarkStart w:id="31" w:name="the-v1-baseline-and-its-gaps"/>
    <w:p>
      <w:pPr>
        <w:pStyle w:val="Heading2"/>
      </w:pPr>
      <w:r>
        <w:rPr>
          <w:rStyle w:val="SectionNumber"/>
        </w:rPr>
        <w:t xml:space="preserve">3.1</w:t>
      </w:r>
      <w:r>
        <w:tab/>
      </w:r>
      <w:r>
        <w:t xml:space="preserve">The v1 baseline and its gaps</w:t>
      </w:r>
    </w:p>
    <w:p>
      <w:pPr>
        <w:pStyle w:val="FirstParagraph"/>
      </w:pPr>
      <w:r>
        <w:t xml:space="preserve">The baseline, v1, sends a code to any unregistered number behind seven controls: reCAPTCHA v3 on web requests only, one message per number per minute, five requests per address per minute, a country allow-list, a body-length limit, a proxy block, and per-platform caps; bulk and test paths skip some checks. Table 2 lists eight assumptions behind these rules and how an attacker within the threat model breaks each; the gaps follow from the rules, not observed abuse.</w:t>
      </w:r>
    </w:p>
    <w:p>
      <w:pPr>
        <w:pStyle w:val="TableCaption"/>
      </w:pPr>
      <w:r>
        <w:rPr>
          <w:bCs/>
          <w:b/>
        </w:rPr>
        <w:t xml:space="preserve">Table 2</w:t>
      </w:r>
      <w:r>
        <w:t xml:space="preserve"> </w:t>
      </w:r>
      <w:r>
        <w:br/>
        <w:t xml:space="preserve">v1 Assumptions and how they fail.</w:t>
      </w:r>
    </w:p>
    <w:tbl>
      <w:tblPr>
        <w:tblStyle w:val="Table"/>
        <w:tblW w:w="9071" w:type="dxa"/>
        <w:jc w:val="center"/>
        <w:tblLayout w:type="fixed"/>
        <w:tblCellMar>
          <w:left w:w="57" w:type="dxa"/>
          <w:right w:w="57" w:type="dxa"/>
        </w:tblCellMar>
        <w:tblLook w:firstRow="1" w:lastRow="0" w:firstColumn="0" w:lastColumn="0" w:noHBand="0" w:noVBand="0" w:val="0020"/>
        <w:tblCaption w:val="Table 2 TBLBRK v1 Assumptions and how they fail."/>
      </w:tblPr>
      <w:tblGrid>
        <w:gridCol w:w="509"/>
        <w:gridCol w:w="4281"/>
        <w:gridCol w:w="4281"/>
      </w:tblGrid>
      <w:tr>
        <w:trPr>
          <w:tblHeader w:val="true"/>
        </w:trPr>
        <w:tc>
          <w:tcPr>
            <w:tcW w:w="509" w:type="dxa"/>
            <w:tcBorders>
              <w:top w:val="single" w:sz="8" w:color="000000"/>
              <w:bottom w:val="single" w:sz="4" w:color="000000"/>
            </w:tcBorders>
          </w:tcPr>
          <w:p>
            <w:pPr>
              <w:pStyle w:val="Compact"/>
              <w:spacing w:line="240" w:lineRule="auto" w:after="0"/>
              <w:jc w:val="center"/>
            </w:pPr>
            <w:r>
              <w:rPr>
                <w:sz w:val="17"/>
              </w:rPr>
              <w:t xml:space="preserve">Gap</w:t>
            </w:r>
          </w:p>
        </w:tc>
        <w:tc>
          <w:tcPr>
            <w:tcW w:w="4281" w:type="dxa"/>
            <w:tcBorders>
              <w:top w:val="single" w:sz="8" w:color="000000"/>
              <w:bottom w:val="single" w:sz="4" w:color="000000"/>
            </w:tcBorders>
          </w:tcPr>
          <w:p>
            <w:pPr>
              <w:pStyle w:val="Compact"/>
              <w:spacing w:line="240" w:lineRule="auto" w:after="0"/>
              <w:jc w:val="left"/>
            </w:pPr>
            <w:r>
              <w:rPr>
                <w:sz w:val="17"/>
              </w:rPr>
              <w:t xml:space="preserve">v1 assumes</w:t>
            </w:r>
          </w:p>
        </w:tc>
        <w:tc>
          <w:tcPr>
            <w:tcW w:w="4281" w:type="dxa"/>
            <w:tcBorders>
              <w:top w:val="single" w:sz="8" w:color="000000"/>
              <w:bottom w:val="single" w:sz="4" w:color="000000"/>
            </w:tcBorders>
          </w:tcPr>
          <w:p>
            <w:pPr>
              <w:pStyle w:val="Compact"/>
              <w:spacing w:line="240" w:lineRule="auto" w:after="0"/>
              <w:jc w:val="left"/>
            </w:pPr>
            <w:r>
              <w:rPr>
                <w:sz w:val="17"/>
              </w:rPr>
              <w:t xml:space="preserve">How it fails</w:t>
            </w:r>
          </w:p>
        </w:tc>
      </w:tr>
      <w:tr>
        <w:tc>
          <w:tcPr>
            <w:tcW w:w="509" w:type="dxa"/>
          </w:tcPr>
          <w:p>
            <w:pPr>
              <w:pStyle w:val="Compact"/>
              <w:spacing w:line="240" w:lineRule="auto" w:after="0"/>
              <w:jc w:val="center"/>
            </w:pPr>
            <w:r>
              <w:rPr>
                <w:sz w:val="17"/>
              </w:rPr>
              <w:t xml:space="preserve">A</w:t>
            </w:r>
          </w:p>
        </w:tc>
        <w:tc>
          <w:tcPr>
            <w:tcW w:w="4281" w:type="dxa"/>
          </w:tcPr>
          <w:p>
            <w:pPr>
              <w:pStyle w:val="Compact"/>
              <w:spacing w:line="240" w:lineRule="auto" w:after="0"/>
              <w:jc w:val="left"/>
            </w:pPr>
            <w:r>
              <w:rPr>
                <w:sz w:val="17"/>
              </w:rPr>
              <w:t xml:space="preserve">A platform header says which app sent the request</w:t>
            </w:r>
          </w:p>
        </w:tc>
        <w:tc>
          <w:tcPr>
            <w:tcW w:w="4281" w:type="dxa"/>
          </w:tcPr>
          <w:p>
            <w:pPr>
              <w:pStyle w:val="Compact"/>
              <w:spacing w:line="240" w:lineRule="auto" w:after="0"/>
              <w:jc w:val="left"/>
            </w:pPr>
            <w:r>
              <w:rPr>
                <w:sz w:val="17"/>
              </w:rPr>
              <w:t xml:space="preserve">Sending the header reaches every exemption</w:t>
            </w:r>
          </w:p>
        </w:tc>
      </w:tr>
      <w:tr>
        <w:tc>
          <w:tcPr>
            <w:tcW w:w="509" w:type="dxa"/>
          </w:tcPr>
          <w:p>
            <w:pPr>
              <w:pStyle w:val="Compact"/>
              <w:spacing w:line="240" w:lineRule="auto" w:after="0"/>
              <w:jc w:val="center"/>
            </w:pPr>
            <w:r>
              <w:rPr>
                <w:sz w:val="17"/>
              </w:rPr>
              <w:t xml:space="preserve">B</w:t>
            </w:r>
          </w:p>
        </w:tc>
        <w:tc>
          <w:tcPr>
            <w:tcW w:w="4281" w:type="dxa"/>
          </w:tcPr>
          <w:p>
            <w:pPr>
              <w:pStyle w:val="Compact"/>
              <w:spacing w:line="240" w:lineRule="auto" w:after="0"/>
              <w:jc w:val="left"/>
            </w:pPr>
            <w:r>
              <w:rPr>
                <w:sz w:val="17"/>
              </w:rPr>
              <w:t xml:space="preserve">Five requests per address per minute bound an attacker</w:t>
            </w:r>
          </w:p>
        </w:tc>
        <w:tc>
          <w:tcPr>
            <w:tcW w:w="4281" w:type="dxa"/>
          </w:tcPr>
          <w:p>
            <w:pPr>
              <w:pStyle w:val="Compact"/>
              <w:spacing w:line="240" w:lineRule="auto" w:after="0"/>
              <w:jc w:val="left"/>
            </w:pPr>
            <w:r>
              <w:rPr>
                <w:sz w:val="17"/>
              </w:rPr>
              <w:t xml:space="preserve">A fresh residential address per request</w:t>
            </w:r>
          </w:p>
        </w:tc>
      </w:tr>
      <w:tr>
        <w:tc>
          <w:tcPr>
            <w:tcW w:w="509" w:type="dxa"/>
          </w:tcPr>
          <w:p>
            <w:pPr>
              <w:pStyle w:val="Compact"/>
              <w:spacing w:line="240" w:lineRule="auto" w:after="0"/>
              <w:jc w:val="center"/>
            </w:pPr>
            <w:r>
              <w:rPr>
                <w:sz w:val="17"/>
              </w:rPr>
              <w:t xml:space="preserve">C</w:t>
            </w:r>
          </w:p>
        </w:tc>
        <w:tc>
          <w:tcPr>
            <w:tcW w:w="4281" w:type="dxa"/>
          </w:tcPr>
          <w:p>
            <w:pPr>
              <w:pStyle w:val="Compact"/>
              <w:spacing w:line="240" w:lineRule="auto" w:after="0"/>
              <w:jc w:val="left"/>
            </w:pPr>
            <w:r>
              <w:rPr>
                <w:sz w:val="17"/>
              </w:rPr>
              <w:t xml:space="preserve">A number given is worth sending to</w:t>
            </w:r>
          </w:p>
        </w:tc>
        <w:tc>
          <w:tcPr>
            <w:tcW w:w="4281" w:type="dxa"/>
          </w:tcPr>
          <w:p>
            <w:pPr>
              <w:pStyle w:val="Compact"/>
              <w:spacing w:line="240" w:lineRule="auto" w:after="0"/>
              <w:jc w:val="left"/>
            </w:pPr>
            <w:r>
              <w:rPr>
                <w:sz w:val="17"/>
              </w:rPr>
              <w:t xml:space="preserve">Generated numbers cost as much as real ones</w:t>
            </w:r>
          </w:p>
        </w:tc>
      </w:tr>
      <w:tr>
        <w:tc>
          <w:tcPr>
            <w:tcW w:w="509" w:type="dxa"/>
          </w:tcPr>
          <w:p>
            <w:pPr>
              <w:pStyle w:val="Compact"/>
              <w:spacing w:line="240" w:lineRule="auto" w:after="0"/>
              <w:jc w:val="center"/>
            </w:pPr>
            <w:r>
              <w:rPr>
                <w:sz w:val="17"/>
              </w:rPr>
              <w:t xml:space="preserve">D</w:t>
            </w:r>
          </w:p>
        </w:tc>
        <w:tc>
          <w:tcPr>
            <w:tcW w:w="4281" w:type="dxa"/>
          </w:tcPr>
          <w:p>
            <w:pPr>
              <w:pStyle w:val="Compact"/>
              <w:spacing w:line="240" w:lineRule="auto" w:after="0"/>
              <w:jc w:val="left"/>
            </w:pPr>
            <w:r>
              <w:rPr>
                <w:sz w:val="17"/>
              </w:rPr>
              <w:t xml:space="preserve">An allowed country is a safe destination</w:t>
            </w:r>
          </w:p>
        </w:tc>
        <w:tc>
          <w:tcPr>
            <w:tcW w:w="4281" w:type="dxa"/>
          </w:tcPr>
          <w:p>
            <w:pPr>
              <w:pStyle w:val="Compact"/>
              <w:spacing w:line="240" w:lineRule="auto" w:after="0"/>
              <w:jc w:val="left"/>
            </w:pPr>
            <w:r>
              <w:rPr>
                <w:sz w:val="17"/>
              </w:rPr>
              <w:t xml:space="preserve">Premium ranges inside it cost far more</w:t>
            </w:r>
          </w:p>
        </w:tc>
      </w:tr>
      <w:tr>
        <w:tc>
          <w:tcPr>
            <w:tcW w:w="509" w:type="dxa"/>
          </w:tcPr>
          <w:p>
            <w:pPr>
              <w:pStyle w:val="Compact"/>
              <w:spacing w:line="240" w:lineRule="auto" w:after="0"/>
              <w:jc w:val="center"/>
            </w:pPr>
            <w:r>
              <w:rPr>
                <w:sz w:val="17"/>
              </w:rPr>
              <w:t xml:space="preserve">E</w:t>
            </w:r>
          </w:p>
        </w:tc>
        <w:tc>
          <w:tcPr>
            <w:tcW w:w="4281" w:type="dxa"/>
          </w:tcPr>
          <w:p>
            <w:pPr>
              <w:pStyle w:val="Compact"/>
              <w:spacing w:line="240" w:lineRule="auto" w:after="0"/>
              <w:jc w:val="left"/>
            </w:pPr>
            <w:r>
              <w:rPr>
                <w:sz w:val="17"/>
              </w:rPr>
              <w:t xml:space="preserve">Per-key caps bound total spend</w:t>
            </w:r>
          </w:p>
        </w:tc>
        <w:tc>
          <w:tcPr>
            <w:tcW w:w="4281" w:type="dxa"/>
          </w:tcPr>
          <w:p>
            <w:pPr>
              <w:pStyle w:val="Compact"/>
              <w:spacing w:line="240" w:lineRule="auto" w:after="0"/>
              <w:jc w:val="left"/>
            </w:pPr>
            <w:r>
              <w:rPr>
                <w:sz w:val="17"/>
              </w:rPr>
              <w:t xml:space="preserve">A wide attack under every cap</w:t>
            </w:r>
          </w:p>
        </w:tc>
      </w:tr>
      <w:tr>
        <w:tc>
          <w:tcPr>
            <w:tcW w:w="509" w:type="dxa"/>
          </w:tcPr>
          <w:p>
            <w:pPr>
              <w:pStyle w:val="Compact"/>
              <w:spacing w:line="240" w:lineRule="auto" w:after="0"/>
              <w:jc w:val="center"/>
            </w:pPr>
            <w:r>
              <w:rPr>
                <w:sz w:val="17"/>
              </w:rPr>
              <w:t xml:space="preserve">F</w:t>
            </w:r>
          </w:p>
        </w:tc>
        <w:tc>
          <w:tcPr>
            <w:tcW w:w="4281" w:type="dxa"/>
          </w:tcPr>
          <w:p>
            <w:pPr>
              <w:pStyle w:val="Compact"/>
              <w:spacing w:line="240" w:lineRule="auto" w:after="0"/>
              <w:jc w:val="left"/>
            </w:pPr>
            <w:r>
              <w:rPr>
                <w:sz w:val="17"/>
              </w:rPr>
              <w:t xml:space="preserve">Check-then-increment is a rate limit</w:t>
            </w:r>
          </w:p>
        </w:tc>
        <w:tc>
          <w:tcPr>
            <w:tcW w:w="4281" w:type="dxa"/>
          </w:tcPr>
          <w:p>
            <w:pPr>
              <w:pStyle w:val="Compact"/>
              <w:spacing w:line="240" w:lineRule="auto" w:after="0"/>
              <w:jc w:val="left"/>
            </w:pPr>
            <w:r>
              <w:rPr>
                <w:sz w:val="17"/>
              </w:rPr>
              <w:t xml:space="preserve">Two racing instances both pass</w:t>
            </w:r>
          </w:p>
        </w:tc>
      </w:tr>
      <w:tr>
        <w:tc>
          <w:tcPr>
            <w:tcW w:w="509" w:type="dxa"/>
          </w:tcPr>
          <w:p>
            <w:pPr>
              <w:pStyle w:val="Compact"/>
              <w:spacing w:line="240" w:lineRule="auto" w:after="0"/>
              <w:jc w:val="center"/>
            </w:pPr>
            <w:r>
              <w:rPr>
                <w:sz w:val="17"/>
              </w:rPr>
              <w:t xml:space="preserve">G</w:t>
            </w:r>
          </w:p>
        </w:tc>
        <w:tc>
          <w:tcPr>
            <w:tcW w:w="4281" w:type="dxa"/>
          </w:tcPr>
          <w:p>
            <w:pPr>
              <w:pStyle w:val="Compact"/>
              <w:spacing w:line="240" w:lineRule="auto" w:after="0"/>
              <w:jc w:val="left"/>
            </w:pPr>
            <w:r>
              <w:rPr>
                <w:sz w:val="17"/>
              </w:rPr>
              <w:t xml:space="preserve">Bulk and test flags are internal</w:t>
            </w:r>
          </w:p>
        </w:tc>
        <w:tc>
          <w:tcPr>
            <w:tcW w:w="4281" w:type="dxa"/>
          </w:tcPr>
          <w:p>
            <w:pPr>
              <w:pStyle w:val="Compact"/>
              <w:spacing w:line="240" w:lineRule="auto" w:after="0"/>
              <w:jc w:val="left"/>
            </w:pPr>
            <w:r>
              <w:rPr>
                <w:sz w:val="17"/>
              </w:rPr>
              <w:t xml:space="preserve">Neither needs stronger authentication</w:t>
            </w:r>
          </w:p>
        </w:tc>
      </w:tr>
      <w:tr>
        <w:tc>
          <w:tcPr>
            <w:tcW w:w="509" w:type="dxa"/>
            <w:tcBorders>
              <w:bottom w:val="single" w:sz="8" w:color="000000"/>
            </w:tcBorders>
          </w:tcPr>
          <w:p>
            <w:pPr>
              <w:pStyle w:val="Compact"/>
              <w:spacing w:line="240" w:lineRule="auto" w:after="0"/>
              <w:jc w:val="center"/>
            </w:pPr>
            <w:r>
              <w:rPr>
                <w:sz w:val="17"/>
              </w:rPr>
              <w:t xml:space="preserve">H</w:t>
            </w:r>
          </w:p>
        </w:tc>
        <w:tc>
          <w:tcPr>
            <w:tcW w:w="4281" w:type="dxa"/>
            <w:tcBorders>
              <w:bottom w:val="single" w:sz="8" w:color="000000"/>
            </w:tcBorders>
          </w:tcPr>
          <w:p>
            <w:pPr>
              <w:pStyle w:val="Compact"/>
              <w:spacing w:line="240" w:lineRule="auto" w:after="0"/>
              <w:jc w:val="left"/>
            </w:pPr>
            <w:r>
              <w:rPr>
                <w:sz w:val="17"/>
              </w:rPr>
              <w:t xml:space="preserve">Each check says which check failed</w:t>
            </w:r>
          </w:p>
        </w:tc>
        <w:tc>
          <w:tcPr>
            <w:tcW w:w="4281" w:type="dxa"/>
            <w:tcBorders>
              <w:bottom w:val="single" w:sz="8" w:color="000000"/>
            </w:tcBorders>
          </w:tcPr>
          <w:p>
            <w:pPr>
              <w:pStyle w:val="Compact"/>
              <w:spacing w:line="240" w:lineRule="auto" w:after="0"/>
              <w:jc w:val="left"/>
            </w:pPr>
            <w:r>
              <w:rPr>
                <w:sz w:val="17"/>
              </w:rPr>
              <w:t xml:space="preserve">Thresholds can be probed one at a time</w:t>
            </w:r>
          </w:p>
        </w:tc>
      </w:tr>
    </w:tbl>
    <w:bookmarkEnd w:id="31"/>
    <w:bookmarkStart w:id="32" w:name="threat-model"/>
    <w:p>
      <w:pPr>
        <w:pStyle w:val="Heading2"/>
      </w:pPr>
      <w:r>
        <w:rPr>
          <w:rStyle w:val="SectionNumber"/>
        </w:rPr>
        <w:t xml:space="preserve">3.2</w:t>
      </w:r>
      <w:r>
        <w:tab/>
      </w:r>
      <w:r>
        <w:t xml:space="preserve">Threat model</w:t>
      </w:r>
    </w:p>
    <w:p>
      <w:pPr>
        <w:pStyle w:val="FirstParagraph"/>
      </w:pPr>
      <w:r>
        <w:t xml:space="preserve">The attacker wants as many messages sent as possible, or sent to numbers that pay it. It buys residential proxies and human-like reCAPTCHA tokens (about 0.3 cents each), mints fingerprints, generates numbers, and knows the thresholds. A pumper also has a colluding operator’s ranges, where it may enter codes, report deliveries as failed, build verified history, spread over blocks, and buy challenge solutions. It cannot forge an attestation, use ranges its partner does not terminate, or make a stranger enter a code.</w:t>
      </w:r>
    </w:p>
    <w:bookmarkEnd w:id="32"/>
    <w:bookmarkStart w:id="33" w:name="the-pipeline-and-the-risk-score"/>
    <w:p>
      <w:pPr>
        <w:pStyle w:val="Heading2"/>
      </w:pPr>
      <w:r>
        <w:rPr>
          <w:rStyle w:val="SectionNumber"/>
        </w:rPr>
        <w:t xml:space="preserve">3.3</w:t>
      </w:r>
      <w:r>
        <w:tab/>
      </w:r>
      <w:r>
        <w:t xml:space="preserve">The pipeline and the risk score</w:t>
      </w:r>
    </w:p>
    <w:p>
      <w:pPr>
        <w:pStyle w:val="FirstParagraph"/>
      </w:pPr>
      <w:r>
        <w:t xml:space="preserve">No message is paid for before every check passes, and cheap checks run first. Trust comes from evidence the client cannot forge, an attestation, a server-signed session, and the fate of earlier codes, though such evidence can be manufactured (Section 5.8). A request passes the steps of Table 3, which lists in brackets the gaps of Table 2 each step addresses (FB: the feedback loop), until it is refused. Step 0 takes the platform only from a valid App Attest or Play Integrity result.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4). Address limits and source caps count requests, except that a request Step 11 challenges returns its source-cap count. Every outcome after Step 0, except the challenge, returns one HTTP 200 body after at least 400 ms, a floor that cannot hide longer work.</w:t>
      </w:r>
    </w:p>
    <w:p>
      <w:pPr>
        <w:pStyle w:val="TableCaption"/>
      </w:pPr>
      <w:r>
        <w:rPr>
          <w:bCs/>
          <w:b/>
        </w:rPr>
        <w:t xml:space="preserve">Table 3</w:t>
      </w:r>
      <w:r>
        <w:t xml:space="preserve"> </w:t>
      </w:r>
      <w:r>
        <w:br/>
        <w:t xml:space="preserve">Twelve Steps and the v1 Gaps They Address.</w:t>
      </w:r>
    </w:p>
    <w:tbl>
      <w:tblPr>
        <w:tblStyle w:val="Table"/>
        <w:tblW w:w="9072" w:type="dxa"/>
        <w:jc w:val="center"/>
        <w:tblLayout w:type="fixed"/>
        <w:tblCellMar>
          <w:left w:w="57" w:type="dxa"/>
          <w:right w:w="57" w:type="dxa"/>
        </w:tblCellMar>
        <w:tblLook w:firstRow="1" w:lastRow="0" w:firstColumn="0" w:lastColumn="0" w:noHBand="0" w:noVBand="0" w:val="0020"/>
        <w:tblCaption w:val="Table 3 TBLBRK Twelve Steps and the v1 Gaps They Address."/>
      </w:tblPr>
      <w:tblGrid>
        <w:gridCol w:w="1134"/>
        <w:gridCol w:w="7938"/>
      </w:tblGrid>
      <w:tr>
        <w:trPr>
          <w:tblHeader w:val="true"/>
        </w:trPr>
        <w:tc>
          <w:tcPr>
            <w:tcW w:w="1134" w:type="dxa"/>
            <w:tcBorders>
              <w:top w:val="single" w:sz="8" w:color="000000"/>
              <w:bottom w:val="single" w:sz="4" w:color="000000"/>
            </w:tcBorders>
          </w:tcPr>
          <w:p>
            <w:pPr>
              <w:pStyle w:val="Compact"/>
              <w:spacing w:line="240" w:lineRule="auto" w:after="0"/>
              <w:jc w:val="center"/>
            </w:pPr>
            <w:r>
              <w:rPr>
                <w:sz w:val="17"/>
              </w:rPr>
              <w:t xml:space="preserve">Step</w:t>
            </w:r>
          </w:p>
        </w:tc>
        <w:tc>
          <w:tcPr>
            <w:tcW w:w="7938" w:type="dxa"/>
            <w:tcBorders>
              <w:top w:val="single" w:sz="8" w:color="000000"/>
              <w:bottom w:val="single" w:sz="4" w:color="000000"/>
            </w:tcBorders>
          </w:tcPr>
          <w:p>
            <w:pPr>
              <w:pStyle w:val="Compact"/>
              <w:spacing w:line="240" w:lineRule="auto" w:after="0"/>
              <w:jc w:val="left"/>
            </w:pPr>
            <w:r>
              <w:rPr>
                <w:sz w:val="17"/>
              </w:rPr>
              <w:t xml:space="preserve">Check</w:t>
            </w:r>
          </w:p>
        </w:tc>
      </w:tr>
      <w:tr>
        <w:tc>
          <w:tcPr>
            <w:tcW w:w="1134" w:type="dxa"/>
          </w:tcPr>
          <w:p>
            <w:pPr>
              <w:pStyle w:val="Compact"/>
              <w:spacing w:line="240" w:lineRule="auto" w:after="0"/>
              <w:jc w:val="center"/>
            </w:pPr>
            <w:r>
              <w:rPr>
                <w:sz w:val="17"/>
              </w:rPr>
              <w:t xml:space="preserve">0</w:t>
            </w:r>
          </w:p>
        </w:tc>
        <w:tc>
          <w:tcPr>
            <w:tcW w:w="7938" w:type="dxa"/>
          </w:tcPr>
          <w:p>
            <w:pPr>
              <w:pStyle w:val="Compact"/>
              <w:spacing w:line="240" w:lineRule="auto" w:after="0"/>
              <w:jc w:val="left"/>
            </w:pPr>
            <w:r>
              <w:rPr>
                <w:sz w:val="17"/>
              </w:rPr>
              <w:t xml:space="preserve">Proxy block; platform from attestation, never from the header [A]</w:t>
            </w:r>
          </w:p>
        </w:tc>
      </w:tr>
      <w:tr>
        <w:tc>
          <w:tcPr>
            <w:tcW w:w="1134" w:type="dxa"/>
          </w:tcPr>
          <w:p>
            <w:pPr>
              <w:pStyle w:val="Compact"/>
              <w:spacing w:line="240" w:lineRule="auto" w:after="0"/>
              <w:jc w:val="center"/>
            </w:pPr>
            <w:r>
              <w:rPr>
                <w:sz w:val="17"/>
              </w:rPr>
              <w:t xml:space="preserve">1</w:t>
            </w:r>
          </w:p>
        </w:tc>
        <w:tc>
          <w:tcPr>
            <w:tcW w:w="7938" w:type="dxa"/>
          </w:tcPr>
          <w:p>
            <w:pPr>
              <w:pStyle w:val="Compact"/>
              <w:spacing w:line="240" w:lineRule="auto" w:after="0"/>
              <w:jc w:val="left"/>
            </w:pPr>
            <w:r>
              <w:rPr>
                <w:sz w:val="17"/>
              </w:rPr>
              <w:t xml:space="preserve">Signed session bound to a fingerprint; 3 requests per session per 10 min [B]</w:t>
            </w:r>
          </w:p>
        </w:tc>
      </w:tr>
      <w:tr>
        <w:tc>
          <w:tcPr>
            <w:tcW w:w="1134" w:type="dxa"/>
          </w:tcPr>
          <w:p>
            <w:pPr>
              <w:pStyle w:val="Compact"/>
              <w:spacing w:line="240" w:lineRule="auto" w:after="0"/>
              <w:jc w:val="center"/>
            </w:pPr>
            <w:r>
              <w:rPr>
                <w:sz w:val="17"/>
              </w:rPr>
              <w:t xml:space="preserve">2</w:t>
            </w:r>
          </w:p>
        </w:tc>
        <w:tc>
          <w:tcPr>
            <w:tcW w:w="7938" w:type="dxa"/>
          </w:tcPr>
          <w:p>
            <w:pPr>
              <w:pStyle w:val="Compact"/>
              <w:spacing w:line="240" w:lineRule="auto" w:after="0"/>
              <w:jc w:val="left"/>
            </w:pPr>
            <w:r>
              <w:rPr>
                <w:sz w:val="17"/>
              </w:rPr>
              <w:t xml:space="preserve">Limits per address, /24 and ASN, lower for hosting ASNs [B, F]</w:t>
            </w:r>
          </w:p>
        </w:tc>
      </w:tr>
      <w:tr>
        <w:tc>
          <w:tcPr>
            <w:tcW w:w="1134" w:type="dxa"/>
          </w:tcPr>
          <w:p>
            <w:pPr>
              <w:pStyle w:val="Compact"/>
              <w:spacing w:line="240" w:lineRule="auto" w:after="0"/>
              <w:jc w:val="center"/>
            </w:pPr>
            <w:r>
              <w:rPr>
                <w:sz w:val="17"/>
              </w:rPr>
              <w:t xml:space="preserve">3–4</w:t>
            </w:r>
          </w:p>
        </w:tc>
        <w:tc>
          <w:tcPr>
            <w:tcW w:w="7938" w:type="dxa"/>
          </w:tcPr>
          <w:p>
            <w:pPr>
              <w:pStyle w:val="Compact"/>
              <w:spacing w:line="240" w:lineRule="auto" w:after="0"/>
              <w:jc w:val="left"/>
            </w:pPr>
            <w:r>
              <w:rPr>
                <w:sz w:val="17"/>
              </w:rPr>
              <w:t xml:space="preserve">reCAPTCHA v3 threshold and origin check, web only</w:t>
            </w:r>
          </w:p>
        </w:tc>
      </w:tr>
      <w:tr>
        <w:tc>
          <w:tcPr>
            <w:tcW w:w="1134" w:type="dxa"/>
          </w:tcPr>
          <w:p>
            <w:pPr>
              <w:pStyle w:val="Compact"/>
              <w:spacing w:line="240" w:lineRule="auto" w:after="0"/>
              <w:jc w:val="center"/>
            </w:pPr>
            <w:r>
              <w:rPr>
                <w:sz w:val="17"/>
              </w:rPr>
              <w:t xml:space="preserve">5</w:t>
            </w:r>
          </w:p>
        </w:tc>
        <w:tc>
          <w:tcPr>
            <w:tcW w:w="7938" w:type="dxa"/>
          </w:tcPr>
          <w:p>
            <w:pPr>
              <w:pStyle w:val="Compact"/>
              <w:spacing w:line="240" w:lineRule="auto" w:after="0"/>
              <w:jc w:val="left"/>
            </w:pPr>
            <w:r>
              <w:rPr>
                <w:sz w:val="17"/>
              </w:rPr>
              <w:t xml:space="preserve">Number intelligence: cost class, sequential numbers, liveness; reads the block’s verdict stage [C, D, G]</w:t>
            </w:r>
          </w:p>
        </w:tc>
      </w:tr>
      <w:tr>
        <w:tc>
          <w:tcPr>
            <w:tcW w:w="1134" w:type="dxa"/>
          </w:tcPr>
          <w:p>
            <w:pPr>
              <w:pStyle w:val="Compact"/>
              <w:spacing w:line="240" w:lineRule="auto" w:after="0"/>
              <w:jc w:val="center"/>
            </w:pPr>
            <w:r>
              <w:rPr>
                <w:sz w:val="17"/>
              </w:rPr>
              <w:t xml:space="preserve">6</w:t>
            </w:r>
          </w:p>
        </w:tc>
        <w:tc>
          <w:tcPr>
            <w:tcW w:w="7938" w:type="dxa"/>
          </w:tcPr>
          <w:p>
            <w:pPr>
              <w:pStyle w:val="Compact"/>
              <w:spacing w:line="240" w:lineRule="auto" w:after="0"/>
              <w:jc w:val="left"/>
            </w:pPr>
            <w:r>
              <w:rPr>
                <w:sz w:val="17"/>
              </w:rPr>
              <w:t xml:space="preserve">Body length, excluded numbers; test bypass needs a credential [G]</w:t>
            </w:r>
          </w:p>
        </w:tc>
      </w:tr>
      <w:tr>
        <w:tc>
          <w:tcPr>
            <w:tcW w:w="1134" w:type="dxa"/>
          </w:tcPr>
          <w:p>
            <w:pPr>
              <w:pStyle w:val="Compact"/>
              <w:spacing w:line="240" w:lineRule="auto" w:after="0"/>
              <w:jc w:val="center"/>
            </w:pPr>
            <w:r>
              <w:rPr>
                <w:sz w:val="17"/>
              </w:rPr>
              <w:t xml:space="preserve">7</w:t>
            </w:r>
          </w:p>
        </w:tc>
        <w:tc>
          <w:tcPr>
            <w:tcW w:w="7938" w:type="dxa"/>
          </w:tcPr>
          <w:p>
            <w:pPr>
              <w:pStyle w:val="Compact"/>
              <w:spacing w:line="240" w:lineRule="auto" w:after="0"/>
              <w:jc w:val="left"/>
            </w:pPr>
            <w:r>
              <w:rPr>
                <w:sz w:val="17"/>
              </w:rPr>
              <w:t xml:space="preserve">Risk score and tier: allow, delay, challenge, downgrade, block [H]</w:t>
            </w:r>
          </w:p>
        </w:tc>
      </w:tr>
      <w:tr>
        <w:tc>
          <w:tcPr>
            <w:tcW w:w="1134" w:type="dxa"/>
          </w:tcPr>
          <w:p>
            <w:pPr>
              <w:pStyle w:val="Compact"/>
              <w:spacing w:line="240" w:lineRule="auto" w:after="0"/>
              <w:jc w:val="center"/>
            </w:pPr>
            <w:r>
              <w:rPr>
                <w:sz w:val="17"/>
              </w:rPr>
              <w:t xml:space="preserve">8</w:t>
            </w:r>
          </w:p>
        </w:tc>
        <w:tc>
          <w:tcPr>
            <w:tcW w:w="7938" w:type="dxa"/>
          </w:tcPr>
          <w:p>
            <w:pPr>
              <w:pStyle w:val="Compact"/>
              <w:spacing w:line="240" w:lineRule="auto" w:after="0"/>
              <w:jc w:val="left"/>
            </w:pPr>
            <w:r>
              <w:rPr>
                <w:sz w:val="17"/>
              </w:rPr>
              <w:t xml:space="preserve">Per-number backoff, 60 s doubling to 1 h, five a day</w:t>
            </w:r>
          </w:p>
        </w:tc>
      </w:tr>
      <w:tr>
        <w:tc>
          <w:tcPr>
            <w:tcW w:w="1134" w:type="dxa"/>
          </w:tcPr>
          <w:p>
            <w:pPr>
              <w:pStyle w:val="Compact"/>
              <w:spacing w:line="240" w:lineRule="auto" w:after="0"/>
              <w:jc w:val="center"/>
            </w:pPr>
            <w:r>
              <w:rPr>
                <w:sz w:val="17"/>
              </w:rPr>
              <w:t xml:space="preserve">9</w:t>
            </w:r>
          </w:p>
        </w:tc>
        <w:tc>
          <w:tcPr>
            <w:tcW w:w="7938" w:type="dxa"/>
          </w:tcPr>
          <w:p>
            <w:pPr>
              <w:pStyle w:val="Compact"/>
              <w:spacing w:line="240" w:lineRule="auto" w:after="0"/>
              <w:jc w:val="left"/>
            </w:pPr>
            <w:r>
              <w:rPr>
                <w:sz w:val="17"/>
              </w:rPr>
              <w:t xml:space="preserve">Per-source, platform and country caps with an adaptive multiplier</w:t>
            </w:r>
          </w:p>
        </w:tc>
      </w:tr>
      <w:tr>
        <w:tc>
          <w:tcPr>
            <w:tcW w:w="1134" w:type="dxa"/>
          </w:tcPr>
          <w:p>
            <w:pPr>
              <w:pStyle w:val="Compact"/>
              <w:spacing w:line="240" w:lineRule="auto" w:after="0"/>
              <w:jc w:val="center"/>
            </w:pPr>
            <w:r>
              <w:rPr>
                <w:sz w:val="17"/>
              </w:rPr>
              <w:t xml:space="preserve">10</w:t>
            </w:r>
          </w:p>
        </w:tc>
        <w:tc>
          <w:tcPr>
            <w:tcW w:w="7938" w:type="dxa"/>
          </w:tcPr>
          <w:p>
            <w:pPr>
              <w:pStyle w:val="Compact"/>
              <w:spacing w:line="240" w:lineRule="auto" w:after="0"/>
              <w:jc w:val="left"/>
            </w:pPr>
            <w:r>
              <w:rPr>
                <w:sz w:val="17"/>
              </w:rPr>
              <w:t xml:space="preserve">Operating mode: elevated above 80% of the hourly budget, emergency at 100% [E]</w:t>
            </w:r>
          </w:p>
        </w:tc>
      </w:tr>
      <w:tr>
        <w:tc>
          <w:tcPr>
            <w:tcW w:w="1134" w:type="dxa"/>
          </w:tcPr>
          <w:p>
            <w:pPr>
              <w:pStyle w:val="Compact"/>
              <w:spacing w:line="240" w:lineRule="auto" w:after="0"/>
              <w:jc w:val="center"/>
            </w:pPr>
            <w:r>
              <w:rPr>
                <w:sz w:val="17"/>
              </w:rPr>
              <w:t xml:space="preserve">11</w:t>
            </w:r>
          </w:p>
        </w:tc>
        <w:tc>
          <w:tcPr>
            <w:tcW w:w="7938" w:type="dxa"/>
          </w:tcPr>
          <w:p>
            <w:pPr>
              <w:pStyle w:val="Compact"/>
              <w:spacing w:line="240" w:lineRule="auto" w:after="0"/>
              <w:jc w:val="left"/>
            </w:pPr>
            <w:r>
              <w:rPr>
                <w:sz w:val="17"/>
              </w:rPr>
              <w:t xml:space="preserve">Reserve hourly count, spend and any destination slot; write state; enqueue; uniform response [E, H]</w:t>
            </w:r>
          </w:p>
        </w:tc>
      </w:tr>
      <w:tr>
        <w:tc>
          <w:tcPr>
            <w:tcW w:w="1134" w:type="dxa"/>
            <w:tcBorders>
              <w:bottom w:val="single" w:sz="8" w:color="000000"/>
            </w:tcBorders>
          </w:tcPr>
          <w:p>
            <w:pPr>
              <w:pStyle w:val="Compact"/>
              <w:spacing w:line="240" w:lineRule="auto" w:after="0"/>
              <w:jc w:val="center"/>
            </w:pPr>
            <w:r>
              <w:rPr>
                <w:sz w:val="17"/>
              </w:rPr>
              <w:t xml:space="preserve">FB</w:t>
            </w:r>
          </w:p>
        </w:tc>
        <w:tc>
          <w:tcPr>
            <w:tcW w:w="7938" w:type="dxa"/>
            <w:tcBorders>
              <w:bottom w:val="single" w:sz="8" w:color="000000"/>
            </w:tcBorders>
          </w:tcPr>
          <w:p>
            <w:pPr>
              <w:pStyle w:val="Compact"/>
              <w:spacing w:line="240" w:lineRule="auto" w:after="0"/>
              <w:jc w:val="left"/>
            </w:pPr>
            <w:r>
              <w:rPr>
                <w:sz w:val="17"/>
              </w:rPr>
              <w:t xml:space="preserve">Outcomes per key; destination-block tests; denylist of fine keys</w:t>
            </w:r>
          </w:p>
        </w:tc>
      </w:tr>
    </w:tbl>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(Ahmed, 2026).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33"/>
    <w:bookmarkStart w:id="34" w:name="the-feedback-loop"/>
    <w:p>
      <w:pPr>
        <w:pStyle w:val="Heading2"/>
      </w:pPr>
      <w:r>
        <w:rPr>
          <w:rStyle w:val="SectionNumber"/>
        </w:rPr>
        <w:t xml:space="preserve">3.4</w:t>
      </w:r>
      <w:r>
        <w:tab/>
      </w:r>
      <w:r>
        <w:t xml:space="preserve">The feedback loop</w:t>
      </w:r>
    </w:p>
    <w:p>
      <w:pPr>
        <w:pStyle w:val="FirstParagraph"/>
      </w:pPr>
      <w:r>
        <w:t xml:space="preserve">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34"/>
    <w:bookmarkStart w:id="37" w:name="destination-policies"/>
    <w:p>
      <w:pPr>
        <w:pStyle w:val="Heading2"/>
      </w:pPr>
      <w:r>
        <w:rPr>
          <w:rStyle w:val="SectionNumber"/>
        </w:rPr>
        <w:t xml:space="preserve">3.5</w:t>
      </w:r>
      <w:r>
        <w:tab/>
      </w:r>
      <w:r>
        <w:t xml:space="preserve">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bookmarkStart w:id="35" w:name="sequential-tests"/>
    <w:p>
      <w:pPr>
        <w:pStyle w:val="Heading3"/>
      </w:pPr>
      <w:r>
        <w:rPr>
          <w:rStyle w:val="SectionNumber"/>
        </w:rPr>
        <w:t xml:space="preserve">3.5.1</w:t>
      </w:r>
      <w:r>
        <w:tab/>
      </w:r>
      <w:r>
        <w:t xml:space="preserve">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(Google LLC, 2026; Web Incubator Community Group, 2026);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bookmarkEnd w:id="35"/>
    <w:bookmarkStart w:id="36" w:name="counters"/>
    <w:p>
      <w:pPr>
        <w:pStyle w:val="Heading3"/>
      </w:pPr>
      <w:r>
        <w:rPr>
          <w:rStyle w:val="SectionNumber"/>
        </w:rPr>
        <w:t xml:space="preserve">3.5.2</w:t>
      </w:r>
      <w:r>
        <w:tab/>
      </w:r>
      <w:r>
        <w:t xml:space="preserve">Counters</w:t>
      </w:r>
    </w:p>
    <w:p>
      <w:pPr>
        <w:pStyle w:val="FirstParagraph"/>
      </w:pP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A token bucket of the same rate (burst 4 or 12; its challenge-tier bucket refills independently, unlike RFC 2697’s (Heinanen and Guerin, 1999)) and the counter combined with the tests were also explored.</w:t>
      </w:r>
    </w:p>
    <w:bookmarkEnd w:id="36"/>
    <w:bookmarkEnd w:id="37"/>
    <w:bookmarkStart w:id="38" w:name="capacity-controls"/>
    <w:p>
      <w:pPr>
        <w:pStyle w:val="Heading2"/>
      </w:pPr>
      <w:r>
        <w:rPr>
          <w:rStyle w:val="SectionNumber"/>
        </w:rPr>
        <w:t xml:space="preserve">3.6</w:t>
      </w:r>
      <w:r>
        <w:tab/>
      </w:r>
      <w:r>
        <w:t xml:space="preserve">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38"/>
    <w:bookmarkStart w:id="39" w:name="Xf0c979229eb29cff3cf30892b5e34effc1bec32"/>
    <w:p>
      <w:pPr>
        <w:pStyle w:val="Heading2"/>
      </w:pPr>
      <w:r>
        <w:rPr>
          <w:rStyle w:val="SectionNumber"/>
        </w:rPr>
        <w:t xml:space="preserve">3.7</w:t>
      </w:r>
      <w:r>
        <w:tab/>
      </w:r>
      <w:r>
        <w:t xml:space="preserve">Leakage estimates and a heuristic crossover</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39"/>
    <w:bookmarkEnd w:id="40"/>
    <w:bookmarkStart w:id="45" w:name="methodology"/>
    <w:p>
      <w:pPr>
        <w:pStyle w:val="Heading1"/>
      </w:pPr>
      <w:r>
        <w:rPr>
          <w:rStyle w:val="SectionNumber"/>
        </w:rPr>
        <w:t xml:space="preserve">4</w:t>
      </w:r>
      <w:r>
        <w:tab/>
      </w:r>
      <w:r>
        <w:t xml:space="preserve">Methodology</w:t>
      </w:r>
    </w:p>
    <w:bookmarkStart w:id="41" w:name="implementation"/>
    <w:p>
      <w:pPr>
        <w:pStyle w:val="Heading2"/>
      </w:pPr>
      <w:r>
        <w:rPr>
          <w:rStyle w:val="SectionNumber"/>
        </w:rPr>
        <w:t xml:space="preserve">4.1</w:t>
      </w:r>
      <w:r>
        <w:tab/>
      </w:r>
      <w:r>
        <w:t xml:space="preserve">Implementation</w:t>
      </w:r>
    </w:p>
    <w:p>
      <w:pPr>
        <w:pStyle w:val="FirstParagraph"/>
      </w:pPr>
      <w:r>
        <w:t xml:space="preserve">Approximately 4 000 lines of Python implement the pipeline on in-memory and Redis backends. Up to release 2.8.3, the simulator’s in-memory store let a sorted set expire a fixed time after its first write, whereas Redis kept it while written to; therefore, the simulated outage detector and Step 5 lost recent observations. Release 2.9.0 follows Redis in every rule compared, checked by differential tests, and every study was rerun with it; earlier releases repaired seven replay and concurrency defects, each with a regression test. Of 453 tests, 19 used a real</w:t>
      </w:r>
      <w:r>
        <w:t xml:space="preserve"> </w:t>
      </w:r>
      <w:r>
        <w:rPr>
          <w:rStyle w:val="VerbatimChar"/>
        </w:rPr>
        <w:t xml:space="preserve">redis-server</w:t>
      </w:r>
      <w:r>
        <w:t xml:space="preserve">, 18 tested specific interleavings of two instances, not all. Step 11 was still not one transaction: a crash after its reservations leaked reserved slots or resolved the send as undelivered. The implementation was a research prototype.</w:t>
      </w:r>
    </w:p>
    <w:bookmarkEnd w:id="41"/>
    <w:bookmarkStart w:id="42" w:name="simulation"/>
    <w:p>
      <w:pPr>
        <w:pStyle w:val="Heading2"/>
      </w:pPr>
      <w:r>
        <w:rPr>
          <w:rStyle w:val="SectionNumber"/>
        </w:rPr>
        <w:t xml:space="preserve">4.2</w:t>
      </w:r>
      <w:r>
        <w:tab/>
      </w:r>
      <w:r>
        <w:t xml:space="preserve">Simulation</w:t>
      </w:r>
    </w:p>
    <w:p>
      <w:pPr>
        <w:pStyle w:val="FirstParagraph"/>
      </w:pPr>
      <w:r>
        <w:t xml:space="preserve">The pipeline runs against scripted vendor fakes on a simulated clock. After a warm-up of ten minutes (30 or 130 for pumping), attacks run over legitimate traffic at 20 requests per minute. Simulated users verify 80% of codes after a lognormal delay (median 22 s; 2 s for the 20% using autofill); 70% of numbers are reachable on WhatsApp; 90% of users complete a challenge; 20% are returning account holders with a stable fingerprint, a trusted number, and verified history; thus, the results for returning users describe trusted identities only. Separate random streams provide all scenarios at the same seed with the same users.</w:t>
      </w:r>
    </w:p>
    <w:p>
      <w:pPr>
        <w:pStyle w:val="BodyText"/>
      </w:pPr>
      <w:r>
        <w:t xml:space="preserve">Three behavioral parameters have published counterparts: genuine conversion (one provider’s 68% or more (Twilio Inc., 2026b); ours 60%–90%) and the never-converting destinations and identity churn of Section 2; the rest are assumptions. Table 4 groups the attacker profiles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this generator, not uncertainty about real traffic.</w:t>
      </w:r>
    </w:p>
    <w:bookmarkEnd w:id="42"/>
    <w:bookmarkStart w:id="43" w:name="two-protocols-and-their-chronology"/>
    <w:p>
      <w:pPr>
        <w:pStyle w:val="Heading2"/>
      </w:pPr>
      <w:r>
        <w:rPr>
          <w:rStyle w:val="SectionNumber"/>
        </w:rPr>
        <w:t xml:space="preserve">4.3</w:t>
      </w:r>
      <w:r>
        <w:tab/>
      </w:r>
      <w:r>
        <w:t xml:space="preserve">Two protocols and their chronology</w:t>
      </w:r>
    </w:p>
    <w:p>
      <w:pPr>
        <w:pStyle w:val="FirstParagraph"/>
      </w:pPr>
      <w:r>
        <w:t xml:space="preserve">A supplementary map (</w:t>
      </w:r>
      <w:r>
        <w:rPr>
          <w:rStyle w:val="VerbatimChar"/>
        </w:rPr>
        <w:t xml:space="preserve">results/ study_map.md</w:t>
      </w:r>
      <w:r>
        <w:t xml:space="preserve">) gives each study’s seeds. The first protocol, committed before its runs, fixed the matched comparison and a robustness study over 12 Latin-hypercube points (conversion 0.6–0.9 and five other behavioral parameters) and a held-out family (60 to 120 attack requests a minute, 50 000 to 500 000 addresses, heterogeneous legitimate traffic), with claims C1–C5 that hold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The second protocol (claims K1–K5) was written after the matched comparison had selected three counters and committed before its runs; six of its seed values had served other robustness points, never selection. Both were rerun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43"/>
    <w:bookmarkStart w:id="44" w:name="designs-and-metrics"/>
    <w:p>
      <w:pPr>
        <w:pStyle w:val="Heading2"/>
      </w:pPr>
      <w:r>
        <w:rPr>
          <w:rStyle w:val="SectionNumber"/>
        </w:rPr>
        <w:t xml:space="preserve">4.4</w:t>
      </w:r>
      <w:r>
        <w:tab/>
      </w:r>
      <w:r>
        <w:t xml:space="preserve">Designs and metrics</w:t>
      </w:r>
    </w:p>
    <w:p>
      <w:pPr>
        <w:pStyle w:val="FirstParagraph"/>
      </w:pPr>
      <w:r>
        <w:t xml:space="preserve">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A seed is</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it is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p>
      <w:pPr>
        <w:pStyle w:val="TableCaption"/>
      </w:pPr>
      <w:r>
        <w:rPr>
          <w:bCs/>
          <w:b/>
        </w:rPr>
        <w:t xml:space="preserve">Table 4</w:t>
      </w:r>
      <w:r>
        <w:t xml:space="preserve"> </w:t>
      </w:r>
      <w:r>
        <w:br/>
        <w:t xml:space="preserve">Attacker Profiles, Capabilities, and Policies.</w:t>
      </w:r>
    </w:p>
    <w:tbl>
      <w:tblPr>
        <w:tblStyle w:val="Table"/>
        <w:tblW w:w="9071" w:type="dxa"/>
        <w:jc w:val="center"/>
        <w:tblLayout w:type="fixed"/>
        <w:tblCellMar>
          <w:left w:w="57" w:type="dxa"/>
          <w:right w:w="57" w:type="dxa"/>
        </w:tblCellMar>
        <w:tblLook w:firstRow="1" w:lastRow="0" w:firstColumn="0" w:lastColumn="0" w:noHBand="0" w:noVBand="0" w:val="0020"/>
        <w:tblCaption w:val="Table 4 TBLBRK Attacker Profiles, Capabilities, and Policies."/>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44"/>
    <w:bookmarkEnd w:id="45"/>
    <w:bookmarkStart w:id="66" w:name="results"/>
    <w:p>
      <w:pPr>
        <w:pStyle w:val="Heading1"/>
      </w:pPr>
      <w:r>
        <w:rPr>
          <w:rStyle w:val="SectionNumber"/>
        </w:rPr>
        <w:t xml:space="preserve">5</w:t>
      </w:r>
      <w:r>
        <w:tab/>
      </w:r>
      <w:r>
        <w:t xml:space="preserve">Results</w:t>
      </w:r>
    </w:p>
    <w:bookmarkStart w:id="46" w:name="rq1-what-is-contained-and-at-what-cost"/>
    <w:p>
      <w:pPr>
        <w:pStyle w:val="Heading2"/>
      </w:pPr>
      <w:r>
        <w:rPr>
          <w:rStyle w:val="SectionNumber"/>
        </w:rPr>
        <w:t xml:space="preserve">5.1</w:t>
      </w:r>
      <w:r>
        <w:tab/>
      </w:r>
      <w:r>
        <w:t xml:space="preserve">RQ1: what is contained, and at what cost</w:t>
      </w:r>
    </w:p>
    <w:p>
      <w:pPr>
        <w:pStyle w:val="TableCaption"/>
      </w:pPr>
      <w:r>
        <w:rPr>
          <w:bCs/>
          <w:b/>
        </w:rPr>
        <w:t xml:space="preserve">Table 5</w:t>
      </w:r>
      <w:r>
        <w:t xml:space="preserve"> </w:t>
      </w:r>
      <w:r>
        <w:br/>
        <w:t xml:space="preserve">Leakage and User Impact Across Designs.</w:t>
      </w:r>
    </w:p>
    <w:tbl>
      <w:tblPr>
        <w:tblStyle w:val="Table"/>
        <w:tblW w:w="9068" w:type="dxa"/>
        <w:jc w:val="center"/>
        <w:tblLayout w:type="fixed"/>
        <w:tblCellMar>
          <w:left w:w="57" w:type="dxa"/>
          <w:right w:w="57" w:type="dxa"/>
        </w:tblCellMar>
        <w:tblLook w:firstRow="0" w:lastRow="0" w:firstColumn="0" w:lastColumn="0" w:noHBand="0" w:noVBand="0" w:val="0000"/>
        <w:tblCaption w:val="Table 5 TBLBRK Leakage and User Impact Across Designs."/>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5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5);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46"/>
    <w:bookmarkStart w:id="47" w:name="rq2-conditional-effects-of-each-layer"/>
    <w:p>
      <w:pPr>
        <w:pStyle w:val="Heading2"/>
      </w:pPr>
      <w:r>
        <w:rPr>
          <w:rStyle w:val="SectionNumber"/>
        </w:rPr>
        <w:t xml:space="preserve">5.2</w:t>
      </w:r>
      <w:r>
        <w:tab/>
      </w:r>
      <w:r>
        <w:t xml:space="preserve">RQ2: conditional effects of each layer</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47"/>
    <w:bookmarkStart w:id="48" w:name="rq3-where-reputation-stops-separating"/>
    <w:p>
      <w:pPr>
        <w:pStyle w:val="Heading2"/>
      </w:pPr>
      <w:r>
        <w:rPr>
          <w:rStyle w:val="SectionNumber"/>
        </w:rPr>
        <w:t xml:space="preserve">5.3</w:t>
      </w:r>
      <w:r>
        <w:tab/>
      </w:r>
      <w:r>
        <w:t xml:space="preserve">RQ3: 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(Douceur, 2002).</w:t>
      </w:r>
    </w:p>
    <w:bookmarkEnd w:id="48"/>
    <w:bookmarkStart w:id="49" w:name="Xc07daa08c7787c54feae400d5f00a63594cbc0c"/>
    <w:p>
      <w:pPr>
        <w:pStyle w:val="Heading2"/>
      </w:pPr>
      <w:r>
        <w:rPr>
          <w:rStyle w:val="SectionNumber"/>
        </w:rPr>
        <w:t xml:space="preserve">5.4</w:t>
      </w:r>
      <w:r>
        <w:tab/>
      </w:r>
      <w:r>
        <w:t xml:space="preserve">RQ4: what rationing costs, and what it depends on</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49"/>
    <w:bookmarkStart w:id="50" w:name="pumping-against-the-sequential-tests"/>
    <w:p>
      <w:pPr>
        <w:pStyle w:val="Heading2"/>
      </w:pPr>
      <w:r>
        <w:rPr>
          <w:rStyle w:val="SectionNumber"/>
        </w:rPr>
        <w:t xml:space="preserve">5.5</w:t>
      </w:r>
      <w:r>
        <w:tab/>
      </w:r>
      <w:r>
        <w:t xml:space="preserve">Pumping against the sequential tests</w:t>
      </w:r>
    </w:p>
    <w:p>
      <w:pPr>
        <w:pStyle w:val="TableCaption"/>
      </w:pPr>
      <w:r>
        <w:rPr>
          <w:bCs/>
          <w:b/>
        </w:rPr>
        <w:t xml:space="preserve">Table 6</w:t>
      </w:r>
      <w:r>
        <w:t xml:space="preserve"> </w:t>
      </w:r>
      <w:r>
        <w:br/>
        <w:t xml:space="preserve">Containment Results for Concentrated Pumping Attacks.</w:t>
      </w:r>
    </w:p>
    <w:tbl>
      <w:tblPr>
        <w:tblStyle w:val="Table"/>
        <w:tblW w:w="9068" w:type="dxa"/>
        <w:jc w:val="center"/>
        <w:tblLayout w:type="fixed"/>
        <w:tblCellMar>
          <w:left w:w="57" w:type="dxa"/>
          <w:right w:w="57" w:type="dxa"/>
        </w:tblCellMar>
        <w:tblLook w:firstRow="0" w:lastRow="0" w:firstColumn="0" w:lastColumn="0" w:noHBand="0" w:noVBand="0" w:val="0000"/>
        <w:tblCaption w:val="Table 6 TBLBRK Containment Results for Concentrated Pumping Attacks."/>
      </w:tblPr>
      <w:tblGrid>
        <w:gridCol w:w="2918"/>
        <w:gridCol w:w="1735"/>
        <w:gridCol w:w="867"/>
        <w:gridCol w:w="1656"/>
        <w:gridCol w:w="1183"/>
        <w:gridCol w:w="709"/>
      </w:tblGrid>
      <w:tr>
        <w:tc>
          <w:tcPr>
            <w:tcW w:w="2918" w:type="dxa"/>
            <w:tcBorders>
              <w:top w:val="single" w:sz="8" w:color="000000"/>
            </w:tcBorders>
          </w:tcPr>
          <w:p>
            <w:pPr>
              <w:pStyle w:val="Compact"/>
              <w:spacing w:line="240" w:lineRule="auto" w:after="0"/>
              <w:jc w:val="left"/>
            </w:pPr>
            <w:r>
              <w:rPr>
                <w:sz w:val="17"/>
              </w:rPr>
              <w:t xml:space="preserve">Carrier, design</w:t>
            </w:r>
          </w:p>
        </w:tc>
        <w:tc>
          <w:tcPr>
            <w:tcW w:w="1735" w:type="dxa"/>
            <w:tcBorders>
              <w:top w:val="single" w:sz="8" w:color="000000"/>
            </w:tcBorders>
          </w:tcPr>
          <w:p>
            <w:pPr>
              <w:pStyle w:val="Compact"/>
              <w:spacing w:line="240" w:lineRule="auto" w:after="0"/>
              <w:jc w:val="left"/>
            </w:pPr>
            <w:r>
              <w:rPr>
                <w:sz w:val="17"/>
              </w:rPr>
              <w:t xml:space="preserve">Leaked</w:t>
            </w:r>
          </w:p>
        </w:tc>
        <w:tc>
          <w:tcPr>
            <w:tcW w:w="867" w:type="dxa"/>
            <w:tcBorders>
              <w:top w:val="single" w:sz="8" w:color="000000"/>
            </w:tcBorders>
          </w:tcPr>
          <w:p>
            <w:pPr>
              <w:pStyle w:val="Compact"/>
              <w:spacing w:line="240" w:lineRule="auto" w:after="0"/>
              <w:jc w:val="left"/>
            </w:pPr>
            <w:r>
              <w:rPr>
                <w:sz w:val="17"/>
              </w:rPr>
              <w:t xml:space="preserve">Contained</w:t>
            </w:r>
          </w:p>
        </w:tc>
        <w:tc>
          <w:tcPr>
            <w:tcW w:w="1656" w:type="dxa"/>
            <w:tcBorders>
              <w:top w:val="single" w:sz="8" w:color="000000"/>
            </w:tcBorders>
          </w:tcPr>
          <w:p>
            <w:pPr>
              <w:pStyle w:val="Compact"/>
              <w:spacing w:line="240" w:lineRule="auto" w:after="0"/>
              <w:jc w:val="left"/>
            </w:pPr>
            <w:r>
              <w:rPr>
                <w:sz w:val="17"/>
              </w:rPr>
              <w:t xml:space="preserve">Containment</w:t>
            </w:r>
          </w:p>
        </w:tc>
        <w:tc>
          <w:tcPr>
            <w:tcW w:w="1183" w:type="dxa"/>
            <w:tcBorders>
              <w:top w:val="single" w:sz="8" w:color="000000"/>
            </w:tcBorders>
          </w:tcPr>
          <w:p>
            <w:pPr>
              <w:pStyle w:val="Compact"/>
              <w:spacing w:line="240" w:lineRule="auto" w:after="0"/>
              <w:jc w:val="left"/>
            </w:pPr>
            <w:r>
              <w:rPr>
                <w:sz w:val="17"/>
              </w:rPr>
              <w:t xml:space="preserve">First verdict</w:t>
            </w:r>
          </w:p>
        </w:tc>
        <w:tc>
          <w:tcPr>
            <w:tcW w:w="709" w:type="dxa"/>
            <w:tcBorders>
              <w:top w:val="single" w:sz="8" w:color="000000"/>
            </w:tcBorders>
          </w:tcPr>
          <w:p>
            <w:pPr>
              <w:pStyle w:val="Compact"/>
              <w:spacing w:line="240" w:lineRule="auto" w:after="0"/>
              <w:jc w:val="right"/>
            </w:pPr>
            <w:r>
              <w:rPr>
                <w:sz w:val="17"/>
              </w:rPr>
              <w:t xml:space="preserve">Codes</w:t>
            </w:r>
          </w:p>
        </w:tc>
      </w:tr>
      <w:tr>
        <w:tc>
          <w:tcPr>
            <w:tcW w:w="2918" w:type="dxa"/>
            <w:tcBorders>
              <w:bottom w:val="single" w:sz="4" w:color="000000"/>
            </w:tcBorders>
          </w:tcPr>
          <w:p>
            <w:pPr>
              <w:pStyle w:val="Compact"/>
              <w:spacing w:line="240" w:lineRule="auto" w:after="0"/>
            </w:pPr>
          </w:p>
        </w:tc>
        <w:tc>
          <w:tcPr>
            <w:tcW w:w="1735" w:type="dxa"/>
            <w:tcBorders>
              <w:bottom w:val="single" w:sz="4" w:color="000000"/>
            </w:tcBorders>
          </w:tcPr>
          <w:p>
            <w:pPr>
              <w:pStyle w:val="Compact"/>
              <w:spacing w:line="240" w:lineRule="auto" w:after="0"/>
              <w:jc w:val="left"/>
            </w:pPr>
            <w:r>
              <w:rPr>
                <w:sz w:val="17"/>
              </w:rPr>
              <w:t xml:space="preserve">(msgs)</w:t>
            </w:r>
          </w:p>
        </w:tc>
        <w:tc>
          <w:tcPr>
            <w:tcW w:w="867" w:type="dxa"/>
            <w:tcBorders>
              <w:bottom w:val="single" w:sz="4" w:color="000000"/>
            </w:tcBorders>
          </w:tcPr>
          <w:p>
            <w:pPr>
              <w:pStyle w:val="Compact"/>
              <w:spacing w:line="240" w:lineRule="auto" w:after="0"/>
              <w:jc w:val="left"/>
            </w:pPr>
            <w:r>
              <w:rPr>
                <w:sz w:val="17"/>
              </w:rPr>
              <w:t xml:space="preserve">(seeds)</w:t>
            </w:r>
          </w:p>
        </w:tc>
        <w:tc>
          <w:tcPr>
            <w:tcW w:w="1656" w:type="dxa"/>
            <w:tcBorders>
              <w:bottom w:val="single" w:sz="4" w:color="000000"/>
            </w:tcBorders>
          </w:tcPr>
          <w:p>
            <w:pPr>
              <w:pStyle w:val="Compact"/>
              <w:spacing w:line="240" w:lineRule="auto" w:after="0"/>
              <w:jc w:val="left"/>
            </w:pPr>
            <w:r>
              <w:rPr>
                <w:sz w:val="17"/>
              </w:rPr>
              <w:t xml:space="preserve">(min)</w:t>
            </w:r>
          </w:p>
        </w:tc>
        <w:tc>
          <w:tcPr>
            <w:tcW w:w="1183" w:type="dxa"/>
            <w:tcBorders>
              <w:bottom w:val="single" w:sz="4" w:color="000000"/>
            </w:tcBorders>
          </w:tcPr>
          <w:p>
            <w:pPr>
              <w:pStyle w:val="Compact"/>
              <w:spacing w:line="240" w:lineRule="auto" w:after="0"/>
              <w:jc w:val="left"/>
            </w:pPr>
            <w:r>
              <w:rPr>
                <w:sz w:val="17"/>
              </w:rPr>
              <w:t xml:space="preserve">(min)</w:t>
            </w:r>
          </w:p>
        </w:tc>
        <w:tc>
          <w:tcPr>
            <w:tcW w:w="709" w:type="dxa"/>
            <w:tcBorders>
              <w:bottom w:val="single" w:sz="4" w:color="000000"/>
            </w:tcBorders>
          </w:tcPr>
          <w:p>
            <w:pPr>
              <w:pStyle w:val="Compact"/>
              <w:spacing w:line="240" w:lineRule="auto" w:after="0"/>
              <w:jc w:val="right"/>
            </w:pPr>
            <w:r>
              <w:rPr>
                <w:sz w:val="17"/>
              </w:rPr>
              <w:t xml:space="preserve">entered</w:t>
            </w:r>
          </w:p>
        </w:tc>
      </w:tr>
      <w:tr>
        <w:tc>
          <w:tcPr>
            <w:tcW w:w="2918" w:type="dxa"/>
          </w:tcPr>
          <w:p>
            <w:pPr>
              <w:pStyle w:val="Compact"/>
              <w:spacing w:line="240" w:lineRule="auto" w:after="0"/>
              <w:jc w:val="left"/>
            </w:pPr>
            <w:r>
              <w:rPr>
                <w:sz w:val="17"/>
              </w:rPr>
              <w:t xml:space="preserve">never verifies: v1</w:t>
            </w:r>
          </w:p>
        </w:tc>
        <w:tc>
          <w:tcPr>
            <w:tcW w:w="1735" w:type="dxa"/>
          </w:tcPr>
          <w:p>
            <w:pPr>
              <w:pStyle w:val="Compact"/>
              <w:spacing w:line="240" w:lineRule="auto" w:after="0"/>
              <w:jc w:val="left"/>
            </w:pPr>
            <w:r>
              <w:rPr>
                <w:sz w:val="17"/>
              </w:rPr>
              <w:t xml:space="preserve">570 [419, 736]</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v2 default</w:t>
            </w:r>
          </w:p>
        </w:tc>
        <w:tc>
          <w:tcPr>
            <w:tcW w:w="1735" w:type="dxa"/>
          </w:tcPr>
          <w:p>
            <w:pPr>
              <w:pStyle w:val="Compact"/>
              <w:spacing w:line="240" w:lineRule="auto" w:after="0"/>
              <w:jc w:val="left"/>
            </w:pPr>
            <w:r>
              <w:rPr>
                <w:sz w:val="17"/>
              </w:rPr>
              <w:t xml:space="preserve">90 [71, 114]</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3.5 [3.1, 3.9]</w:t>
            </w:r>
          </w:p>
        </w:tc>
        <w:tc>
          <w:tcPr>
            <w:tcW w:w="1183" w:type="dxa"/>
          </w:tcPr>
          <w:p>
            <w:pPr>
              <w:pStyle w:val="Compact"/>
              <w:spacing w:line="240" w:lineRule="auto" w:after="0"/>
              <w:jc w:val="left"/>
            </w:pPr>
            <w:r>
              <w:rPr>
                <w:sz w:val="17"/>
              </w:rPr>
              <w:t xml:space="preserve">3.0</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verifies within 1 s: v2 default</w:t>
            </w:r>
          </w:p>
        </w:tc>
        <w:tc>
          <w:tcPr>
            <w:tcW w:w="1735" w:type="dxa"/>
          </w:tcPr>
          <w:p>
            <w:pPr>
              <w:pStyle w:val="Compact"/>
              <w:spacing w:line="240" w:lineRule="auto" w:after="0"/>
              <w:jc w:val="left"/>
            </w:pPr>
            <w:r>
              <w:rPr>
                <w:sz w:val="17"/>
              </w:rPr>
              <w:t xml:space="preserve">19 [17, 21]</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1.4 [1.1, 1.7]</w:t>
            </w:r>
          </w:p>
        </w:tc>
        <w:tc>
          <w:tcPr>
            <w:tcW w:w="1183" w:type="dxa"/>
          </w:tcPr>
          <w:p>
            <w:pPr>
              <w:pStyle w:val="Compact"/>
              <w:spacing w:line="240" w:lineRule="auto" w:after="0"/>
              <w:jc w:val="left"/>
            </w:pPr>
            <w:r>
              <w:rPr>
                <w:sz w:val="17"/>
              </w:rPr>
              <w:t xml:space="preserve">0.4</w:t>
            </w:r>
          </w:p>
        </w:tc>
        <w:tc>
          <w:tcPr>
            <w:tcW w:w="709" w:type="dxa"/>
          </w:tcPr>
          <w:p>
            <w:pPr>
              <w:pStyle w:val="Compact"/>
              <w:spacing w:line="240" w:lineRule="auto" w:after="0"/>
              <w:jc w:val="right"/>
            </w:pPr>
            <w:r>
              <w:rPr>
                <w:sz w:val="17"/>
              </w:rPr>
              <w:t xml:space="preserve">19</w:t>
            </w:r>
          </w:p>
        </w:tc>
      </w:tr>
      <w:tr>
        <w:tc>
          <w:tcPr>
            <w:tcW w:w="2918" w:type="dxa"/>
          </w:tcPr>
          <w:p>
            <w:pPr>
              <w:pStyle w:val="Compact"/>
              <w:spacing w:line="240" w:lineRule="auto" w:after="0"/>
              <w:jc w:val="left"/>
            </w:pPr>
            <w:r>
              <w:rPr>
                <w:sz w:val="17"/>
              </w:rPr>
              <w:t xml:space="preserve">verifies 60% after 30 s: v2 default</w:t>
            </w:r>
          </w:p>
        </w:tc>
        <w:tc>
          <w:tcPr>
            <w:tcW w:w="1735" w:type="dxa"/>
          </w:tcPr>
          <w:p>
            <w:pPr>
              <w:pStyle w:val="Compact"/>
              <w:spacing w:line="240" w:lineRule="auto" w:after="0"/>
              <w:jc w:val="left"/>
            </w:pPr>
            <w:r>
              <w:rPr>
                <w:sz w:val="17"/>
              </w:rPr>
              <w:t xml:space="preserve">452 [365, 539]</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11.6</w:t>
            </w:r>
          </w:p>
        </w:tc>
        <w:tc>
          <w:tcPr>
            <w:tcW w:w="709" w:type="dxa"/>
          </w:tcPr>
          <w:p>
            <w:pPr>
              <w:pStyle w:val="Compact"/>
              <w:spacing w:line="240" w:lineRule="auto" w:after="0"/>
              <w:jc w:val="right"/>
            </w:pPr>
            <w:r>
              <w:rPr>
                <w:sz w:val="17"/>
              </w:rPr>
              <w:t xml:space="preserve">272</w:t>
            </w:r>
          </w:p>
        </w:tc>
      </w:tr>
      <w:tr>
        <w:tc>
          <w:tcPr>
            <w:tcW w:w="2918" w:type="dxa"/>
          </w:tcPr>
          <w:p>
            <w:pPr>
              <w:pStyle w:val="Compact"/>
              <w:spacing w:line="240" w:lineRule="auto" w:after="0"/>
              <w:jc w:val="left"/>
            </w:pPr>
            <w:r>
              <w:rPr>
                <w:sz w:val="17"/>
              </w:rPr>
              <w:t xml:space="preserve">v2 default, 60 min</w:t>
            </w:r>
          </w:p>
        </w:tc>
        <w:tc>
          <w:tcPr>
            <w:tcW w:w="1735" w:type="dxa"/>
          </w:tcPr>
          <w:p>
            <w:pPr>
              <w:pStyle w:val="Compact"/>
              <w:spacing w:line="240" w:lineRule="auto" w:after="0"/>
              <w:jc w:val="left"/>
            </w:pPr>
            <w:r>
              <w:rPr>
                <w:sz w:val="17"/>
              </w:rPr>
              <w:t xml:space="preserve">1 067 [839, 1 310]</w:t>
            </w:r>
          </w:p>
        </w:tc>
        <w:tc>
          <w:tcPr>
            <w:tcW w:w="867" w:type="dxa"/>
          </w:tcPr>
          <w:p>
            <w:pPr>
              <w:pStyle w:val="Compact"/>
              <w:spacing w:line="240" w:lineRule="auto" w:after="0"/>
              <w:jc w:val="left"/>
            </w:pPr>
            <w:r>
              <w:rPr>
                <w:sz w:val="17"/>
              </w:rPr>
              <w:t xml:space="preserve">2/10</w:t>
            </w:r>
          </w:p>
        </w:tc>
        <w:tc>
          <w:tcPr>
            <w:tcW w:w="1656" w:type="dxa"/>
          </w:tcPr>
          <w:p>
            <w:pPr>
              <w:pStyle w:val="Compact"/>
              <w:spacing w:line="240" w:lineRule="auto" w:after="0"/>
              <w:jc w:val="left"/>
            </w:pPr>
            <w:r>
              <w:rPr>
                <w:sz w:val="17"/>
              </w:rPr>
              <w:t xml:space="preserve">47.0 [42.0, 52.0]</w:t>
            </w:r>
          </w:p>
        </w:tc>
        <w:tc>
          <w:tcPr>
            <w:tcW w:w="1183" w:type="dxa"/>
          </w:tcPr>
          <w:p>
            <w:pPr>
              <w:pStyle w:val="Compact"/>
              <w:spacing w:line="240" w:lineRule="auto" w:after="0"/>
              <w:jc w:val="left"/>
            </w:pPr>
            <w:r>
              <w:rPr>
                <w:sz w:val="17"/>
              </w:rPr>
              <w:t xml:space="preserve">25.5</w:t>
            </w:r>
          </w:p>
        </w:tc>
        <w:tc>
          <w:tcPr>
            <w:tcW w:w="709" w:type="dxa"/>
          </w:tcPr>
          <w:p>
            <w:pPr>
              <w:pStyle w:val="Compact"/>
              <w:spacing w:line="240" w:lineRule="auto" w:after="0"/>
              <w:jc w:val="right"/>
            </w:pPr>
            <w:r>
              <w:rPr>
                <w:sz w:val="17"/>
              </w:rPr>
              <w:t xml:space="preserve">–</w:t>
            </w:r>
          </w:p>
        </w:tc>
      </w:tr>
      <w:tr>
        <w:tc>
          <w:tcPr>
            <w:tcW w:w="2918" w:type="dxa"/>
            <w:tcBorders>
              <w:bottom w:val="single" w:sz="8" w:color="000000"/>
            </w:tcBorders>
          </w:tcPr>
          <w:p>
            <w:pPr>
              <w:pStyle w:val="Compact"/>
              <w:spacing w:line="240" w:lineRule="auto" w:after="0"/>
              <w:jc w:val="left"/>
            </w:pPr>
            <w:r>
              <w:rPr>
                <w:sz w:val="17"/>
              </w:rPr>
              <w:t xml:space="preserve">buys challenges: v2 default</w:t>
            </w:r>
          </w:p>
        </w:tc>
        <w:tc>
          <w:tcPr>
            <w:tcW w:w="1735" w:type="dxa"/>
            <w:tcBorders>
              <w:bottom w:val="single" w:sz="8" w:color="000000"/>
            </w:tcBorders>
          </w:tcPr>
          <w:p>
            <w:pPr>
              <w:pStyle w:val="Compact"/>
              <w:spacing w:line="240" w:lineRule="auto" w:after="0"/>
              <w:jc w:val="left"/>
            </w:pPr>
            <w:r>
              <w:rPr>
                <w:sz w:val="17"/>
              </w:rPr>
              <w:t xml:space="preserve">106 [87, 127]</w:t>
            </w:r>
          </w:p>
        </w:tc>
        <w:tc>
          <w:tcPr>
            <w:tcW w:w="867" w:type="dxa"/>
            <w:tcBorders>
              <w:bottom w:val="single" w:sz="8" w:color="000000"/>
            </w:tcBorders>
          </w:tcPr>
          <w:p>
            <w:pPr>
              <w:pStyle w:val="Compact"/>
              <w:spacing w:line="240" w:lineRule="auto" w:after="0"/>
              <w:jc w:val="left"/>
            </w:pPr>
            <w:r>
              <w:rPr>
                <w:sz w:val="17"/>
              </w:rPr>
              <w:t xml:space="preserve">10/10</w:t>
            </w:r>
          </w:p>
        </w:tc>
        <w:tc>
          <w:tcPr>
            <w:tcW w:w="1656" w:type="dxa"/>
            <w:tcBorders>
              <w:bottom w:val="single" w:sz="8" w:color="000000"/>
            </w:tcBorders>
          </w:tcPr>
          <w:p>
            <w:pPr>
              <w:pStyle w:val="Compact"/>
              <w:spacing w:line="240" w:lineRule="auto" w:after="0"/>
              <w:jc w:val="left"/>
            </w:pPr>
            <w:r>
              <w:rPr>
                <w:sz w:val="17"/>
              </w:rPr>
              <w:t xml:space="preserve">4.3 [3.8, 4.9]</w:t>
            </w:r>
          </w:p>
        </w:tc>
        <w:tc>
          <w:tcPr>
            <w:tcW w:w="1183" w:type="dxa"/>
            <w:tcBorders>
              <w:bottom w:val="single" w:sz="8" w:color="000000"/>
            </w:tcBorders>
          </w:tcPr>
          <w:p>
            <w:pPr>
              <w:pStyle w:val="Compact"/>
              <w:spacing w:line="240" w:lineRule="auto" w:after="0"/>
              <w:jc w:val="left"/>
            </w:pPr>
            <w:r>
              <w:rPr>
                <w:sz w:val="17"/>
              </w:rPr>
              <w:t xml:space="preserve">3.0</w:t>
            </w:r>
          </w:p>
        </w:tc>
        <w:tc>
          <w:tcPr>
            <w:tcW w:w="709" w:type="dxa"/>
            <w:tcBorders>
              <w:bottom w:val="single" w:sz="8" w:color="000000"/>
            </w:tcBorders>
          </w:tcPr>
          <w:p>
            <w:pPr>
              <w:pStyle w:val="Compact"/>
              <w:spacing w:line="240" w:lineRule="auto" w:after="0"/>
              <w:jc w:val="right"/>
            </w:pPr>
            <w:r>
              <w:rPr>
                <w:sz w:val="17"/>
              </w:rPr>
              <w:t xml:space="preserve">0</w:t>
            </w:r>
          </w:p>
        </w:tc>
      </w:tr>
    </w:tbl>
    <w:p>
      <w:pPr>
        <w:pStyle w:val="BodyText"/>
      </w:pPr>
      <w:r>
        <w:t xml:space="preserve">Table 6 covers concentrated pumpers on three blocks with caps lifted over ten seeds: messages leaked of about 574 requests in 20 minutes, seeds contained, mean minutes to containment (contained seeds) and to the first verdict (seeds with one), and codes entered. The speed test catches a carrier verifying within a second at 19 messages, while the carrier verifying 60% with human-like delay is contained in none of the ten 20-minute runs: its first verdict comes at minute 11.6 on average and 452 messages leak; in an hour, 1 067 leak and two of ten runs are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(1%–13%, ten configurations); saturated, it overstates by up to 91.</w:t>
      </w:r>
    </w:p>
    <w:bookmarkEnd w:id="50"/>
    <w:bookmarkStart w:id="63" w:name="Xc3b3a0ae0d7ddd12dca67a47167dca0c845034c"/>
    <w:p>
      <w:pPr>
        <w:pStyle w:val="Heading2"/>
      </w:pPr>
      <w:r>
        <w:rPr>
          <w:rStyle w:val="SectionNumber"/>
        </w:rPr>
        <w:t xml:space="preserve">5.6</w:t>
      </w:r>
      <w:r>
        <w:tab/>
      </w:r>
      <w:r>
        <w:t xml:space="preserve">Destination policies: where the counter wins, and where it fails</w:t>
      </w:r>
    </w:p>
    <w:p>
      <w:pPr>
        <w:pStyle w:val="TableCaption"/>
      </w:pPr>
      <w:r>
        <w:rPr>
          <w:bCs/>
          <w:b/>
        </w:rPr>
        <w:t xml:space="preserve">Table 7</w:t>
      </w:r>
      <w:r>
        <w:t xml:space="preserve"> </w:t>
      </w:r>
      <w:r>
        <w:br/>
        <w:t xml:space="preserve">Leakage and Benign-User Impact Across Carrier Types.</w:t>
      </w:r>
    </w:p>
    <w:tbl>
      <w:tblPr>
        <w:tblStyle w:val="Table"/>
        <w:tblW w:w="9069" w:type="dxa"/>
        <w:jc w:val="center"/>
        <w:tblLayout w:type="fixed"/>
        <w:tblCellMar>
          <w:left w:w="57" w:type="dxa"/>
          <w:right w:w="57" w:type="dxa"/>
        </w:tblCellMar>
        <w:tblLook w:firstRow="1" w:lastRow="0" w:firstColumn="0" w:lastColumn="0" w:noHBand="0" w:noVBand="0" w:val="0020"/>
        <w:tblCaption w:val="Table 7 TBLBRK Leakage and Benign-User Impact Across Carrier Types."/>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57" w:name="at-a-benign-service-target"/>
    <w:p>
      <w:pPr>
        <w:pStyle w:val="Heading3"/>
      </w:pPr>
      <w:r>
        <w:rPr>
          <w:rStyle w:val="SectionNumber"/>
        </w:rPr>
        <w:t xml:space="preserve">5.6.1</w:t>
      </w:r>
      <w:r>
        <w:tab/>
      </w:r>
      <w:r>
        <w:t xml:space="preserve">At a benign service target</w:t>
      </w:r>
    </w:p>
    <w:p>
      <w:pPr>
        <w:pStyle w:val="FirstParagraph"/>
      </w:pPr>
      <w:r>
        <w:t xml:space="preserve">Table 7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Figure 2 plots each setting’s completion against its leakage summed over the four pumpers’ runs of a seed (not one combined attack), with the tuning target dotted; its unlabeled points are sequential settings matched to the default’s false alarms at other credits (key:</w:t>
      </w:r>
      <w:r>
        <w:t xml:space="preserve"> </w:t>
      </w:r>
      <w:r>
        <w:rPr>
          <w:rStyle w:val="VerbatimChar"/>
        </w:rPr>
        <w:t xml:space="preserve">results/ figure1_key.md</w:t>
      </w:r>
      <w:r>
        <w:t xml:space="preserve">). Figure 3 gives each selected setting’s leakage minus the default’s, paired per seed (negative: leaks less).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CaptionedFigure"/>
      </w:pPr>
      <w:r>
        <w:drawing>
          <wp:inline>
            <wp:extent cx="5334000" cy="3597348"/>
            <wp:effectExtent b="0" l="0" r="0" t="0"/>
            <wp:docPr descr="" title="" id="52" name="Picture"/>
            <a:graphic>
              <a:graphicData uri="http://schemas.openxmlformats.org/drawingml/2006/picture">
                <pic:pic>
                  <pic:nvPicPr>
                    <pic:cNvPr descr="figures/fig6_matched_a.png" id="53" name="Picture"/>
                    <pic:cNvPicPr>
                      <a:picLocks noChangeArrowheads="1" noChangeAspect="1"/>
                    </pic:cNvPicPr>
                  </pic:nvPicPr>
                  <pic:blipFill>
                    <a:blip r:embed="rId51"/>
                    <a:stretch>
                      <a:fillRect/>
                    </a:stretch>
                  </pic:blipFill>
                  <pic:spPr bwMode="auto">
                    <a:xfrm>
                      <a:off x="0" y="0"/>
                      <a:ext cx="5334000" cy="359734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Leakage vs. Legitimate-User Completion Across Settings.</w:t>
      </w:r>
    </w:p>
    <w:p>
      <w:pPr>
        <w:pStyle w:val="CaptionedFigure"/>
      </w:pPr>
      <w:r>
        <w:drawing>
          <wp:inline>
            <wp:extent cx="5334000" cy="4341627"/>
            <wp:effectExtent b="0" l="0" r="0" t="0"/>
            <wp:docPr descr="" title="" id="55" name="Picture"/>
            <a:graphic>
              <a:graphicData uri="http://schemas.openxmlformats.org/drawingml/2006/picture">
                <pic:pic>
                  <pic:nvPicPr>
                    <pic:cNvPr descr="figures/fig6_matched_b.png" id="56" name="Picture"/>
                    <pic:cNvPicPr>
                      <a:picLocks noChangeArrowheads="1" noChangeAspect="1"/>
                    </pic:cNvPicPr>
                  </pic:nvPicPr>
                  <pic:blipFill>
                    <a:blip r:embed="rId54"/>
                    <a:stretch>
                      <a:fillRect/>
                    </a:stretch>
                  </pic:blipFill>
                  <pic:spPr bwMode="auto">
                    <a:xfrm>
                      <a:off x="0" y="0"/>
                      <a:ext cx="5334000" cy="4341627"/>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Leakage Difference from the Default Across Attack Types.</w:t>
      </w:r>
    </w:p>
    <w:p>
      <w:pPr>
        <w:pStyle w:val="TableCaption"/>
      </w:pPr>
      <w:r>
        <w:rPr>
          <w:bCs/>
          <w:b/>
        </w:rPr>
        <w:t xml:space="preserve">Table 8</w:t>
      </w:r>
      <w:r>
        <w:t xml:space="preserve"> </w:t>
      </w:r>
      <w:r>
        <w:br/>
        <w:t xml:space="preserve">Held-Out Evaluation of the Principal Counter.</w:t>
      </w:r>
    </w:p>
    <w:tbl>
      <w:tblPr>
        <w:tblStyle w:val="Table"/>
        <w:tblW w:w="9071" w:type="dxa"/>
        <w:jc w:val="center"/>
        <w:tblLayout w:type="fixed"/>
        <w:tblCellMar>
          <w:left w:w="57" w:type="dxa"/>
          <w:right w:w="57" w:type="dxa"/>
        </w:tblCellMar>
        <w:tblLook w:firstRow="1" w:lastRow="0" w:firstColumn="0" w:lastColumn="0" w:noHBand="0" w:noVBand="0" w:val="0020"/>
        <w:tblCaption w:val="Table 8 TBLBRK Held-Out Evaluation of the Principal Counter."/>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57"/>
    <w:bookmarkStart w:id="58" w:name="under-a-second-protocol"/>
    <w:p>
      <w:pPr>
        <w:pStyle w:val="Heading3"/>
      </w:pPr>
      <w:r>
        <w:rPr>
          <w:rStyle w:val="SectionNumber"/>
        </w:rPr>
        <w:t xml:space="preserve">5.6.2</w:t>
      </w:r>
      <w:r>
        <w:tab/>
      </w:r>
      <w:r>
        <w:t xml:space="preserve">Under a second protocol</w:t>
      </w:r>
    </w:p>
    <w:p>
      <w:pPr>
        <w:pStyle w:val="FirstParagraph"/>
      </w:pPr>
      <w:r>
        <w:t xml:space="preserve">Table 8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9</w:t>
      </w:r>
      <w:r>
        <w:t xml:space="preserve"> </w:t>
      </w:r>
      <w:r>
        <w:br/>
        <w:t xml:space="preserve">Leakage and User Harm Under Shared-Block Pumping.</w:t>
      </w:r>
    </w:p>
    <w:tbl>
      <w:tblPr>
        <w:tblStyle w:val="Table"/>
        <w:tblW w:w="9069" w:type="dxa"/>
        <w:jc w:val="center"/>
        <w:tblLayout w:type="fixed"/>
        <w:tblCellMar>
          <w:left w:w="57" w:type="dxa"/>
          <w:right w:w="57" w:type="dxa"/>
        </w:tblCellMar>
        <w:tblLook w:firstRow="0" w:lastRow="0" w:firstColumn="0" w:lastColumn="0" w:noHBand="0" w:noVBand="0" w:val="0000"/>
        <w:tblCaption w:val="Table 9 TBLBRK Leakage and User Harm Under Shared-Block Pumping."/>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
      <w:pPr>
        <w:pStyle w:val="TableCaption"/>
      </w:pPr>
      <w:r>
        <w:rPr>
          <w:bCs/>
          <w:b/>
        </w:rPr>
        <w:t xml:space="preserve">Table 10</w:t>
      </w:r>
      <w:r>
        <w:t xml:space="preserve"> </w:t>
      </w:r>
      <w:r>
        <w:br/>
        <w:t xml:space="preserve">User Harm Under a Full-Block Poisoning Attack.</w:t>
      </w:r>
    </w:p>
    <w:tbl>
      <w:tblPr>
        <w:tblStyle w:val="Table"/>
        <w:tblW w:w="9070" w:type="dxa"/>
        <w:jc w:val="center"/>
        <w:tblLayout w:type="fixed"/>
        <w:tblCellMar>
          <w:left w:w="57" w:type="dxa"/>
          <w:right w:w="57" w:type="dxa"/>
        </w:tblCellMar>
        <w:tblLook w:firstRow="0" w:lastRow="0" w:firstColumn="0" w:lastColumn="0" w:noHBand="0" w:noVBand="0" w:val="0000"/>
        <w:tblCaption w:val="Table 10 TBLBRK User Harm Under a Full-Block Poisoning Attack."/>
      </w:tblPr>
      <w:tblGrid>
        <w:gridCol w:w="3066"/>
        <w:gridCol w:w="1022"/>
        <w:gridCol w:w="2683"/>
        <w:gridCol w:w="2299"/>
      </w:tblGrid>
      <w:tr>
        <w:tc>
          <w:tcPr>
            <w:tcW w:w="3066" w:type="dxa"/>
            <w:tcBorders>
              <w:top w:val="single" w:sz="8" w:color="000000"/>
            </w:tcBorders>
          </w:tcPr>
          <w:p>
            <w:pPr>
              <w:pStyle w:val="Compact"/>
              <w:spacing w:line="240" w:lineRule="auto" w:after="0"/>
            </w:pPr>
          </w:p>
        </w:tc>
        <w:tc>
          <w:tcPr>
            <w:tcW w:w="1022" w:type="dxa"/>
            <w:tcBorders>
              <w:top w:val="single" w:sz="8" w:color="000000"/>
            </w:tcBorders>
          </w:tcPr>
          <w:p>
            <w:pPr>
              <w:pStyle w:val="Compact"/>
              <w:spacing w:line="240" w:lineRule="auto" w:after="0"/>
              <w:jc w:val="right"/>
            </w:pPr>
            <w:r>
              <w:rPr>
                <w:sz w:val="17"/>
              </w:rPr>
              <w:t xml:space="preserve">Leaked</w:t>
            </w:r>
          </w:p>
        </w:tc>
        <w:tc>
          <w:tcPr>
            <w:tcW w:w="4982" w:type="dxa"/>
            <w:gridSpan w:val="2"/>
            <w:tcBorders>
              <w:top w:val="single" w:sz="8" w:color="000000"/>
            </w:tcBorders>
          </w:tcPr>
          <w:p>
            <w:pPr>
              <w:pStyle w:val="Compact"/>
              <w:spacing w:line="240" w:lineRule="auto" w:after="0"/>
              <w:jc w:val="center"/>
            </w:pPr>
            <w:r>
              <w:rPr>
                <w:sz w:val="17"/>
              </w:rPr>
              <w:t xml:space="preserve">Extra harm against attacked,</w:t>
            </w:r>
          </w:p>
        </w:tc>
      </w:tr>
      <w:tr>
        <w:tc>
          <w:tcPr>
            <w:tcW w:w="3066" w:type="dxa"/>
          </w:tcPr>
          <w:p>
            <w:pPr>
              <w:pStyle w:val="Compact"/>
              <w:spacing w:line="240" w:lineRule="auto" w:after="0"/>
            </w:pPr>
          </w:p>
        </w:tc>
        <w:tc>
          <w:tcPr>
            <w:tcW w:w="1022" w:type="dxa"/>
          </w:tcPr>
          <w:p>
            <w:pPr>
              <w:pStyle w:val="Compact"/>
              <w:spacing w:line="240" w:lineRule="auto" w:after="0"/>
            </w:pPr>
          </w:p>
        </w:tc>
        <w:tc>
          <w:tcPr>
            <w:tcW w:w="4982" w:type="dxa"/>
            <w:gridSpan w:val="2"/>
          </w:tcPr>
          <w:p>
            <w:pPr>
              <w:pStyle w:val="Compact"/>
              <w:spacing w:line="240" w:lineRule="auto" w:after="0"/>
              <w:jc w:val="center"/>
            </w:pPr>
            <w:r>
              <w:rPr>
                <w:sz w:val="17"/>
              </w:rPr>
              <w:t xml:space="preserve">no policy</w:t>
            </w:r>
          </w:p>
        </w:tc>
      </w:tr>
      <w:tr>
        <w:tc>
          <w:tcPr>
            <w:tcW w:w="3066" w:type="dxa"/>
            <w:tcBorders>
              <w:bottom w:val="single" w:sz="4" w:color="000000"/>
            </w:tcBorders>
          </w:tcPr>
          <w:p>
            <w:pPr>
              <w:pStyle w:val="Compact"/>
              <w:spacing w:line="240" w:lineRule="auto" w:after="0"/>
              <w:jc w:val="left"/>
            </w:pPr>
            <w:r>
              <w:rPr>
                <w:sz w:val="17"/>
              </w:rPr>
              <w:t xml:space="preserve">Policy</w:t>
            </w:r>
          </w:p>
        </w:tc>
        <w:tc>
          <w:tcPr>
            <w:tcW w:w="1022" w:type="dxa"/>
            <w:tcBorders>
              <w:bottom w:val="single" w:sz="4" w:color="000000"/>
            </w:tcBorders>
          </w:tcPr>
          <w:p>
            <w:pPr>
              <w:pStyle w:val="Compact"/>
              <w:spacing w:line="240" w:lineRule="auto" w:after="0"/>
              <w:jc w:val="right"/>
            </w:pPr>
            <w:r>
              <w:rPr>
                <w:sz w:val="17"/>
              </w:rPr>
              <w:t xml:space="preserve">(SMS)</w:t>
            </w:r>
          </w:p>
        </w:tc>
        <w:tc>
          <w:tcPr>
            <w:tcW w:w="2683" w:type="dxa"/>
            <w:tcBorders>
              <w:bottom w:val="single" w:sz="4" w:color="000000"/>
            </w:tcBorders>
          </w:tcPr>
          <w:p>
            <w:pPr>
              <w:pStyle w:val="Compact"/>
              <w:spacing w:line="240" w:lineRule="auto" w:after="0"/>
              <w:jc w:val="right"/>
            </w:pPr>
            <w:r>
              <w:rPr>
                <w:sz w:val="17"/>
              </w:rPr>
              <w:t xml:space="preserve">all users</w:t>
            </w:r>
          </w:p>
        </w:tc>
        <w:tc>
          <w:tcPr>
            <w:tcW w:w="2299" w:type="dxa"/>
            <w:tcBorders>
              <w:bottom w:val="single" w:sz="4" w:color="000000"/>
            </w:tcBorders>
          </w:tcPr>
          <w:p>
            <w:pPr>
              <w:pStyle w:val="Compact"/>
              <w:spacing w:line="240" w:lineRule="auto" w:after="0"/>
              <w:jc w:val="right"/>
            </w:pPr>
            <w:r>
              <w:rPr>
                <w:sz w:val="17"/>
              </w:rPr>
              <w:t xml:space="preserve">first-time users</w:t>
            </w:r>
          </w:p>
        </w:tc>
      </w:tr>
      <w:tr>
        <w:tc>
          <w:tcPr>
            <w:tcW w:w="3066" w:type="dxa"/>
          </w:tcPr>
          <w:p>
            <w:pPr>
              <w:pStyle w:val="Compact"/>
              <w:spacing w:line="240" w:lineRule="auto" w:after="0"/>
              <w:jc w:val="left"/>
            </w:pPr>
            <w:r>
              <w:rPr>
                <w:sz w:val="17"/>
              </w:rPr>
              <w:t xml:space="preserve">none</w:t>
            </w:r>
          </w:p>
        </w:tc>
        <w:tc>
          <w:tcPr>
            <w:tcW w:w="1022" w:type="dxa"/>
          </w:tcPr>
          <w:p>
            <w:pPr>
              <w:pStyle w:val="Compact"/>
              <w:spacing w:line="240" w:lineRule="auto" w:after="0"/>
              <w:jc w:val="right"/>
            </w:pPr>
            <w:r>
              <w:rPr>
                <w:sz w:val="17"/>
              </w:rPr>
              <w:t xml:space="preserve">1 976</w:t>
            </w:r>
          </w:p>
        </w:tc>
        <w:tc>
          <w:tcPr>
            <w:tcW w:w="2683" w:type="dxa"/>
          </w:tcPr>
          <w:p>
            <w:pPr>
              <w:pStyle w:val="Compact"/>
              <w:spacing w:line="240" w:lineRule="auto" w:after="0"/>
              <w:jc w:val="right"/>
            </w:pPr>
            <w:r>
              <w:rPr>
                <w:sz w:val="17"/>
              </w:rPr>
              <w:t xml:space="preserve">–</w:t>
            </w:r>
          </w:p>
        </w:tc>
        <w:tc>
          <w:tcPr>
            <w:tcW w:w="2299" w:type="dxa"/>
          </w:tcPr>
          <w:p>
            <w:pPr>
              <w:pStyle w:val="Compact"/>
              <w:spacing w:line="240" w:lineRule="auto" w:after="0"/>
              <w:jc w:val="right"/>
            </w:pPr>
            <w:r>
              <w:rPr>
                <w:sz w:val="17"/>
              </w:rPr>
              <w:t xml:space="preserve">–</w:t>
            </w:r>
          </w:p>
        </w:tc>
      </w:tr>
      <w:tr>
        <w:tc>
          <w:tcPr>
            <w:tcW w:w="3066" w:type="dxa"/>
          </w:tcPr>
          <w:p>
            <w:pPr>
              <w:pStyle w:val="Compact"/>
              <w:spacing w:line="240" w:lineRule="auto" w:after="0"/>
              <w:jc w:val="left"/>
            </w:pPr>
            <w:r>
              <w:rPr>
                <w:sz w:val="17"/>
              </w:rPr>
              <w:t xml:space="preserve">sequential, default</w:t>
            </w:r>
          </w:p>
        </w:tc>
        <w:tc>
          <w:tcPr>
            <w:tcW w:w="1022" w:type="dxa"/>
          </w:tcPr>
          <w:p>
            <w:pPr>
              <w:pStyle w:val="Compact"/>
              <w:spacing w:line="240" w:lineRule="auto" w:after="0"/>
              <w:jc w:val="right"/>
            </w:pPr>
            <w:r>
              <w:rPr>
                <w:sz w:val="17"/>
              </w:rPr>
              <w:t xml:space="preserve">1 357</w:t>
            </w:r>
          </w:p>
        </w:tc>
        <w:tc>
          <w:tcPr>
            <w:tcW w:w="2683" w:type="dxa"/>
          </w:tcPr>
          <w:p>
            <w:pPr>
              <w:pStyle w:val="Compact"/>
              <w:spacing w:line="240" w:lineRule="auto" w:after="0"/>
              <w:jc w:val="right"/>
            </w:pPr>
            <w:r>
              <w:rPr>
                <w:sz w:val="17"/>
              </w:rPr>
              <w:t xml:space="preserve">1.09 [0.59, 1.59]</w:t>
            </w:r>
          </w:p>
        </w:tc>
        <w:tc>
          <w:tcPr>
            <w:tcW w:w="2299" w:type="dxa"/>
          </w:tcPr>
          <w:p>
            <w:pPr>
              <w:pStyle w:val="Compact"/>
              <w:spacing w:line="240" w:lineRule="auto" w:after="0"/>
              <w:jc w:val="right"/>
            </w:pPr>
            <w:r>
              <w:rPr>
                <w:sz w:val="17"/>
              </w:rPr>
              <w:t xml:space="preserve">1.36</w:t>
            </w:r>
          </w:p>
        </w:tc>
      </w:tr>
      <w:tr>
        <w:tc>
          <w:tcPr>
            <w:tcW w:w="3066"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022" w:type="dxa"/>
          </w:tcPr>
          <w:p>
            <w:pPr>
              <w:pStyle w:val="Compact"/>
              <w:spacing w:line="240" w:lineRule="auto" w:after="0"/>
              <w:jc w:val="right"/>
            </w:pPr>
            <w:r>
              <w:rPr>
                <w:sz w:val="17"/>
              </w:rPr>
              <w:t xml:space="preserve">858</w:t>
            </w:r>
          </w:p>
        </w:tc>
        <w:tc>
          <w:tcPr>
            <w:tcW w:w="2683" w:type="dxa"/>
          </w:tcPr>
          <w:p>
            <w:pPr>
              <w:pStyle w:val="Compact"/>
              <w:spacing w:line="240" w:lineRule="auto" w:after="0"/>
              <w:jc w:val="right"/>
            </w:pPr>
            <w:r>
              <w:rPr>
                <w:sz w:val="17"/>
              </w:rPr>
              <w:t xml:space="preserve">2.55 [2.04, 3.07]</w:t>
            </w:r>
          </w:p>
        </w:tc>
        <w:tc>
          <w:tcPr>
            <w:tcW w:w="2299" w:type="dxa"/>
          </w:tcPr>
          <w:p>
            <w:pPr>
              <w:pStyle w:val="Compact"/>
              <w:spacing w:line="240" w:lineRule="auto" w:after="0"/>
              <w:jc w:val="right"/>
            </w:pPr>
            <w:r>
              <w:rPr>
                <w:sz w:val="17"/>
              </w:rPr>
              <w:t xml:space="preserve">3.20</w:t>
            </w:r>
          </w:p>
        </w:tc>
      </w:tr>
      <w:tr>
        <w:tc>
          <w:tcPr>
            <w:tcW w:w="3066" w:type="dxa"/>
          </w:tcPr>
          <w:p>
            <w:pPr>
              <w:pStyle w:val="Compact"/>
              <w:spacing w:line="240" w:lineRule="auto" w:after="0"/>
              <w:jc w:val="left"/>
            </w:pPr>
            <w:r>
              <w:rPr>
                <w:sz w:val="17"/>
              </w:rPr>
              <w:t xml:space="preserve">counter, 4 per 10 min</w:t>
            </w:r>
          </w:p>
        </w:tc>
        <w:tc>
          <w:tcPr>
            <w:tcW w:w="1022" w:type="dxa"/>
          </w:tcPr>
          <w:p>
            <w:pPr>
              <w:pStyle w:val="Compact"/>
              <w:spacing w:line="240" w:lineRule="auto" w:after="0"/>
              <w:jc w:val="right"/>
            </w:pPr>
            <w:r>
              <w:rPr>
                <w:sz w:val="17"/>
              </w:rPr>
              <w:t xml:space="preserve">1 662</w:t>
            </w:r>
          </w:p>
        </w:tc>
        <w:tc>
          <w:tcPr>
            <w:tcW w:w="2683" w:type="dxa"/>
          </w:tcPr>
          <w:p>
            <w:pPr>
              <w:pStyle w:val="Compact"/>
              <w:spacing w:line="240" w:lineRule="auto" w:after="0"/>
              <w:jc w:val="right"/>
            </w:pPr>
            <w:r>
              <w:rPr>
                <w:sz w:val="17"/>
              </w:rPr>
              <w:t xml:space="preserve">0.72 [0.44, 1.02]</w:t>
            </w:r>
          </w:p>
        </w:tc>
        <w:tc>
          <w:tcPr>
            <w:tcW w:w="2299" w:type="dxa"/>
          </w:tcPr>
          <w:p>
            <w:pPr>
              <w:pStyle w:val="Compact"/>
              <w:spacing w:line="240" w:lineRule="auto" w:after="0"/>
              <w:jc w:val="right"/>
            </w:pPr>
            <w:r>
              <w:rPr>
                <w:sz w:val="17"/>
              </w:rPr>
              <w:t xml:space="preserve">0.91</w:t>
            </w:r>
          </w:p>
        </w:tc>
      </w:tr>
      <w:tr>
        <w:tc>
          <w:tcPr>
            <w:tcW w:w="3066" w:type="dxa"/>
          </w:tcPr>
          <w:p>
            <w:pPr>
              <w:pStyle w:val="Compact"/>
              <w:spacing w:line="240" w:lineRule="auto" w:after="0"/>
              <w:jc w:val="left"/>
            </w:pPr>
            <w:r>
              <w:rPr>
                <w:sz w:val="17"/>
              </w:rPr>
              <w:t xml:space="preserve">counter + sequential</w:t>
            </w:r>
          </w:p>
        </w:tc>
        <w:tc>
          <w:tcPr>
            <w:tcW w:w="1022" w:type="dxa"/>
          </w:tcPr>
          <w:p>
            <w:pPr>
              <w:pStyle w:val="Compact"/>
              <w:spacing w:line="240" w:lineRule="auto" w:after="0"/>
              <w:jc w:val="right"/>
            </w:pPr>
            <w:r>
              <w:rPr>
                <w:sz w:val="17"/>
              </w:rPr>
              <w:t xml:space="preserve">1 286</w:t>
            </w:r>
          </w:p>
        </w:tc>
        <w:tc>
          <w:tcPr>
            <w:tcW w:w="2683" w:type="dxa"/>
          </w:tcPr>
          <w:p>
            <w:pPr>
              <w:pStyle w:val="Compact"/>
              <w:spacing w:line="240" w:lineRule="auto" w:after="0"/>
              <w:jc w:val="right"/>
            </w:pPr>
            <w:r>
              <w:rPr>
                <w:sz w:val="17"/>
              </w:rPr>
              <w:t xml:space="preserve">1.43 [0.88, 1.97]</w:t>
            </w:r>
          </w:p>
        </w:tc>
        <w:tc>
          <w:tcPr>
            <w:tcW w:w="2299" w:type="dxa"/>
          </w:tcPr>
          <w:p>
            <w:pPr>
              <w:pStyle w:val="Compact"/>
              <w:spacing w:line="240" w:lineRule="auto" w:after="0"/>
              <w:jc w:val="right"/>
            </w:pPr>
            <w:r>
              <w:rPr>
                <w:sz w:val="17"/>
              </w:rPr>
              <w:t xml:space="preserve">1.79</w:t>
            </w:r>
          </w:p>
        </w:tc>
      </w:tr>
      <w:tr>
        <w:tc>
          <w:tcPr>
            <w:tcW w:w="3066" w:type="dxa"/>
          </w:tcPr>
          <w:p>
            <w:pPr>
              <w:pStyle w:val="Compact"/>
              <w:spacing w:line="240" w:lineRule="auto" w:after="0"/>
              <w:jc w:val="left"/>
            </w:pPr>
            <w:r>
              <w:rPr>
                <w:sz w:val="17"/>
              </w:rPr>
              <w:t xml:space="preserve">token bucket, burst 4</w:t>
            </w:r>
          </w:p>
        </w:tc>
        <w:tc>
          <w:tcPr>
            <w:tcW w:w="1022" w:type="dxa"/>
          </w:tcPr>
          <w:p>
            <w:pPr>
              <w:pStyle w:val="Compact"/>
              <w:spacing w:line="240" w:lineRule="auto" w:after="0"/>
              <w:jc w:val="right"/>
            </w:pPr>
            <w:r>
              <w:rPr>
                <w:sz w:val="17"/>
              </w:rPr>
              <w:t xml:space="preserve">1 877</w:t>
            </w:r>
          </w:p>
        </w:tc>
        <w:tc>
          <w:tcPr>
            <w:tcW w:w="2683" w:type="dxa"/>
          </w:tcPr>
          <w:p>
            <w:pPr>
              <w:pStyle w:val="Compact"/>
              <w:spacing w:line="240" w:lineRule="auto" w:after="0"/>
              <w:jc w:val="right"/>
            </w:pPr>
            <w:r>
              <w:rPr>
                <w:sz w:val="17"/>
              </w:rPr>
              <w:t xml:space="preserve">0.12 [0.04, 0.23]</w:t>
            </w:r>
          </w:p>
        </w:tc>
        <w:tc>
          <w:tcPr>
            <w:tcW w:w="2299" w:type="dxa"/>
          </w:tcPr>
          <w:p>
            <w:pPr>
              <w:pStyle w:val="Compact"/>
              <w:spacing w:line="240" w:lineRule="auto" w:after="0"/>
              <w:jc w:val="right"/>
            </w:pPr>
            <w:r>
              <w:rPr>
                <w:sz w:val="17"/>
              </w:rPr>
              <w:t xml:space="preserve">0.16</w:t>
            </w:r>
          </w:p>
        </w:tc>
      </w:tr>
      <w:tr>
        <w:tc>
          <w:tcPr>
            <w:tcW w:w="3066" w:type="dxa"/>
            <w:tcBorders>
              <w:bottom w:val="single" w:sz="8" w:color="000000"/>
            </w:tcBorders>
          </w:tcPr>
          <w:p>
            <w:pPr>
              <w:pStyle w:val="Compact"/>
              <w:spacing w:line="240" w:lineRule="auto" w:after="0"/>
              <w:jc w:val="left"/>
            </w:pPr>
            <w:r>
              <w:rPr>
                <w:sz w:val="17"/>
              </w:rPr>
              <w:t xml:space="preserve">token bucket, burst 12</w:t>
            </w:r>
          </w:p>
        </w:tc>
        <w:tc>
          <w:tcPr>
            <w:tcW w:w="1022" w:type="dxa"/>
            <w:tcBorders>
              <w:bottom w:val="single" w:sz="8" w:color="000000"/>
            </w:tcBorders>
          </w:tcPr>
          <w:p>
            <w:pPr>
              <w:pStyle w:val="Compact"/>
              <w:spacing w:line="240" w:lineRule="auto" w:after="0"/>
              <w:jc w:val="right"/>
            </w:pPr>
            <w:r>
              <w:rPr>
                <w:sz w:val="17"/>
              </w:rPr>
              <w:t xml:space="preserve">1 974</w:t>
            </w:r>
          </w:p>
        </w:tc>
        <w:tc>
          <w:tcPr>
            <w:tcW w:w="2683" w:type="dxa"/>
            <w:tcBorders>
              <w:bottom w:val="single" w:sz="8" w:color="000000"/>
            </w:tcBorders>
          </w:tcPr>
          <w:p>
            <w:pPr>
              <w:pStyle w:val="Compact"/>
              <w:spacing w:line="240" w:lineRule="auto" w:after="0"/>
              <w:jc w:val="right"/>
            </w:pPr>
            <w:r>
              <w:rPr>
                <w:sz w:val="17"/>
              </w:rPr>
              <w:t xml:space="preserve">0.00 [0.00, 0.00]</w:t>
            </w:r>
          </w:p>
        </w:tc>
        <w:tc>
          <w:tcPr>
            <w:tcW w:w="2299"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Tables 9 and 10 report E1 at 200 blocks (60-minute attacks, seeds 300–309): a pumper on three blocks real users share, and a poisoner flooding all 200 blocks. Leakage under the pumper is summed over the four carriers’ runs of a seed, which can hide a carrier on which a policy loses (per carrier: artifact); harm is net completions lost in points, averaged over the carriers (negative: a gain), with intervals for leakage and the attacked blocks in Table 9 and for all users’ extra harm in Table 10. In Table 9,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and under the poisoner (Table 10) cost all users most of the counters and buckets and leaked more than</w:t>
      </w:r>
      <w:r>
        <w:t xml:space="preserve"> </w:t>
      </w:r>
      <w:r>
        <w:rPr>
          <w:iCs/>
          <w:i/>
        </w:rPr>
        <w:t xml:space="preserve">T</w:t>
      </w:r>
      <w:r>
        <w:t xml:space="preserve">300,</w:t>
      </w:r>
      <w:r>
        <w:t xml:space="preserve"> </w:t>
      </w:r>
      <w:r>
        <w:rPr>
          <w:iCs/>
          <w:i/>
        </w:rPr>
        <w:t xml:space="preserve">c</w:t>
      </w:r>
      <w:r>
        <w:t xml:space="preserve">0. A token bucket with a burst of 4 spared the poisoner’s users only by letting almost everything through; with two untuned settings, neither limiter dominated, and we ranked only the implemented policies. Returning users, all simulated with verified history, lost nothing.</w:t>
      </w:r>
    </w:p>
    <w:bookmarkEnd w:id="58"/>
    <w:bookmarkStart w:id="62" w:name="X30d161eb055c3bdd60ae2ef3ca5d49f7d5c43cc"/>
    <w:p>
      <w:pPr>
        <w:pStyle w:val="Heading3"/>
      </w:pPr>
      <w:r>
        <w:rPr>
          <w:rStyle w:val="SectionNumber"/>
        </w:rPr>
        <w:t xml:space="preserve">5.6.3</w:t>
      </w:r>
      <w:r>
        <w:tab/>
      </w:r>
      <w:r>
        <w:t xml:space="preserve">The operating boundary and adaptive attackers</w:t>
      </w:r>
    </w:p>
    <w:p>
      <w:pPr>
        <w:pStyle w:val="FirstParagraph"/>
      </w:pPr>
      <w:r>
        <w:t xml:space="preserve">Figure 4 shows the counter’s operating boundary (E4, seeds 300–304): in (a), the attributable loss of the three hot blocks’ users against their legitimate rate, attack-free and with a never-verifying pumper on those blocks; in (b, c), leakage in 20 and 60 minutes against the blocks a pumper uses, at full rate or paced, with Equations (2)–(4) for the full-rate pumper as hollow markers. All horizontal axes and the vertical axes of (b, c) are logarithmic, and lines join sampled settings without locating a crossover. Attack-free,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Over 60 minutes (Figure 4c)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 Paced to the quota, a pumper leaks about as much under the counter as with no policy (71 against 72 on three blocks in an hour), and 23 under the tests.</w:t>
      </w:r>
    </w:p>
    <w:p>
      <w:pPr>
        <w:pStyle w:val="CaptionedFigure"/>
      </w:pPr>
      <w:r>
        <w:drawing>
          <wp:inline>
            <wp:extent cx="5334000" cy="6176210"/>
            <wp:effectExtent b="0" l="0" r="0" t="0"/>
            <wp:docPr descr="" title="" id="60" name="Picture"/>
            <a:graphic>
              <a:graphicData uri="http://schemas.openxmlformats.org/drawingml/2006/picture">
                <pic:pic>
                  <pic:nvPicPr>
                    <pic:cNvPr descr="figures/fig7_counter_boundary.png" id="61" name="Picture"/>
                    <pic:cNvPicPr>
                      <a:picLocks noChangeArrowheads="1" noChangeAspect="1"/>
                    </pic:cNvPicPr>
                  </pic:nvPicPr>
                  <pic:blipFill>
                    <a:blip r:embed="rId59"/>
                    <a:stretch>
                      <a:fillRect/>
                    </a:stretch>
                  </pic:blipFill>
                  <pic:spPr bwMode="auto">
                    <a:xfrm>
                      <a:off x="0" y="0"/>
                      <a:ext cx="5334000" cy="6176210"/>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Operating Boundary of the Counter.</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w:t>
      </w:r>
    </w:p>
    <w:bookmarkEnd w:id="62"/>
    <w:bookmarkEnd w:id="63"/>
    <w:bookmarkStart w:id="64" w:name="X1b098a1626e628988816138c90f067235f9035a"/>
    <w:p>
      <w:pPr>
        <w:pStyle w:val="Heading2"/>
      </w:pPr>
      <w:r>
        <w:rPr>
          <w:rStyle w:val="SectionNumber"/>
        </w:rPr>
        <w:t xml:space="preserve">5.7</w:t>
      </w:r>
      <w:r>
        <w:tab/>
      </w:r>
      <w:r>
        <w:t xml:space="preserve">RQ5: what destination policies cost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the challenge nor at the attack’s duration.</w:t>
      </w:r>
    </w:p>
    <w:bookmarkEnd w:id="64"/>
    <w:bookmarkStart w:id="65" w:name="X40c2940f2aaabd24aefaeec784f20c9ca681264"/>
    <w:p>
      <w:pPr>
        <w:pStyle w:val="Heading2"/>
      </w:pPr>
      <w:r>
        <w:rPr>
          <w:rStyle w:val="SectionNumber"/>
        </w:rPr>
        <w:t xml:space="preserve">5.8</w:t>
      </w:r>
      <w:r>
        <w:tab/>
      </w:r>
      <w:r>
        <w:t xml:space="preserve">Adaptive attackers, economics and overhead</w:t>
      </w:r>
    </w:p>
    <w:p>
      <w:pPr>
        <w:pStyle w:val="FirstParagraph"/>
      </w:pPr>
      <w:r>
        <w:t xml:space="preserve">The leakages of these scripted adaptations are not bounds. Against v2 with caps lifted, a datacenter attacker buying every challenge solution leaks 55, and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sends cost 13.8 ms (median) and 21.1 ms (99th percentile), and 133 requests per second passed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Under an adversarial mixture, 81% of sends overran the floor, and response-time thresholds separated sends from refusals with 88% balanced accuracy on the fitted run and, fitted on a new run, 95 to 99.9% on two others: a separation on that machine, not a deployment accuracy.</w:t>
      </w:r>
    </w:p>
    <w:bookmarkEnd w:id="65"/>
    <w:bookmarkEnd w:id="66"/>
    <w:bookmarkStart w:id="67" w:name="discussion"/>
    <w:p>
      <w:pPr>
        <w:pStyle w:val="Heading1"/>
      </w:pPr>
      <w:r>
        <w:rPr>
          <w:rStyle w:val="SectionNumber"/>
        </w:rPr>
        <w:t xml:space="preserve">6</w:t>
      </w:r>
      <w:r>
        <w:tab/>
      </w:r>
      <w:r>
        <w:t xml:space="preserve">Discussion</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over longer campaigns, verdicts expire and the tests leak again. Equation (5) summarizes this for pumpers that solve no challenge and hold no exemption. Its inputs are in an operator’s logs; the cost of an excess send, competition under attack, and exemption abuse come only from the simulation. The counter and tests together, with a quota set from each block’s traffic, is a hypothesis for real traffic, not a recommendation.</w:t>
      </w:r>
    </w:p>
    <w:bookmarkEnd w:id="67"/>
    <w:bookmarkStart w:id="68" w:name="limitations"/>
    <w:p>
      <w:pPr>
        <w:pStyle w:val="Heading1"/>
      </w:pPr>
      <w:r>
        <w:rPr>
          <w:rStyle w:val="SectionNumber"/>
        </w:rPr>
        <w:t xml:space="preserve">7</w:t>
      </w:r>
      <w:r>
        <w:tab/>
      </w:r>
      <w:r>
        <w:t xml:space="preserve">Limitations</w:t>
      </w:r>
    </w:p>
    <w:p>
      <w:pPr>
        <w:pStyle w:val="FirstParagraph"/>
      </w:pPr>
      <w:r>
        <w:t xml:space="preserve">Everything was simulated, and calibration was assumed. Both protocols were written by the author for the author’s generator, the second knowing which counters had won. Some results follow from the generator (a perfect premium list, a datacenter attacker that declines challenges, returning users who always present verified history), and selection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68"/>
    <w:bookmarkStart w:id="69" w:name="conclusions-and-future-work"/>
    <w:p>
      <w:pPr>
        <w:pStyle w:val="Heading1"/>
      </w:pPr>
      <w:r>
        <w:rPr>
          <w:rStyle w:val="SectionNumber"/>
        </w:rPr>
        <w:t xml:space="preserve">8</w:t>
      </w:r>
      <w:r>
        <w:tab/>
      </w:r>
      <w:r>
        <w:t xml:space="preserve">Conclusions and future work</w:t>
      </w:r>
    </w:p>
    <w:p>
      <w:pPr>
        <w:pStyle w:val="FirstParagraph"/>
      </w:pPr>
      <w:r>
        <w:t xml:space="preserve">This study asked how a service that verifies phone numbers by SMS should defend an endpoint that must answer strangers, and in particular which of two label-free destination signals, the number of sends to a number block or the outcomes of the codes sent, it should act on when a pumper is paid on the destination. We answered it in simulation: a twelve-step redesign of a seven-control baseline ran against 25 scripted attacker profiles and six other designs, and the two destination policies were compared under two protocols committed before their runs, with the cost to legitimate users made part of the result.</w:t>
      </w:r>
    </w:p>
    <w:p>
      <w:pPr>
        <w:pStyle w:val="BodyText"/>
      </w:pPr>
      <w:r>
        <w:t xml:space="preserve">On the source side, the design contains the attacks that carry a signature in the request, a single address, a datacenter range, a premium prefix, a walked number sequence or a forged header, at a low cost to simulated users, and the ablation attributes that containment to the adaptive caps, the risk engine, the feedback loop and the block key (RQ1, RQ2). Against a residential attacker that resembles a person, outcome-based reputation stops separating once its failures land on keys that legitimate users share; in the settings run, it separated an attacker only on keys its sends dominated (RQ3). What remains is rationing, whose cost depends on how well the cap tracks the legitimate rate: the deployed job leaked 193 messages with a clean three-week profile and 340 more on a cold start, while the default cap refused 41% of legitimate users (RQ4). On the destination, counting sends leaked less in aggregate than our outcome tests against concentrated pumpers, although not reliably against an instantly verifying carrier; the frozen counter failed its service claims when the attacker shared blocks with real users and lost its advantage against wide, paced and trust-building pumpers. Within an hour, unfitted estimates ordered the policies’ mean leakage in 18 of 18 decisive boundary cells with the cold-start bound and 17 with the warm-start bound, missing a near tie; the crossing was algebraic, not a measured switching point. Without an attack, the default tests raise 0.5 verdict events a day on 200 busy blocks at 80% conversion and 6.5 at 65%, and a counter of four sends per ten minutes costs a block’s users 2.3 points (RQ5).</w:t>
      </w:r>
    </w:p>
    <w:p>
      <w:pPr>
        <w:pStyle w:val="BodyText"/>
      </w:pPr>
      <w:r>
        <w:t xml:space="preserve">For an operator, the practical content is an ordering, not a recommendation. Against short, concentrated pumping on a few blocks, a counter of sends per block whose quota matches the block’s legitimate traffic leaked less than tests of code outcomes and cost its users less, and the inputs of the estimate that orders the two, the attack rate, the blocks touched and the time a send stays unresolved, are in an operator’s logs; the cost of an excess send, the competition for a quota on a shared block and the abuse of exemptions come only from the simulation. The quota must match the traffic: counters selected for sparser blocks cost 4.7 and 5.8 points on busier ones even without an attack. Every number describes scripted attackers and simulated users under assumed calibration, not real traffic, and close rankings rest on ten or fewer seeds.</w:t>
      </w:r>
    </w:p>
    <w:p>
      <w:pPr>
        <w:pStyle w:val="BodyText"/>
      </w:pPr>
      <w:r>
        <w:t xml:space="preserve">Replaying real traffic is the experiment this paper most needs: it would test the assumed calibration, the cost of an excess send to users who share a block, and the quota a counter needs per block. The policies left outside the evaluation, per-client quotas within a block, bounded exemptions, tuned token buckets and windowed or time-uniform statistics, could then be compared under the same predeclared protocols.</w:t>
      </w:r>
    </w:p>
    <w:bookmarkEnd w:id="69"/>
    <w:bookmarkStart w:id="70" w:name="X071796dd6bc546c91e96cca1cf5ff96599de61f"/>
    <w:p>
      <w:pPr>
        <w:pStyle w:val="Heading1"/>
      </w:pPr>
      <w:r>
        <w:t xml:space="preserve">Declaration of generative AI and AI-assisted technologies in the writing process</w:t>
      </w:r>
    </w:p>
    <w:p>
      <w:pPr>
        <w:pStyle w:val="FirstParagraph"/>
      </w:pPr>
      <w:r>
        <w:t xml:space="preserve">The author used Claude (Anthropic) for code, evaluation, drafting and editing; checked numbers against the recorded results and claims against the code; and takes full responsibility for the content.</w:t>
      </w:r>
    </w:p>
    <w:bookmarkEnd w:id="70"/>
    <w:bookmarkStart w:id="71" w:name="credit-authorship-contribution-statement"/>
    <w:p>
      <w:pPr>
        <w:pStyle w:val="Heading1"/>
      </w:pPr>
      <w:r>
        <w:t xml:space="preserve">CRediT authorship contribution statement</w:t>
      </w:r>
    </w:p>
    <w:p>
      <w:pPr>
        <w:pStyle w:val="FirstParagraph"/>
      </w:pPr>
      <w:r>
        <w:rPr>
          <w:bCs/>
          <w:b/>
        </w:rPr>
        <w:t xml:space="preserve">Naveed Ahmed:</w:t>
      </w:r>
      <w:r>
        <w:t xml:space="preserve"> </w:t>
      </w:r>
      <w:r>
        <w:t xml:space="preserve">Conceptualization, Methodology, Software, Validation, Investigation, Writing – original draft, Writing – review &amp; editing.</w:t>
      </w:r>
    </w:p>
    <w:bookmarkEnd w:id="71"/>
    <w:bookmarkStart w:id="72"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this work.</w:t>
      </w:r>
    </w:p>
    <w:bookmarkEnd w:id="72"/>
    <w:bookmarkStart w:id="74"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73">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74"/>
    <w:bookmarkStart w:id="83" w:name="references"/>
    <w:p>
      <w:pPr>
        <w:pStyle w:val="Heading1"/>
      </w:pPr>
      <w:r>
        <w:t xml:space="preserve">References</w:t>
      </w:r>
    </w:p>
    <w:p>
      <w:pPr>
        <w:pStyle w:val="FirstParagraph"/>
        <w:spacing w:line="240" w:lineRule="auto" w:after="60"/>
        <w:ind w:left="454" w:hanging="454"/>
      </w:pPr>
      <w:r>
        <w:rPr>
          <w:sz w:val="20"/>
          <w:szCs w:val="20"/>
        </w:rPr>
      </w:r>
      <w:r>
        <w:rPr>
          <w:sz w:val="20"/>
          <w:szCs w:val="20"/>
        </w:rPr>
      </w:r>
      <w:r>
        <w:rPr>
          <w:sz w:val="20"/>
          <w:szCs w:val="20"/>
        </w:rPr>
        <w:t xml:space="preserve">Ahmed, 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73">
        <w:r>
          <w:rPr>
            <w:rStyle w:val="Hyperlink"/>
            <w:sz w:val="20"/>
            <w:szCs w:val="20"/>
          </w:rPr>
          <w:t xml:space="preserve">https://github.com/nahmedpsu/OTP-DDOS</w:t>
        </w:r>
      </w:hyperlink>
      <w:r>
        <w:rPr>
          <w:sz w:val="20"/>
          <w:szCs w:val="20"/>
        </w:rPr>
        <w:t xml:space="preserve">, tag v2.9.1</w:t>
      </w:r>
      <w:r>
        <w:rPr>
          <w:sz w:val="20"/>
          <w:szCs w:val="20"/>
        </w:rPr>
        <w:t xml:space="preserve">.</w:t>
      </w:r>
      <w:r>
        <w:rPr>
          <w:sz w:val="20"/>
          <w:szCs w:val="20"/>
        </w:rPr>
        <w:t xml:space="preserve"> </w:t>
      </w:r>
      <w:r>
        <w:rPr>
          <w:sz w:val="20"/>
          <w:szCs w:val="20"/>
        </w:rPr>
        <w:t xml:space="preserve">Results produced by 2.9.0 (commit 9af3100), whose executable code 2.9.1 keeps; 2.8.0 results (commit 1c277a0) in results/historical_2.8</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Commsrisk</w:t>
      </w:r>
      <w:r>
        <w:rPr>
          <w:sz w:val="20"/>
          <w:szCs w:val="20"/>
        </w:rPr>
        <w:t xml:space="preserve">,</w:t>
      </w:r>
      <w:r>
        <w:rPr>
          <w:sz w:val="20"/>
          <w:szCs w:val="20"/>
        </w:rPr>
        <w:t xml:space="preserve"> </w:t>
      </w:r>
      <w:r>
        <w:rPr>
          <w:sz w:val="20"/>
          <w:szCs w:val="20"/>
        </w:rPr>
        <w:t xml:space="preserve">2023</w:t>
      </w:r>
      <w:r>
        <w:rPr>
          <w:sz w:val="20"/>
          <w:szCs w:val="20"/>
        </w:rPr>
        <w:t xml:space="preserve">.</w:t>
      </w:r>
      <w:r>
        <w:rPr>
          <w:sz w:val="20"/>
          <w:szCs w:val="20"/>
        </w:rPr>
        <w:t xml:space="preserve"> </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 </w:t>
      </w:r>
      <w:hyperlink r:id="rId75">
        <w:r>
          <w:rPr>
            <w:rStyle w:val="Hyperlink"/>
            <w:sz w:val="20"/>
            <w:szCs w:val="20"/>
          </w:rPr>
          <w:t xml:space="preserve">https://commsrisk.com/elon-musk-says-twitter-lost-60mn-a-year-because-390-telcos-used-bot-accounts-to-pump-a2p-sms/</w:t>
        </w:r>
      </w:hyperlink>
      <w:r>
        <w:rPr>
          <w:sz w:val="20"/>
          <w:szCs w:val="20"/>
        </w:rPr>
        <w:t xml:space="preserve">.</w:t>
      </w:r>
      <w:r>
        <w:rPr>
          <w:sz w:val="20"/>
          <w:szCs w:val="20"/>
        </w:rPr>
        <w:t xml:space="preserve"> </w:t>
      </w:r>
      <w:r>
        <w:rPr>
          <w:sz w:val="20"/>
          <w:szCs w:val="20"/>
        </w:rPr>
        <w:t xml:space="preserve">Trade press; the figure is the company’s own claim</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Dean, D.</w:t>
      </w:r>
      <w:r>
        <w:rPr>
          <w:sz w:val="20"/>
          <w:szCs w:val="20"/>
        </w:rPr>
        <w:t xml:space="preserve">,</w:t>
      </w:r>
      <w:r>
        <w:rPr>
          <w:sz w:val="20"/>
          <w:szCs w:val="20"/>
        </w:rPr>
        <w:t xml:space="preserve"> </w:t>
      </w:r>
      <w:r>
        <w:rPr>
          <w:sz w:val="20"/>
          <w:szCs w:val="20"/>
        </w:rPr>
        <w:t xml:space="preserve">Stubblefield, A.</w:t>
      </w:r>
      <w:r>
        <w:rPr>
          <w:sz w:val="20"/>
          <w:szCs w:val="20"/>
        </w:rPr>
        <w:t xml:space="preserve">,</w:t>
      </w:r>
      <w:r>
        <w:rPr>
          <w:sz w:val="20"/>
          <w:szCs w:val="20"/>
        </w:rPr>
        <w:t xml:space="preserve"> </w:t>
      </w:r>
      <w:r>
        <w:rPr>
          <w:sz w:val="20"/>
          <w:szCs w:val="20"/>
        </w:rPr>
        <w:t xml:space="preserve">2001</w:t>
      </w:r>
      <w:r>
        <w:rPr>
          <w:sz w:val="20"/>
          <w:szCs w:val="20"/>
        </w:rPr>
        <w:t xml:space="preserve">.</w:t>
      </w:r>
      <w:r>
        <w:rPr>
          <w:sz w:val="20"/>
          <w:szCs w:val="20"/>
        </w:rPr>
        <w:t xml:space="preserve"> </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 in:</w:t>
      </w:r>
      <w:r>
        <w:rPr>
          <w:sz w:val="20"/>
          <w:szCs w:val="20"/>
        </w:rPr>
        <w:t xml:space="preserve"> </w:t>
      </w:r>
      <w:r>
        <w:rPr>
          <w:sz w:val="20"/>
          <w:szCs w:val="20"/>
        </w:rPr>
        <w:t xml:space="preserve">10th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Dionysiou, A.</w:t>
      </w:r>
      <w:r>
        <w:rPr>
          <w:sz w:val="20"/>
          <w:szCs w:val="20"/>
        </w:rPr>
        <w:t xml:space="preserve">,</w:t>
      </w:r>
      <w:r>
        <w:rPr>
          <w:sz w:val="20"/>
          <w:szCs w:val="20"/>
        </w:rPr>
        <w:t xml:space="preserve"> </w:t>
      </w:r>
      <w:r>
        <w:rPr>
          <w:sz w:val="20"/>
          <w:szCs w:val="20"/>
        </w:rPr>
        <w:t xml:space="preserve">Athanasopoulos, E.</w:t>
      </w:r>
      <w:r>
        <w:rPr>
          <w:sz w:val="20"/>
          <w:szCs w:val="20"/>
        </w:rPr>
        <w:t xml:space="preserve">,</w:t>
      </w:r>
      <w:r>
        <w:rPr>
          <w:sz w:val="20"/>
          <w:szCs w:val="20"/>
        </w:rPr>
        <w:t xml:space="preserve"> </w:t>
      </w:r>
      <w:r>
        <w:rPr>
          <w:sz w:val="20"/>
          <w:szCs w:val="20"/>
        </w:rPr>
        <w:t xml:space="preserve">2020</w:t>
      </w:r>
      <w:r>
        <w:rPr>
          <w:sz w:val="20"/>
          <w:szCs w:val="20"/>
        </w:rPr>
        <w:t xml:space="preserve">.</w:t>
      </w:r>
      <w:r>
        <w:rPr>
          <w:sz w:val="20"/>
          <w:szCs w:val="20"/>
        </w:rPr>
        <w:t xml:space="preserve"> </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97</w:t>
      </w:r>
      <w:r>
        <w:rPr>
          <w:sz w:val="20"/>
          <w:szCs w:val="20"/>
        </w:rPr>
        <w:t xml:space="preserve">,</w:t>
      </w:r>
      <w:r>
        <w:rPr>
          <w:sz w:val="20"/>
          <w:szCs w:val="20"/>
        </w:rPr>
        <w:t xml:space="preserve"> </w:t>
      </w:r>
      <w:r>
        <w:rPr>
          <w:sz w:val="20"/>
          <w:szCs w:val="20"/>
        </w:rPr>
        <w:t xml:space="preserve">101947</w:t>
      </w:r>
      <w:r>
        <w:rPr>
          <w:sz w:val="20"/>
          <w:szCs w:val="20"/>
        </w:rPr>
        <w:t xml:space="preserve">. https://doi.org/10.1016/j.cose.2020.101947.</w:t>
      </w:r>
    </w:p>
    <w:p>
      <w:pPr>
        <w:pStyle w:val="BodyText"/>
        <w:spacing w:line="240" w:lineRule="auto" w:after="60"/>
        <w:ind w:left="454" w:hanging="454"/>
      </w:pPr>
      <w:r>
        <w:rPr>
          <w:sz w:val="20"/>
          <w:szCs w:val="20"/>
        </w:rPr>
      </w:r>
      <w:r>
        <w:rPr>
          <w:sz w:val="20"/>
          <w:szCs w:val="20"/>
        </w:rPr>
      </w:r>
      <w:r>
        <w:rPr>
          <w:sz w:val="20"/>
          <w:szCs w:val="20"/>
        </w:rPr>
        <w:t xml:space="preserve">Douceur, J.R.</w:t>
      </w:r>
      <w:r>
        <w:rPr>
          <w:sz w:val="20"/>
          <w:szCs w:val="20"/>
        </w:rPr>
        <w:t xml:space="preserve">,</w:t>
      </w:r>
      <w:r>
        <w:rPr>
          <w:sz w:val="20"/>
          <w:szCs w:val="20"/>
        </w:rPr>
        <w:t xml:space="preserve"> </w:t>
      </w:r>
      <w:r>
        <w:rPr>
          <w:sz w:val="20"/>
          <w:szCs w:val="20"/>
        </w:rPr>
        <w:t xml:space="preserve">2002</w:t>
      </w:r>
      <w:r>
        <w:rPr>
          <w:sz w:val="20"/>
          <w:szCs w:val="20"/>
        </w:rPr>
        <w:t xml:space="preserve">.</w:t>
      </w:r>
      <w:r>
        <w:rPr>
          <w:sz w:val="20"/>
          <w:szCs w:val="20"/>
        </w:rPr>
        <w:t xml:space="preserve"> </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 in:</w:t>
      </w:r>
      <w:r>
        <w:rPr>
          <w:sz w:val="20"/>
          <w:szCs w:val="20"/>
        </w:rPr>
        <w:t xml:space="preserve"> </w:t>
      </w:r>
      <w:r>
        <w:rPr>
          <w:sz w:val="20"/>
          <w:szCs w:val="20"/>
        </w:rPr>
        <w:t xml:space="preserve">Peer-to-Peer Systems (IPTPS 2002)</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251–260</w:t>
      </w:r>
      <w:r>
        <w:rPr>
          <w:sz w:val="20"/>
          <w:szCs w:val="20"/>
        </w:rPr>
        <w:t xml:space="preserve">. https://doi.org/10.1007/3-540-45748-8_24.</w:t>
      </w:r>
    </w:p>
    <w:p>
      <w:pPr>
        <w:pStyle w:val="BodyText"/>
        <w:spacing w:line="240" w:lineRule="auto" w:after="60"/>
        <w:ind w:left="454" w:hanging="454"/>
      </w:pPr>
      <w:r>
        <w:rPr>
          <w:sz w:val="20"/>
          <w:szCs w:val="20"/>
        </w:rPr>
      </w:r>
      <w:r>
        <w:rPr>
          <w:sz w:val="20"/>
          <w:szCs w:val="20"/>
        </w:rPr>
      </w:r>
      <w:r>
        <w:rPr>
          <w:sz w:val="20"/>
          <w:szCs w:val="20"/>
        </w:rPr>
        <w:t xml:space="preserve">Google LLC</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76">
        <w:r>
          <w:rPr>
            <w:rStyle w:val="Hyperlink"/>
            <w:sz w:val="20"/>
            <w:szCs w:val="20"/>
          </w:rPr>
          <w:t xml:space="preserve">https://developers.google.com/identity/sms-retriever/overview</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Heinanen, J.</w:t>
      </w:r>
      <w:r>
        <w:rPr>
          <w:sz w:val="20"/>
          <w:szCs w:val="20"/>
        </w:rPr>
        <w:t xml:space="preserve">,</w:t>
      </w:r>
      <w:r>
        <w:rPr>
          <w:sz w:val="20"/>
          <w:szCs w:val="20"/>
        </w:rPr>
        <w:t xml:space="preserve"> </w:t>
      </w:r>
      <w:r>
        <w:rPr>
          <w:sz w:val="20"/>
          <w:szCs w:val="20"/>
        </w:rPr>
        <w:t xml:space="preserve">Guerin, R.</w:t>
      </w:r>
      <w:r>
        <w:rPr>
          <w:sz w:val="20"/>
          <w:szCs w:val="20"/>
        </w:rPr>
        <w:t xml:space="preserve">,</w:t>
      </w:r>
      <w:r>
        <w:rPr>
          <w:sz w:val="20"/>
          <w:szCs w:val="20"/>
        </w:rPr>
        <w:t xml:space="preserve"> </w:t>
      </w:r>
      <w:r>
        <w:rPr>
          <w:sz w:val="20"/>
          <w:szCs w:val="20"/>
        </w:rPr>
        <w:t xml:space="preserve">1999</w:t>
      </w:r>
      <w:r>
        <w:rPr>
          <w:sz w:val="20"/>
          <w:szCs w:val="20"/>
        </w:rPr>
        <w:t xml:space="preserve">.</w:t>
      </w:r>
      <w:r>
        <w:rPr>
          <w:sz w:val="20"/>
          <w:szCs w:val="20"/>
        </w:rPr>
        <w:t xml:space="preserve"> </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w:t>
      </w:r>
      <w:r>
        <w:rPr>
          <w:sz w:val="20"/>
          <w:szCs w:val="20"/>
        </w:rPr>
        <w:t xml:space="preserve">. https://doi.org/10.17487/RFC2697.</w:t>
      </w:r>
    </w:p>
    <w:p>
      <w:pPr>
        <w:pStyle w:val="BodyText"/>
        <w:spacing w:line="240" w:lineRule="auto" w:after="60"/>
        <w:ind w:left="454" w:hanging="454"/>
      </w:pPr>
      <w:r>
        <w:rPr>
          <w:sz w:val="20"/>
          <w:szCs w:val="20"/>
        </w:rPr>
      </w:r>
      <w:r>
        <w:rPr>
          <w:sz w:val="20"/>
          <w:szCs w:val="20"/>
        </w:rPr>
      </w:r>
      <w:r>
        <w:rPr>
          <w:sz w:val="20"/>
          <w:szCs w:val="20"/>
        </w:rPr>
        <w:t xml:space="preserve">Howard, S.R.</w:t>
      </w:r>
      <w:r>
        <w:rPr>
          <w:sz w:val="20"/>
          <w:szCs w:val="20"/>
        </w:rPr>
        <w:t xml:space="preserve">,</w:t>
      </w:r>
      <w:r>
        <w:rPr>
          <w:sz w:val="20"/>
          <w:szCs w:val="20"/>
        </w:rPr>
        <w:t xml:space="preserve"> </w:t>
      </w:r>
      <w:r>
        <w:rPr>
          <w:sz w:val="20"/>
          <w:szCs w:val="20"/>
        </w:rPr>
        <w:t xml:space="preserve">Ramdas, A.</w:t>
      </w:r>
      <w:r>
        <w:rPr>
          <w:sz w:val="20"/>
          <w:szCs w:val="20"/>
        </w:rPr>
        <w:t xml:space="preserve">,</w:t>
      </w:r>
      <w:r>
        <w:rPr>
          <w:sz w:val="20"/>
          <w:szCs w:val="20"/>
        </w:rPr>
        <w:t xml:space="preserve"> </w:t>
      </w:r>
      <w:r>
        <w:rPr>
          <w:sz w:val="20"/>
          <w:szCs w:val="20"/>
        </w:rPr>
        <w:t xml:space="preserve">McAuliffe, J.</w:t>
      </w:r>
      <w:r>
        <w:rPr>
          <w:sz w:val="20"/>
          <w:szCs w:val="20"/>
        </w:rPr>
        <w:t xml:space="preserve">,</w:t>
      </w:r>
      <w:r>
        <w:rPr>
          <w:sz w:val="20"/>
          <w:szCs w:val="20"/>
        </w:rPr>
        <w:t xml:space="preserve"> </w:t>
      </w:r>
      <w:r>
        <w:rPr>
          <w:sz w:val="20"/>
          <w:szCs w:val="20"/>
        </w:rPr>
        <w:t xml:space="preserve">Sekhon, J.</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Time-uniform, nonparametric, nonasymptotic confidence sequences</w:t>
      </w:r>
      <w:r>
        <w:rPr>
          <w:sz w:val="20"/>
          <w:szCs w:val="20"/>
        </w:rPr>
        <w:t xml:space="preserve">.</w:t>
      </w:r>
      <w:r>
        <w:rPr>
          <w:sz w:val="20"/>
          <w:szCs w:val="20"/>
        </w:rPr>
        <w:t xml:space="preserve"> </w:t>
      </w:r>
      <w:r>
        <w:rPr>
          <w:sz w:val="20"/>
          <w:szCs w:val="20"/>
        </w:rPr>
        <w:t xml:space="preserve">The Annals of Statistics</w:t>
      </w:r>
      <w:r>
        <w:rPr>
          <w:sz w:val="20"/>
          <w:szCs w:val="20"/>
        </w:rPr>
        <w:t xml:space="preserve"> </w:t>
      </w:r>
      <w:r>
        <w:rPr>
          <w:sz w:val="20"/>
          <w:szCs w:val="20"/>
        </w:rPr>
        <w:t xml:space="preserve">49</w:t>
      </w:r>
      <w:r>
        <w:rPr>
          <w:sz w:val="20"/>
          <w:szCs w:val="20"/>
        </w:rPr>
        <w:t xml:space="preserve">,</w:t>
      </w:r>
      <w:r>
        <w:rPr>
          <w:sz w:val="20"/>
          <w:szCs w:val="20"/>
        </w:rPr>
        <w:t xml:space="preserve"> </w:t>
      </w:r>
      <w:r>
        <w:rPr>
          <w:sz w:val="20"/>
          <w:szCs w:val="20"/>
        </w:rPr>
        <w:t xml:space="preserve">1055–1080</w:t>
      </w:r>
      <w:r>
        <w:rPr>
          <w:sz w:val="20"/>
          <w:szCs w:val="20"/>
        </w:rPr>
        <w:t xml:space="preserve">. https://doi.org/10.1214/20-AOS1991.</w:t>
      </w:r>
    </w:p>
    <w:p>
      <w:pPr>
        <w:pStyle w:val="BodyText"/>
        <w:spacing w:line="240" w:lineRule="auto" w:after="60"/>
        <w:ind w:left="454" w:hanging="454"/>
      </w:pPr>
      <w:r>
        <w:rPr>
          <w:sz w:val="20"/>
          <w:szCs w:val="20"/>
        </w:rPr>
      </w:r>
      <w:r>
        <w:rPr>
          <w:sz w:val="20"/>
          <w:szCs w:val="20"/>
        </w:rPr>
      </w:r>
      <w:r>
        <w:rPr>
          <w:sz w:val="20"/>
          <w:szCs w:val="20"/>
        </w:rPr>
        <w:t xml:space="preserve">Huh, J.H.</w:t>
      </w:r>
      <w:r>
        <w:rPr>
          <w:sz w:val="20"/>
          <w:szCs w:val="20"/>
        </w:rPr>
        <w:t xml:space="preserve">,</w:t>
      </w:r>
      <w:r>
        <w:rPr>
          <w:sz w:val="20"/>
          <w:szCs w:val="20"/>
        </w:rPr>
        <w:t xml:space="preserve"> </w:t>
      </w:r>
      <w:r>
        <w:rPr>
          <w:sz w:val="20"/>
          <w:szCs w:val="20"/>
        </w:rPr>
        <w:t xml:space="preserve">Shin, H.</w:t>
      </w:r>
      <w:r>
        <w:rPr>
          <w:sz w:val="20"/>
          <w:szCs w:val="20"/>
        </w:rPr>
        <w:t xml:space="preserve">,</w:t>
      </w:r>
      <w:r>
        <w:rPr>
          <w:sz w:val="20"/>
          <w:szCs w:val="20"/>
        </w:rPr>
        <w:t xml:space="preserve"> </w:t>
      </w:r>
      <w:r>
        <w:rPr>
          <w:sz w:val="20"/>
          <w:szCs w:val="20"/>
        </w:rPr>
        <w:t xml:space="preserve">Ahn, S.</w:t>
      </w:r>
      <w:r>
        <w:rPr>
          <w:sz w:val="20"/>
          <w:szCs w:val="20"/>
        </w:rPr>
        <w:t xml:space="preserve">,</w:t>
      </w:r>
      <w:r>
        <w:rPr>
          <w:sz w:val="20"/>
          <w:szCs w:val="20"/>
        </w:rPr>
        <w:t xml:space="preserve"> </w:t>
      </w:r>
      <w:r>
        <w:rPr>
          <w:sz w:val="20"/>
          <w:szCs w:val="20"/>
        </w:rPr>
        <w:t xml:space="preserve">Yi, H.</w:t>
      </w:r>
      <w:r>
        <w:rPr>
          <w:sz w:val="20"/>
          <w:szCs w:val="20"/>
        </w:rPr>
        <w:t xml:space="preserve">,</w:t>
      </w:r>
      <w:r>
        <w:rPr>
          <w:sz w:val="20"/>
          <w:szCs w:val="20"/>
        </w:rPr>
        <w:t xml:space="preserve"> </w:t>
      </w:r>
      <w:r>
        <w:rPr>
          <w:sz w:val="20"/>
          <w:szCs w:val="20"/>
        </w:rPr>
        <w:t xml:space="preserve">Cho, J.</w:t>
      </w:r>
      <w:r>
        <w:rPr>
          <w:sz w:val="20"/>
          <w:szCs w:val="20"/>
        </w:rPr>
        <w:t xml:space="preserve">,</w:t>
      </w:r>
      <w:r>
        <w:rPr>
          <w:sz w:val="20"/>
          <w:szCs w:val="20"/>
        </w:rPr>
        <w:t xml:space="preserve"> </w:t>
      </w:r>
      <w:r>
        <w:rPr>
          <w:sz w:val="20"/>
          <w:szCs w:val="20"/>
        </w:rPr>
        <w:t xml:space="preserve">Kim, T.</w:t>
      </w:r>
      <w:r>
        <w:rPr>
          <w:sz w:val="20"/>
          <w:szCs w:val="20"/>
        </w:rPr>
        <w:t xml:space="preserve">,</w:t>
      </w:r>
      <w:r>
        <w:rPr>
          <w:sz w:val="20"/>
          <w:szCs w:val="20"/>
        </w:rPr>
        <w:t xml:space="preserve"> </w:t>
      </w:r>
      <w:r>
        <w:rPr>
          <w:sz w:val="20"/>
          <w:szCs w:val="20"/>
        </w:rPr>
        <w:t xml:space="preserve">Lim, M.</w:t>
      </w:r>
      <w:r>
        <w:rPr>
          <w:sz w:val="20"/>
          <w:szCs w:val="20"/>
        </w:rPr>
        <w:t xml:space="preserve">,</w:t>
      </w:r>
      <w:r>
        <w:rPr>
          <w:sz w:val="20"/>
          <w:szCs w:val="20"/>
        </w:rPr>
        <w:t xml:space="preserve"> </w:t>
      </w:r>
      <w:r>
        <w:rPr>
          <w:sz w:val="20"/>
          <w:szCs w:val="20"/>
        </w:rPr>
        <w:t xml:space="preserve">Choi, N.</w:t>
      </w:r>
      <w:r>
        <w:rPr>
          <w:sz w:val="20"/>
          <w:szCs w:val="20"/>
        </w:rPr>
        <w:t xml:space="preserve">,</w:t>
      </w:r>
      <w:r>
        <w:rPr>
          <w:sz w:val="20"/>
          <w:szCs w:val="20"/>
        </w:rPr>
        <w:t xml:space="preserve"> </w:t>
      </w:r>
      <w:r>
        <w:rPr>
          <w:sz w:val="20"/>
          <w:szCs w:val="20"/>
        </w:rPr>
        <w:t xml:space="preserve">2025</w:t>
      </w:r>
      <w:r>
        <w:rPr>
          <w:sz w:val="20"/>
          <w:szCs w:val="20"/>
        </w:rPr>
        <w:t xml:space="preserve">.</w:t>
      </w:r>
      <w:r>
        <w:rPr>
          <w:sz w:val="20"/>
          <w:szCs w:val="20"/>
        </w:rPr>
        <w:t xml:space="preserve"> </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 in:</w:t>
      </w:r>
      <w:r>
        <w:rPr>
          <w:sz w:val="20"/>
          <w:szCs w:val="20"/>
        </w:rPr>
        <w:t xml:space="preserve"> </w:t>
      </w:r>
      <w:r>
        <w:rPr>
          <w:sz w:val="20"/>
          <w:szCs w:val="20"/>
        </w:rPr>
        <w:t xml:space="preserve">34th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r>
        <w:rPr>
          <w:sz w:val="20"/>
          <w:szCs w:val="20"/>
        </w:rPr>
        <w:t xml:space="preserve"> </w:t>
      </w:r>
      <w:r>
        <w:rPr>
          <w:sz w:val="20"/>
          <w:szCs w:val="20"/>
        </w:rPr>
        <w:t xml:space="preserve">Seattle, WA</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Mi, X.</w:t>
      </w:r>
      <w:r>
        <w:rPr>
          <w:sz w:val="20"/>
          <w:szCs w:val="20"/>
        </w:rPr>
        <w:t xml:space="preserve">,</w:t>
      </w:r>
      <w:r>
        <w:rPr>
          <w:sz w:val="20"/>
          <w:szCs w:val="20"/>
        </w:rPr>
        <w:t xml:space="preserve"> </w:t>
      </w:r>
      <w:r>
        <w:rPr>
          <w:sz w:val="20"/>
          <w:szCs w:val="20"/>
        </w:rPr>
        <w:t xml:space="preserve">Feng, X.</w:t>
      </w:r>
      <w:r>
        <w:rPr>
          <w:sz w:val="20"/>
          <w:szCs w:val="20"/>
        </w:rPr>
        <w:t xml:space="preserve">,</w:t>
      </w:r>
      <w:r>
        <w:rPr>
          <w:sz w:val="20"/>
          <w:szCs w:val="20"/>
        </w:rPr>
        <w:t xml:space="preserve"> </w:t>
      </w:r>
      <w:r>
        <w:rPr>
          <w:sz w:val="20"/>
          <w:szCs w:val="20"/>
        </w:rPr>
        <w:t xml:space="preserve">Liao, X.</w:t>
      </w:r>
      <w:r>
        <w:rPr>
          <w:sz w:val="20"/>
          <w:szCs w:val="20"/>
        </w:rPr>
        <w:t xml:space="preserve">,</w:t>
      </w:r>
      <w:r>
        <w:rPr>
          <w:sz w:val="20"/>
          <w:szCs w:val="20"/>
        </w:rPr>
        <w:t xml:space="preserve"> </w:t>
      </w:r>
      <w:r>
        <w:rPr>
          <w:sz w:val="20"/>
          <w:szCs w:val="20"/>
        </w:rPr>
        <w:t xml:space="preserve">Liu, B.</w:t>
      </w:r>
      <w:r>
        <w:rPr>
          <w:sz w:val="20"/>
          <w:szCs w:val="20"/>
        </w:rPr>
        <w:t xml:space="preserve">,</w:t>
      </w:r>
      <w:r>
        <w:rPr>
          <w:sz w:val="20"/>
          <w:szCs w:val="20"/>
        </w:rPr>
        <w:t xml:space="preserve"> </w:t>
      </w:r>
      <w:r>
        <w:rPr>
          <w:sz w:val="20"/>
          <w:szCs w:val="20"/>
        </w:rPr>
        <w:t xml:space="preserve">Wang, X.</w:t>
      </w:r>
      <w:r>
        <w:rPr>
          <w:sz w:val="20"/>
          <w:szCs w:val="20"/>
        </w:rPr>
        <w:t xml:space="preserve">,</w:t>
      </w:r>
      <w:r>
        <w:rPr>
          <w:sz w:val="20"/>
          <w:szCs w:val="20"/>
        </w:rPr>
        <w:t xml:space="preserve"> </w:t>
      </w:r>
      <w:r>
        <w:rPr>
          <w:sz w:val="20"/>
          <w:szCs w:val="20"/>
        </w:rPr>
        <w:t xml:space="preserve">Qian, F.</w:t>
      </w:r>
      <w:r>
        <w:rPr>
          <w:sz w:val="20"/>
          <w:szCs w:val="20"/>
        </w:rPr>
        <w:t xml:space="preserve">,</w:t>
      </w:r>
      <w:r>
        <w:rPr>
          <w:sz w:val="20"/>
          <w:szCs w:val="20"/>
        </w:rPr>
        <w:t xml:space="preserve"> </w:t>
      </w:r>
      <w:r>
        <w:rPr>
          <w:sz w:val="20"/>
          <w:szCs w:val="20"/>
        </w:rPr>
        <w:t xml:space="preserve">Li, Z.</w:t>
      </w:r>
      <w:r>
        <w:rPr>
          <w:sz w:val="20"/>
          <w:szCs w:val="20"/>
        </w:rPr>
        <w:t xml:space="preserve">,</w:t>
      </w:r>
      <w:r>
        <w:rPr>
          <w:sz w:val="20"/>
          <w:szCs w:val="20"/>
        </w:rPr>
        <w:t xml:space="preserve"> </w:t>
      </w:r>
      <w:r>
        <w:rPr>
          <w:sz w:val="20"/>
          <w:szCs w:val="20"/>
        </w:rPr>
        <w:t xml:space="preserve">Alrizah, S.</w:t>
      </w:r>
      <w:r>
        <w:rPr>
          <w:sz w:val="20"/>
          <w:szCs w:val="20"/>
        </w:rPr>
        <w:t xml:space="preserve">,</w:t>
      </w:r>
      <w:r>
        <w:rPr>
          <w:sz w:val="20"/>
          <w:szCs w:val="20"/>
        </w:rPr>
        <w:t xml:space="preserve"> </w:t>
      </w:r>
      <w:r>
        <w:rPr>
          <w:sz w:val="20"/>
          <w:szCs w:val="20"/>
        </w:rPr>
        <w:t xml:space="preserve">Chen, L.</w:t>
      </w:r>
      <w:r>
        <w:rPr>
          <w:sz w:val="20"/>
          <w:szCs w:val="20"/>
        </w:rPr>
        <w:t xml:space="preserve">,</w:t>
      </w:r>
      <w:r>
        <w:rPr>
          <w:sz w:val="20"/>
          <w:szCs w:val="20"/>
        </w:rPr>
        <w:t xml:space="preserve"> </w:t>
      </w:r>
      <w:r>
        <w:rPr>
          <w:sz w:val="20"/>
          <w:szCs w:val="20"/>
        </w:rPr>
        <w:t xml:space="preserve">Qian, Y.</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 in:</w:t>
      </w:r>
      <w:r>
        <w:rPr>
          <w:sz w:val="20"/>
          <w:szCs w:val="20"/>
        </w:rPr>
        <w:t xml:space="preserve"> </w:t>
      </w:r>
      <w:r>
        <w:rPr>
          <w:sz w:val="20"/>
          <w:szCs w:val="20"/>
        </w:rPr>
        <w:t xml:space="preserve">2019 IEEE Symposium on Security and Privacy (S&amp;P)</w:t>
      </w:r>
      <w:r>
        <w:rPr>
          <w:sz w:val="20"/>
          <w:szCs w:val="20"/>
        </w:rPr>
        <w:t xml:space="preserve">,</w:t>
      </w:r>
      <w:r>
        <w:rPr>
          <w:sz w:val="20"/>
          <w:szCs w:val="20"/>
        </w:rPr>
        <w:t xml:space="preserve"> </w:t>
      </w:r>
      <w:r>
        <w:rPr>
          <w:sz w:val="20"/>
          <w:szCs w:val="20"/>
        </w:rPr>
        <w:t xml:space="preserve">IEEE</w:t>
      </w:r>
      <w:r>
        <w:rPr>
          <w:sz w:val="20"/>
          <w:szCs w:val="20"/>
        </w:rPr>
        <w:t xml:space="preserve">. https://doi.org/10.1109/SP.2019.00011.</w:t>
      </w:r>
    </w:p>
    <w:p>
      <w:pPr>
        <w:pStyle w:val="BodyText"/>
        <w:spacing w:line="240" w:lineRule="auto" w:after="60"/>
        <w:ind w:left="454" w:hanging="454"/>
      </w:pPr>
      <w:r>
        <w:rPr>
          <w:sz w:val="20"/>
          <w:szCs w:val="20"/>
        </w:rPr>
      </w:r>
      <w:r>
        <w:rPr>
          <w:sz w:val="20"/>
          <w:szCs w:val="20"/>
        </w:rPr>
      </w:r>
      <w:r>
        <w:rPr>
          <w:sz w:val="20"/>
          <w:szCs w:val="20"/>
        </w:rPr>
        <w:t xml:space="preserve">MITRE Corporation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 </w:t>
      </w:r>
      <w:hyperlink r:id="rId77">
        <w:r>
          <w:rPr>
            <w:rStyle w:val="Hyperlink"/>
            <w:sz w:val="20"/>
            <w:szCs w:val="20"/>
          </w:rPr>
          <w:t xml:space="preserve">https://attack.mitre.org/techniques/T1496/003/</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Motoyama, M.</w:t>
      </w:r>
      <w:r>
        <w:rPr>
          <w:sz w:val="20"/>
          <w:szCs w:val="20"/>
        </w:rPr>
        <w:t xml:space="preserve">,</w:t>
      </w:r>
      <w:r>
        <w:rPr>
          <w:sz w:val="20"/>
          <w:szCs w:val="20"/>
        </w:rPr>
        <w:t xml:space="preserve"> </w:t>
      </w:r>
      <w:r>
        <w:rPr>
          <w:sz w:val="20"/>
          <w:szCs w:val="20"/>
        </w:rPr>
        <w:t xml:space="preserve">Levchenko, K.</w:t>
      </w:r>
      <w:r>
        <w:rPr>
          <w:sz w:val="20"/>
          <w:szCs w:val="20"/>
        </w:rPr>
        <w:t xml:space="preserve">,</w:t>
      </w:r>
      <w:r>
        <w:rPr>
          <w:sz w:val="20"/>
          <w:szCs w:val="20"/>
        </w:rPr>
        <w:t xml:space="preserve"> </w:t>
      </w:r>
      <w:r>
        <w:rPr>
          <w:sz w:val="20"/>
          <w:szCs w:val="20"/>
        </w:rPr>
        <w:t xml:space="preserve">Kanich, C.</w:t>
      </w:r>
      <w:r>
        <w:rPr>
          <w:sz w:val="20"/>
          <w:szCs w:val="20"/>
        </w:rPr>
        <w:t xml:space="preserve">,</w:t>
      </w:r>
      <w:r>
        <w:rPr>
          <w:sz w:val="20"/>
          <w:szCs w:val="20"/>
        </w:rPr>
        <w:t xml:space="preserve"> </w:t>
      </w:r>
      <w:r>
        <w:rPr>
          <w:sz w:val="20"/>
          <w:szCs w:val="20"/>
        </w:rPr>
        <w:t xml:space="preserve">McCoy, D.</w:t>
      </w:r>
      <w:r>
        <w:rPr>
          <w:sz w:val="20"/>
          <w:szCs w:val="20"/>
        </w:rPr>
        <w:t xml:space="preserve">,</w:t>
      </w:r>
      <w:r>
        <w:rPr>
          <w:sz w:val="20"/>
          <w:szCs w:val="20"/>
        </w:rPr>
        <w:t xml:space="preserve"> </w:t>
      </w:r>
      <w:r>
        <w:rPr>
          <w:sz w:val="20"/>
          <w:szCs w:val="20"/>
        </w:rPr>
        <w:t xml:space="preserve">Voelker, G.M.</w:t>
      </w:r>
      <w:r>
        <w:rPr>
          <w:sz w:val="20"/>
          <w:szCs w:val="20"/>
        </w:rPr>
        <w:t xml:space="preserve">,</w:t>
      </w:r>
      <w:r>
        <w:rPr>
          <w:sz w:val="20"/>
          <w:szCs w:val="20"/>
        </w:rPr>
        <w:t xml:space="preserve"> </w:t>
      </w:r>
      <w:r>
        <w:rPr>
          <w:sz w:val="20"/>
          <w:szCs w:val="20"/>
        </w:rPr>
        <w:t xml:space="preserve">Savage, S.</w:t>
      </w:r>
      <w:r>
        <w:rPr>
          <w:sz w:val="20"/>
          <w:szCs w:val="20"/>
        </w:rPr>
        <w:t xml:space="preserve">,</w:t>
      </w:r>
      <w:r>
        <w:rPr>
          <w:sz w:val="20"/>
          <w:szCs w:val="20"/>
        </w:rPr>
        <w:t xml:space="preserve"> </w:t>
      </w:r>
      <w:r>
        <w:rPr>
          <w:sz w:val="20"/>
          <w:szCs w:val="20"/>
        </w:rPr>
        <w:t xml:space="preserve">2010</w:t>
      </w:r>
      <w:r>
        <w:rPr>
          <w:sz w:val="20"/>
          <w:szCs w:val="20"/>
        </w:rPr>
        <w:t xml:space="preserve">.</w:t>
      </w:r>
      <w:r>
        <w:rPr>
          <w:sz w:val="20"/>
          <w:szCs w:val="20"/>
        </w:rPr>
        <w:t xml:space="preserve"> </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 in:</w:t>
      </w:r>
      <w:r>
        <w:rPr>
          <w:sz w:val="20"/>
          <w:szCs w:val="20"/>
        </w:rPr>
        <w:t xml:space="preserve"> </w:t>
      </w:r>
      <w:r>
        <w:rPr>
          <w:sz w:val="20"/>
          <w:szCs w:val="20"/>
        </w:rPr>
        <w:t xml:space="preserve">19th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Mulliner, C.</w:t>
      </w:r>
      <w:r>
        <w:rPr>
          <w:sz w:val="20"/>
          <w:szCs w:val="20"/>
        </w:rPr>
        <w:t xml:space="preserve">,</w:t>
      </w:r>
      <w:r>
        <w:rPr>
          <w:sz w:val="20"/>
          <w:szCs w:val="20"/>
        </w:rPr>
        <w:t xml:space="preserve"> </w:t>
      </w:r>
      <w:r>
        <w:rPr>
          <w:sz w:val="20"/>
          <w:szCs w:val="20"/>
        </w:rPr>
        <w:t xml:space="preserve">Borgaonkar, R.</w:t>
      </w:r>
      <w:r>
        <w:rPr>
          <w:sz w:val="20"/>
          <w:szCs w:val="20"/>
        </w:rPr>
        <w:t xml:space="preserve">,</w:t>
      </w:r>
      <w:r>
        <w:rPr>
          <w:sz w:val="20"/>
          <w:szCs w:val="20"/>
        </w:rPr>
        <w:t xml:space="preserve"> </w:t>
      </w:r>
      <w:r>
        <w:rPr>
          <w:sz w:val="20"/>
          <w:szCs w:val="20"/>
        </w:rPr>
        <w:t xml:space="preserve">Stewin, P.</w:t>
      </w:r>
      <w:r>
        <w:rPr>
          <w:sz w:val="20"/>
          <w:szCs w:val="20"/>
        </w:rPr>
        <w:t xml:space="preserve">,</w:t>
      </w:r>
      <w:r>
        <w:rPr>
          <w:sz w:val="20"/>
          <w:szCs w:val="20"/>
        </w:rPr>
        <w:t xml:space="preserve"> </w:t>
      </w:r>
      <w:r>
        <w:rPr>
          <w:sz w:val="20"/>
          <w:szCs w:val="20"/>
        </w:rPr>
        <w:t xml:space="preserve">Seifert, J.P.</w:t>
      </w:r>
      <w:r>
        <w:rPr>
          <w:sz w:val="20"/>
          <w:szCs w:val="20"/>
        </w:rPr>
        <w:t xml:space="preserve">,</w:t>
      </w:r>
      <w:r>
        <w:rPr>
          <w:sz w:val="20"/>
          <w:szCs w:val="20"/>
        </w:rPr>
        <w:t xml:space="preserve"> </w:t>
      </w:r>
      <w:r>
        <w:rPr>
          <w:sz w:val="20"/>
          <w:szCs w:val="20"/>
        </w:rPr>
        <w:t xml:space="preserve">2013</w:t>
      </w:r>
      <w:r>
        <w:rPr>
          <w:sz w:val="20"/>
          <w:szCs w:val="20"/>
        </w:rPr>
        <w:t xml:space="preserve">.</w:t>
      </w:r>
      <w:r>
        <w:rPr>
          <w:sz w:val="20"/>
          <w:szCs w:val="20"/>
        </w:rPr>
        <w:t xml:space="preserve"> </w:t>
      </w:r>
      <w:r>
        <w:rPr>
          <w:sz w:val="20"/>
          <w:szCs w:val="20"/>
        </w:rPr>
        <w:t xml:space="preserve">SMS</w:t>
      </w:r>
      <w:r>
        <w:rPr>
          <w:sz w:val="20"/>
          <w:szCs w:val="20"/>
        </w:rPr>
        <w:t xml:space="preserve">-based one-time passwords: Attacks and defense</w:t>
      </w:r>
      <w:r>
        <w:rPr>
          <w:sz w:val="20"/>
          <w:szCs w:val="20"/>
        </w:rPr>
        <w:t xml:space="preserve">, in:</w:t>
      </w:r>
      <w:r>
        <w:rPr>
          <w:sz w:val="20"/>
          <w:szCs w:val="20"/>
        </w:rPr>
        <w:t xml:space="preserve"> </w:t>
      </w:r>
      <w:r>
        <w:rPr>
          <w:sz w:val="20"/>
          <w:szCs w:val="20"/>
        </w:rPr>
        <w:t xml:space="preserve">Detection of Intrusions and Malware, and Vulnerability Assessment (DIMVA 2013)</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150–159</w:t>
      </w:r>
      <w:r>
        <w:rPr>
          <w:sz w:val="20"/>
          <w:szCs w:val="20"/>
        </w:rPr>
        <w:t xml:space="preserve">. https://doi.org/10.1007/978-3-642-39235-1_9.</w:t>
      </w:r>
    </w:p>
    <w:p>
      <w:pPr>
        <w:pStyle w:val="BodyText"/>
        <w:spacing w:line="240" w:lineRule="auto" w:after="60"/>
        <w:ind w:left="454" w:hanging="454"/>
      </w:pPr>
      <w:r>
        <w:rPr>
          <w:sz w:val="20"/>
          <w:szCs w:val="20"/>
        </w:rPr>
      </w:r>
      <w:r>
        <w:rPr>
          <w:sz w:val="20"/>
          <w:szCs w:val="20"/>
        </w:rPr>
      </w:r>
      <w:r>
        <w:rPr>
          <w:sz w:val="20"/>
          <w:szCs w:val="20"/>
        </w:rPr>
        <w:t xml:space="preserve">NIST/SEMATECH</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78">
        <w:r>
          <w:rPr>
            <w:rStyle w:val="Hyperlink"/>
            <w:sz w:val="20"/>
            <w:szCs w:val="20"/>
          </w:rPr>
          <w:t xml:space="preserve">https://www.itl.nist.gov/div898/handbook/pmc/section3/pmc323.htm</w:t>
        </w:r>
      </w:hyperlink>
      <w:r>
        <w:rPr>
          <w:sz w:val="20"/>
          <w:szCs w:val="20"/>
        </w:rPr>
        <w:t xml:space="preserve">.</w:t>
      </w:r>
      <w:r>
        <w:rPr>
          <w:sz w:val="20"/>
          <w:szCs w:val="20"/>
        </w:rPr>
        <w:t xml:space="preserve"> </w:t>
      </w:r>
      <w:r>
        <w:rPr>
          <w:sz w:val="20"/>
          <w:szCs w:val="20"/>
        </w:rPr>
        <w:t xml:space="preserve">Accessed 2026-10-02</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Page, E.S.</w:t>
      </w:r>
      <w:r>
        <w:rPr>
          <w:sz w:val="20"/>
          <w:szCs w:val="20"/>
        </w:rPr>
        <w:t xml:space="preserve">,</w:t>
      </w:r>
      <w:r>
        <w:rPr>
          <w:sz w:val="20"/>
          <w:szCs w:val="20"/>
        </w:rPr>
        <w:t xml:space="preserve"> </w:t>
      </w:r>
      <w:r>
        <w:rPr>
          <w:sz w:val="20"/>
          <w:szCs w:val="20"/>
        </w:rPr>
        <w:t xml:space="preserve">1954</w:t>
      </w:r>
      <w:r>
        <w:rPr>
          <w:sz w:val="20"/>
          <w:szCs w:val="20"/>
        </w:rPr>
        <w:t xml:space="preserve">.</w:t>
      </w:r>
      <w:r>
        <w:rPr>
          <w:sz w:val="20"/>
          <w:szCs w:val="20"/>
        </w:rPr>
        <w:t xml:space="preserve"> </w:t>
      </w:r>
      <w:r>
        <w:rPr>
          <w:sz w:val="20"/>
          <w:szCs w:val="20"/>
        </w:rPr>
        <w:t xml:space="preserve">Continuous inspection schemes</w:t>
      </w:r>
      <w:r>
        <w:rPr>
          <w:sz w:val="20"/>
          <w:szCs w:val="20"/>
        </w:rPr>
        <w:t xml:space="preserve">.</w:t>
      </w:r>
      <w:r>
        <w:rPr>
          <w:sz w:val="20"/>
          <w:szCs w:val="20"/>
        </w:rPr>
        <w:t xml:space="preserve"> </w:t>
      </w:r>
      <w:r>
        <w:rPr>
          <w:sz w:val="20"/>
          <w:szCs w:val="20"/>
        </w:rPr>
        <w:t xml:space="preserve">Biometrika</w:t>
      </w:r>
      <w:r>
        <w:rPr>
          <w:sz w:val="20"/>
          <w:szCs w:val="20"/>
        </w:rPr>
        <w:t xml:space="preserve"> </w:t>
      </w:r>
      <w:r>
        <w:rPr>
          <w:sz w:val="20"/>
          <w:szCs w:val="20"/>
        </w:rPr>
        <w:t xml:space="preserve">41</w:t>
      </w:r>
      <w:r>
        <w:rPr>
          <w:sz w:val="20"/>
          <w:szCs w:val="20"/>
        </w:rPr>
        <w:t xml:space="preserve">,</w:t>
      </w:r>
      <w:r>
        <w:rPr>
          <w:sz w:val="20"/>
          <w:szCs w:val="20"/>
        </w:rPr>
        <w:t xml:space="preserve"> </w:t>
      </w:r>
      <w:r>
        <w:rPr>
          <w:sz w:val="20"/>
          <w:szCs w:val="20"/>
        </w:rPr>
        <w:t xml:space="preserve">100–115</w:t>
      </w:r>
      <w:r>
        <w:rPr>
          <w:sz w:val="20"/>
          <w:szCs w:val="20"/>
        </w:rPr>
        <w:t xml:space="preserve">. https://doi.org/10.2307/2333009.</w:t>
      </w:r>
    </w:p>
    <w:p>
      <w:pPr>
        <w:pStyle w:val="BodyText"/>
        <w:spacing w:line="240" w:lineRule="auto" w:after="60"/>
        <w:ind w:left="454" w:hanging="454"/>
      </w:pPr>
      <w:r>
        <w:rPr>
          <w:sz w:val="20"/>
          <w:szCs w:val="20"/>
        </w:rPr>
      </w:r>
      <w:r>
        <w:rPr>
          <w:sz w:val="20"/>
          <w:szCs w:val="20"/>
        </w:rPr>
      </w:r>
      <w:r>
        <w:rPr>
          <w:sz w:val="20"/>
          <w:szCs w:val="20"/>
        </w:rPr>
        <w:t xml:space="preserve">Richter, P.</w:t>
      </w:r>
      <w:r>
        <w:rPr>
          <w:sz w:val="20"/>
          <w:szCs w:val="20"/>
        </w:rPr>
        <w:t xml:space="preserve">,</w:t>
      </w:r>
      <w:r>
        <w:rPr>
          <w:sz w:val="20"/>
          <w:szCs w:val="20"/>
        </w:rPr>
        <w:t xml:space="preserve"> </w:t>
      </w:r>
      <w:r>
        <w:rPr>
          <w:sz w:val="20"/>
          <w:szCs w:val="20"/>
        </w:rPr>
        <w:t xml:space="preserve">Wolsing, F.</w:t>
      </w:r>
      <w:r>
        <w:rPr>
          <w:sz w:val="20"/>
          <w:szCs w:val="20"/>
        </w:rPr>
        <w:t xml:space="preserve">,</w:t>
      </w:r>
      <w:r>
        <w:rPr>
          <w:sz w:val="20"/>
          <w:szCs w:val="20"/>
        </w:rPr>
        <w:t xml:space="preserve"> </w:t>
      </w:r>
      <w:r>
        <w:rPr>
          <w:sz w:val="20"/>
          <w:szCs w:val="20"/>
        </w:rPr>
        <w:t xml:space="preserve">Chandrasekaran, A.</w:t>
      </w:r>
      <w:r>
        <w:rPr>
          <w:sz w:val="20"/>
          <w:szCs w:val="20"/>
        </w:rPr>
        <w:t xml:space="preserve">,</w:t>
      </w:r>
      <w:r>
        <w:rPr>
          <w:sz w:val="20"/>
          <w:szCs w:val="20"/>
        </w:rPr>
        <w:t xml:space="preserve"> </w:t>
      </w:r>
      <w:r>
        <w:rPr>
          <w:sz w:val="20"/>
          <w:szCs w:val="20"/>
        </w:rPr>
        <w:t xml:space="preserve">Padmanabhan, R.</w:t>
      </w:r>
      <w:r>
        <w:rPr>
          <w:sz w:val="20"/>
          <w:szCs w:val="20"/>
        </w:rPr>
        <w:t xml:space="preserve">,</w:t>
      </w:r>
      <w:r>
        <w:rPr>
          <w:sz w:val="20"/>
          <w:szCs w:val="20"/>
        </w:rPr>
        <w:t xml:space="preserve"> </w:t>
      </w:r>
      <w:r>
        <w:rPr>
          <w:sz w:val="20"/>
          <w:szCs w:val="20"/>
        </w:rPr>
        <w:t xml:space="preserve">Allman, M.</w:t>
      </w:r>
      <w:r>
        <w:rPr>
          <w:sz w:val="20"/>
          <w:szCs w:val="20"/>
        </w:rPr>
        <w:t xml:space="preserve">,</w:t>
      </w:r>
      <w:r>
        <w:rPr>
          <w:sz w:val="20"/>
          <w:szCs w:val="20"/>
        </w:rPr>
        <w:t xml:space="preserve"> </w:t>
      </w:r>
      <w:r>
        <w:rPr>
          <w:sz w:val="20"/>
          <w:szCs w:val="20"/>
        </w:rPr>
        <w:t xml:space="preserve">Bush, R.</w:t>
      </w:r>
      <w:r>
        <w:rPr>
          <w:sz w:val="20"/>
          <w:szCs w:val="20"/>
        </w:rPr>
        <w:t xml:space="preserve">,</w:t>
      </w:r>
      <w:r>
        <w:rPr>
          <w:sz w:val="20"/>
          <w:szCs w:val="20"/>
        </w:rPr>
        <w:t xml:space="preserve"> </w:t>
      </w:r>
      <w:r>
        <w:rPr>
          <w:sz w:val="20"/>
          <w:szCs w:val="20"/>
        </w:rPr>
        <w:t xml:space="preserve">Feldmann, A.</w:t>
      </w:r>
      <w:r>
        <w:rPr>
          <w:sz w:val="20"/>
          <w:szCs w:val="20"/>
        </w:rPr>
        <w:t xml:space="preserve">,</w:t>
      </w:r>
      <w:r>
        <w:rPr>
          <w:sz w:val="20"/>
          <w:szCs w:val="20"/>
        </w:rPr>
        <w:t xml:space="preserve"> </w:t>
      </w:r>
      <w:r>
        <w:rPr>
          <w:sz w:val="20"/>
          <w:szCs w:val="20"/>
        </w:rPr>
        <w:t xml:space="preserve">2016</w:t>
      </w:r>
      <w:r>
        <w:rPr>
          <w:sz w:val="20"/>
          <w:szCs w:val="20"/>
        </w:rPr>
        <w:t xml:space="preserve">.</w:t>
      </w:r>
      <w:r>
        <w:rPr>
          <w:sz w:val="20"/>
          <w:szCs w:val="20"/>
        </w:rPr>
        <w:t xml:space="preserve"> </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 in:</w:t>
      </w:r>
      <w:r>
        <w:rPr>
          <w:sz w:val="20"/>
          <w:szCs w:val="20"/>
        </w:rPr>
        <w:t xml:space="preserve"> </w:t>
      </w:r>
      <w:r>
        <w:rPr>
          <w:sz w:val="20"/>
          <w:szCs w:val="20"/>
        </w:rPr>
        <w:t xml:space="preserve">Proceedings of the 2016 ACM Internet Measurement Conference (IMC)</w:t>
      </w:r>
      <w:r>
        <w:rPr>
          <w:sz w:val="20"/>
          <w:szCs w:val="20"/>
        </w:rPr>
        <w:t xml:space="preserve">,</w:t>
      </w:r>
      <w:r>
        <w:rPr>
          <w:sz w:val="20"/>
          <w:szCs w:val="20"/>
        </w:rPr>
        <w:t xml:space="preserve"> </w:t>
      </w:r>
      <w:r>
        <w:rPr>
          <w:sz w:val="20"/>
          <w:szCs w:val="20"/>
        </w:rPr>
        <w:t xml:space="preserve">ACM</w:t>
      </w:r>
      <w:r>
        <w:rPr>
          <w:sz w:val="20"/>
          <w:szCs w:val="20"/>
        </w:rPr>
        <w:t xml:space="preserve">. https://doi.org/10.1145/2987443.2987474.</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Understanding and detecting international revenue share fraud</w:t>
      </w:r>
      <w:r>
        <w:rPr>
          <w:sz w:val="20"/>
          <w:szCs w:val="20"/>
        </w:rPr>
        <w:t xml:space="preserve">, in:</w:t>
      </w:r>
      <w:r>
        <w:rPr>
          <w:sz w:val="20"/>
          <w:szCs w:val="20"/>
        </w:rPr>
        <w:t xml:space="preserve"> </w:t>
      </w:r>
      <w:r>
        <w:rPr>
          <w:sz w:val="20"/>
          <w:szCs w:val="20"/>
        </w:rPr>
        <w:t xml:space="preserve">Network and Distributed System Security Symposium (NDSS)</w:t>
      </w:r>
      <w:r>
        <w:rPr>
          <w:sz w:val="20"/>
          <w:szCs w:val="20"/>
        </w:rPr>
        <w:t xml:space="preserve">,</w:t>
      </w:r>
      <w:r>
        <w:rPr>
          <w:sz w:val="20"/>
          <w:szCs w:val="20"/>
        </w:rPr>
        <w:t xml:space="preserve"> </w:t>
      </w:r>
      <w:r>
        <w:rPr>
          <w:sz w:val="20"/>
          <w:szCs w:val="20"/>
        </w:rPr>
        <w:t xml:space="preserve">Internet Society</w:t>
      </w:r>
      <w:r>
        <w:rPr>
          <w:sz w:val="20"/>
          <w:szCs w:val="20"/>
        </w:rPr>
        <w:t xml:space="preserve">. https://doi.org/10.14722/ndss.2021.24051.</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Ahamad, M.</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SoK</w:t>
      </w:r>
      <w:r>
        <w:rPr>
          <w:sz w:val="20"/>
          <w:szCs w:val="20"/>
        </w:rPr>
        <w:t xml:space="preserve">: Fraud in telephony networks</w:t>
      </w:r>
      <w:r>
        <w:rPr>
          <w:sz w:val="20"/>
          <w:szCs w:val="20"/>
        </w:rPr>
        <w:t xml:space="preserve">, in:</w:t>
      </w:r>
      <w:r>
        <w:rPr>
          <w:sz w:val="20"/>
          <w:szCs w:val="20"/>
        </w:rPr>
        <w:t xml:space="preserve"> </w:t>
      </w:r>
      <w:r>
        <w:rPr>
          <w:sz w:val="20"/>
          <w:szCs w:val="20"/>
        </w:rPr>
        <w:t xml:space="preserve">2017 IEEE European Symposium on Security and Privacy (EuroS&amp;P)</w:t>
      </w:r>
      <w:r>
        <w:rPr>
          <w:sz w:val="20"/>
          <w:szCs w:val="20"/>
        </w:rPr>
        <w:t xml:space="preserve">,</w:t>
      </w:r>
      <w:r>
        <w:rPr>
          <w:sz w:val="20"/>
          <w:szCs w:val="20"/>
        </w:rPr>
        <w:t xml:space="preserve"> </w:t>
      </w:r>
      <w:r>
        <w:rPr>
          <w:sz w:val="20"/>
          <w:szCs w:val="20"/>
        </w:rPr>
        <w:t xml:space="preserve">IEEE</w:t>
      </w:r>
      <w:r>
        <w:rPr>
          <w:sz w:val="20"/>
          <w:szCs w:val="20"/>
        </w:rPr>
        <w:t xml:space="preserve">. https://doi.org/10.1109/EuroSP.2017.40.</w:t>
      </w:r>
    </w:p>
    <w:p>
      <w:pPr>
        <w:pStyle w:val="BodyText"/>
        <w:spacing w:line="240" w:lineRule="auto" w:after="60"/>
        <w:ind w:left="454" w:hanging="454"/>
      </w:pPr>
      <w:r>
        <w:rPr>
          <w:sz w:val="20"/>
          <w:szCs w:val="20"/>
        </w:rPr>
      </w:r>
      <w:r>
        <w:rPr>
          <w:sz w:val="20"/>
          <w:szCs w:val="20"/>
        </w:rPr>
      </w:r>
      <w:r>
        <w:rPr>
          <w:sz w:val="20"/>
          <w:szCs w:val="20"/>
        </w:rPr>
        <w:t xml:space="preserve">Siadati, H.</w:t>
      </w:r>
      <w:r>
        <w:rPr>
          <w:sz w:val="20"/>
          <w:szCs w:val="20"/>
        </w:rPr>
        <w:t xml:space="preserve">,</w:t>
      </w:r>
      <w:r>
        <w:rPr>
          <w:sz w:val="20"/>
          <w:szCs w:val="20"/>
        </w:rPr>
        <w:t xml:space="preserve"> </w:t>
      </w:r>
      <w:r>
        <w:rPr>
          <w:sz w:val="20"/>
          <w:szCs w:val="20"/>
        </w:rPr>
        <w:t xml:space="preserve">Nguyen, T.</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Jakobsson, M.</w:t>
      </w:r>
      <w:r>
        <w:rPr>
          <w:sz w:val="20"/>
          <w:szCs w:val="20"/>
        </w:rPr>
        <w:t xml:space="preserve">,</w:t>
      </w:r>
      <w:r>
        <w:rPr>
          <w:sz w:val="20"/>
          <w:szCs w:val="20"/>
        </w:rPr>
        <w:t xml:space="preserve"> </w:t>
      </w:r>
      <w:r>
        <w:rPr>
          <w:sz w:val="20"/>
          <w:szCs w:val="20"/>
        </w:rPr>
        <w:t xml:space="preserve">Memon, N.</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65</w:t>
      </w:r>
      <w:r>
        <w:rPr>
          <w:sz w:val="20"/>
          <w:szCs w:val="20"/>
        </w:rPr>
        <w:t xml:space="preserve">,</w:t>
      </w:r>
      <w:r>
        <w:rPr>
          <w:sz w:val="20"/>
          <w:szCs w:val="20"/>
        </w:rPr>
        <w:t xml:space="preserve"> </w:t>
      </w:r>
      <w:r>
        <w:rPr>
          <w:sz w:val="20"/>
          <w:szCs w:val="20"/>
        </w:rPr>
        <w:t xml:space="preserve">14–28</w:t>
      </w:r>
      <w:r>
        <w:rPr>
          <w:sz w:val="20"/>
          <w:szCs w:val="20"/>
        </w:rPr>
        <w:t xml:space="preserve">. https://doi.org/10.1016/j.cose.2016.09.009.</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a.</w:t>
      </w:r>
      <w:r>
        <w:rPr>
          <w:sz w:val="20"/>
          <w:szCs w:val="20"/>
        </w:rPr>
        <w:t xml:space="preserve"> </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79">
        <w:r>
          <w:rPr>
            <w:rStyle w:val="Hyperlink"/>
            <w:sz w:val="20"/>
            <w:szCs w:val="20"/>
          </w:rPr>
          <w:t xml:space="preserve">https://www.twilio.com/docs/lookup/v2-api/sms-pumping-risk</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b.</w:t>
      </w:r>
      <w:r>
        <w:rPr>
          <w:sz w:val="20"/>
          <w:szCs w:val="20"/>
        </w:rPr>
        <w:t xml:space="preserve"> </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 </w:t>
      </w:r>
      <w:hyperlink r:id="rId80">
        <w:r>
          <w:rPr>
            <w:rStyle w:val="Hyperlink"/>
            <w:sz w:val="20"/>
            <w:szCs w:val="20"/>
          </w:rPr>
          <w:t xml:space="preserve">https://www.twilio.com/en-us/user-authentication-identity/verify</w:t>
        </w:r>
      </w:hyperlink>
      <w:r>
        <w:rPr>
          <w:sz w:val="20"/>
          <w:szCs w:val="20"/>
        </w:rPr>
        <w:t xml:space="preserve">.</w:t>
      </w:r>
      <w:r>
        <w:rPr>
          <w:sz w:val="20"/>
          <w:szCs w:val="20"/>
        </w:rPr>
        <w:t xml:space="preserve"> </w:t>
      </w:r>
      <w:r>
        <w:rPr>
          <w:sz w:val="20"/>
          <w:szCs w:val="20"/>
        </w:rPr>
        <w:t xml:space="preserve">Accessed 2026-10-03</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c.</w:t>
      </w:r>
      <w:r>
        <w:rPr>
          <w:sz w:val="20"/>
          <w:szCs w:val="20"/>
        </w:rPr>
        <w:t xml:space="preserve"> </w:t>
      </w:r>
      <w:r>
        <w:rPr>
          <w:sz w:val="20"/>
          <w:szCs w:val="20"/>
        </w:rPr>
        <w:t xml:space="preserve">Verify fraud guard</w:t>
      </w:r>
      <w:r>
        <w:rPr>
          <w:sz w:val="20"/>
          <w:szCs w:val="20"/>
        </w:rPr>
        <w:t xml:space="preserve">.</w:t>
      </w:r>
      <w:r>
        <w:rPr>
          <w:sz w:val="20"/>
          <w:szCs w:val="20"/>
        </w:rPr>
        <w:t xml:space="preserve"> </w:t>
      </w:r>
      <w:hyperlink r:id="rId81">
        <w:r>
          <w:rPr>
            <w:rStyle w:val="Hyperlink"/>
            <w:sz w:val="20"/>
            <w:szCs w:val="20"/>
          </w:rPr>
          <w:t xml:space="preserve">https://www.twilio.com/docs/verify/preventing-toll-fraud/sms-fraud-guard</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Veeravalli, V.V.</w:t>
      </w:r>
      <w:r>
        <w:rPr>
          <w:sz w:val="20"/>
          <w:szCs w:val="20"/>
        </w:rPr>
        <w:t xml:space="preserve">,</w:t>
      </w:r>
      <w:r>
        <w:rPr>
          <w:sz w:val="20"/>
          <w:szCs w:val="20"/>
        </w:rPr>
        <w:t xml:space="preserve"> </w:t>
      </w:r>
      <w:r>
        <w:rPr>
          <w:sz w:val="20"/>
          <w:szCs w:val="20"/>
        </w:rPr>
        <w:t xml:space="preserve">Banerjee, T.</w:t>
      </w:r>
      <w:r>
        <w:rPr>
          <w:sz w:val="20"/>
          <w:szCs w:val="20"/>
        </w:rPr>
        <w:t xml:space="preserve">,</w:t>
      </w:r>
      <w:r>
        <w:rPr>
          <w:sz w:val="20"/>
          <w:szCs w:val="20"/>
        </w:rPr>
        <w:t xml:space="preserve"> </w:t>
      </w:r>
      <w:r>
        <w:rPr>
          <w:sz w:val="20"/>
          <w:szCs w:val="20"/>
        </w:rPr>
        <w:t xml:space="preserve">2012</w:t>
      </w:r>
      <w:r>
        <w:rPr>
          <w:sz w:val="20"/>
          <w:szCs w:val="20"/>
        </w:rPr>
        <w:t xml:space="preserve">.</w:t>
      </w:r>
      <w:r>
        <w:rPr>
          <w:sz w:val="20"/>
          <w:szCs w:val="20"/>
        </w:rPr>
        <w:t xml:space="preserve"> </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Wald, A.</w:t>
      </w:r>
      <w:r>
        <w:rPr>
          <w:sz w:val="20"/>
          <w:szCs w:val="20"/>
        </w:rPr>
        <w:t xml:space="preserve">,</w:t>
      </w:r>
      <w:r>
        <w:rPr>
          <w:sz w:val="20"/>
          <w:szCs w:val="20"/>
        </w:rPr>
        <w:t xml:space="preserve"> </w:t>
      </w:r>
      <w:r>
        <w:rPr>
          <w:sz w:val="20"/>
          <w:szCs w:val="20"/>
        </w:rPr>
        <w:t xml:space="preserve">1945</w:t>
      </w:r>
      <w:r>
        <w:rPr>
          <w:sz w:val="20"/>
          <w:szCs w:val="20"/>
        </w:rPr>
        <w:t xml:space="preserve">.</w:t>
      </w:r>
      <w:r>
        <w:rPr>
          <w:sz w:val="20"/>
          <w:szCs w:val="20"/>
        </w:rPr>
        <w:t xml:space="preserve"> </w:t>
      </w:r>
      <w:r>
        <w:rPr>
          <w:sz w:val="20"/>
          <w:szCs w:val="20"/>
        </w:rPr>
        <w:t xml:space="preserve">Sequential tests of statistical hypotheses</w:t>
      </w:r>
      <w:r>
        <w:rPr>
          <w:sz w:val="20"/>
          <w:szCs w:val="20"/>
        </w:rPr>
        <w:t xml:space="preserve">.</w:t>
      </w:r>
      <w:r>
        <w:rPr>
          <w:sz w:val="20"/>
          <w:szCs w:val="20"/>
        </w:rPr>
        <w:t xml:space="preserve"> </w:t>
      </w:r>
      <w:r>
        <w:rPr>
          <w:sz w:val="20"/>
          <w:szCs w:val="20"/>
        </w:rPr>
        <w:t xml:space="preserve">The Annals of Mathematical Statistics</w:t>
      </w:r>
      <w:r>
        <w:rPr>
          <w:sz w:val="20"/>
          <w:szCs w:val="20"/>
        </w:rPr>
        <w:t xml:space="preserve"> </w:t>
      </w:r>
      <w:r>
        <w:rPr>
          <w:sz w:val="20"/>
          <w:szCs w:val="20"/>
        </w:rPr>
        <w:t xml:space="preserve">16</w:t>
      </w:r>
      <w:r>
        <w:rPr>
          <w:sz w:val="20"/>
          <w:szCs w:val="20"/>
        </w:rPr>
        <w:t xml:space="preserve">,</w:t>
      </w:r>
      <w:r>
        <w:rPr>
          <w:sz w:val="20"/>
          <w:szCs w:val="20"/>
        </w:rPr>
        <w:t xml:space="preserve"> </w:t>
      </w:r>
      <w:r>
        <w:rPr>
          <w:sz w:val="20"/>
          <w:szCs w:val="20"/>
        </w:rPr>
        <w:t xml:space="preserve">117–186</w:t>
      </w:r>
      <w:r>
        <w:rPr>
          <w:sz w:val="20"/>
          <w:szCs w:val="20"/>
        </w:rPr>
        <w:t xml:space="preserve">. https://doi.org/10.1214/aoms/1177731118.</w:t>
      </w:r>
    </w:p>
    <w:p>
      <w:pPr>
        <w:pStyle w:val="BodyText"/>
        <w:spacing w:line="240" w:lineRule="auto" w:after="60"/>
        <w:ind w:left="454" w:hanging="454"/>
      </w:pPr>
      <w:r>
        <w:rPr>
          <w:sz w:val="20"/>
          <w:szCs w:val="20"/>
        </w:rPr>
      </w:r>
      <w:r>
        <w:rPr>
          <w:sz w:val="20"/>
          <w:szCs w:val="20"/>
        </w:rPr>
      </w:r>
      <w:r>
        <w:rPr>
          <w:sz w:val="20"/>
          <w:szCs w:val="20"/>
        </w:rPr>
        <w:t xml:space="preserve">Web Incubator Community Group</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WebOTP API</w:t>
      </w:r>
      <w:r>
        <w:rPr>
          <w:sz w:val="20"/>
          <w:szCs w:val="20"/>
        </w:rPr>
        <w:t xml:space="preserve">.</w:t>
      </w:r>
      <w:r>
        <w:rPr>
          <w:sz w:val="20"/>
          <w:szCs w:val="20"/>
        </w:rPr>
        <w:t xml:space="preserve"> </w:t>
      </w:r>
      <w:hyperlink r:id="rId82">
        <w:r>
          <w:rPr>
            <w:rStyle w:val="Hyperlink"/>
            <w:sz w:val="20"/>
            <w:szCs w:val="20"/>
          </w:rPr>
          <w:t xml:space="preserve">https://github.com/WICG/WebOTP</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Wiefling, S.</w:t>
      </w:r>
      <w:r>
        <w:rPr>
          <w:sz w:val="20"/>
          <w:szCs w:val="20"/>
        </w:rPr>
        <w:t xml:space="preserve">,</w:t>
      </w:r>
      <w:r>
        <w:rPr>
          <w:sz w:val="20"/>
          <w:szCs w:val="20"/>
        </w:rPr>
        <w:t xml:space="preserve"> </w:t>
      </w:r>
      <w:r>
        <w:rPr>
          <w:sz w:val="20"/>
          <w:szCs w:val="20"/>
        </w:rPr>
        <w:t xml:space="preserve">Lo Iacono, L.</w:t>
      </w:r>
      <w:r>
        <w:rPr>
          <w:sz w:val="20"/>
          <w:szCs w:val="20"/>
        </w:rPr>
        <w:t xml:space="preserve">,</w:t>
      </w:r>
      <w:r>
        <w:rPr>
          <w:sz w:val="20"/>
          <w:szCs w:val="20"/>
        </w:rPr>
        <w:t xml:space="preserve"> </w:t>
      </w:r>
      <w:r>
        <w:rPr>
          <w:sz w:val="20"/>
          <w:szCs w:val="20"/>
        </w:rPr>
        <w:t xml:space="preserve">D</w:t>
      </w:r>
      <w:r>
        <w:rPr>
          <w:sz w:val="20"/>
          <w:szCs w:val="20"/>
        </w:rPr>
        <w:t xml:space="preserve">ü</w:t>
      </w:r>
      <w:r>
        <w:rPr>
          <w:sz w:val="20"/>
          <w:szCs w:val="20"/>
        </w:rPr>
        <w:t xml:space="preserve">rmuth, M.</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 in:</w:t>
      </w:r>
      <w:r>
        <w:rPr>
          <w:sz w:val="20"/>
          <w:szCs w:val="20"/>
        </w:rPr>
        <w:t xml:space="preserve"> </w:t>
      </w:r>
      <w:r>
        <w:rPr>
          <w:sz w:val="20"/>
          <w:szCs w:val="20"/>
        </w:rPr>
        <w:t xml:space="preserve">ICT Systems Security and Privacy Protection (IFIP SEC 2019)</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134–148</w:t>
      </w:r>
      <w:r>
        <w:rPr>
          <w:sz w:val="20"/>
          <w:szCs w:val="20"/>
        </w:rPr>
        <w:t xml:space="preserve">. https://doi.org/10.1007/978-3-030-22312-0_10.</w:t>
      </w:r>
    </w:p>
    <w:p>
      <w:pPr>
        <w:pStyle w:val="BodyText"/>
        <w:spacing w:line="240" w:lineRule="auto" w:after="60"/>
        <w:ind w:left="454" w:hanging="454"/>
      </w:pPr>
      <w:r>
        <w:rPr>
          <w:sz w:val="20"/>
          <w:szCs w:val="20"/>
        </w:rPr>
      </w:r>
      <w:r>
        <w:rPr>
          <w:sz w:val="20"/>
          <w:szCs w:val="20"/>
        </w:rPr>
      </w:r>
      <w:r>
        <w:rPr>
          <w:sz w:val="20"/>
          <w:szCs w:val="20"/>
        </w:rPr>
        <w:t xml:space="preserve">Zaliskyi, M.</w:t>
      </w:r>
      <w:r>
        <w:rPr>
          <w:sz w:val="20"/>
          <w:szCs w:val="20"/>
        </w:rPr>
        <w:t xml:space="preserve">,</w:t>
      </w:r>
      <w:r>
        <w:rPr>
          <w:sz w:val="20"/>
          <w:szCs w:val="20"/>
        </w:rPr>
        <w:t xml:space="preserve"> </w:t>
      </w:r>
      <w:r>
        <w:rPr>
          <w:sz w:val="20"/>
          <w:szCs w:val="20"/>
        </w:rPr>
        <w:t xml:space="preserve">Odarchenko, M.</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sz w:val="20"/>
          <w:szCs w:val="20"/>
        </w:rPr>
        <w:t xml:space="preserve">Science-Based Technologies</w:t>
      </w:r>
      <w:r>
        <w:rPr>
          <w:sz w:val="20"/>
          <w:szCs w:val="20"/>
        </w:rPr>
        <w:t xml:space="preserve"> </w:t>
      </w:r>
      <w:r>
        <w:rPr>
          <w:sz w:val="20"/>
          <w:szCs w:val="20"/>
        </w:rPr>
        <w:t xml:space="preserve">69</w:t>
      </w:r>
      <w:r>
        <w:rPr>
          <w:sz w:val="20"/>
          <w:szCs w:val="20"/>
        </w:rPr>
        <w:t xml:space="preserve">,</w:t>
      </w:r>
      <w:r>
        <w:rPr>
          <w:sz w:val="20"/>
          <w:szCs w:val="20"/>
        </w:rPr>
        <w:t xml:space="preserve"> </w:t>
      </w:r>
      <w:r>
        <w:rPr>
          <w:sz w:val="20"/>
          <w:szCs w:val="20"/>
        </w:rPr>
        <w:t xml:space="preserve">89–98</w:t>
      </w:r>
      <w:r>
        <w:rPr>
          <w:sz w:val="20"/>
          <w:szCs w:val="20"/>
        </w:rPr>
        <w:t xml:space="preserve">. https://doi.org/10.18372/2310-5461.69.20735.</w:t>
      </w:r>
    </w:p>
    <w:bookmarkEnd w:id="83"/>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1" Type="http://schemas.openxmlformats.org/officeDocument/2006/relationships/image" Target="media/rId51.png"/><Relationship Id="rId54" Type="http://schemas.openxmlformats.org/officeDocument/2006/relationships/image" Target="media/rId54.png"/><Relationship Id="rId59" Type="http://schemas.openxmlformats.org/officeDocument/2006/relationships/image" Target="media/rId59.png"/><Relationship Id="rId21" Type="http://schemas.openxmlformats.org/officeDocument/2006/relationships/image" Target="media/rId21.png"/><Relationship Id="rId77" Type="http://schemas.openxmlformats.org/officeDocument/2006/relationships/hyperlink" Target="https://attack.mitre.org/techniques/T1496/003/" TargetMode="External"/><Relationship Id="rId75" Type="http://schemas.openxmlformats.org/officeDocument/2006/relationships/hyperlink" Target="https://commsrisk.com/elon-musk-says-twitter-lost-60mn-a-year-because-390-telcos-used-bot-accounts-to-pump-a2p-sms/" TargetMode="External"/><Relationship Id="rId76" Type="http://schemas.openxmlformats.org/officeDocument/2006/relationships/hyperlink" Target="https://developers.google.com/identity/sms-retriever/overview" TargetMode="External"/><Relationship Id="rId82" Type="http://schemas.openxmlformats.org/officeDocument/2006/relationships/hyperlink" Target="https://github.com/WICG/WebOTP" TargetMode="External"/><Relationship Id="rId73" Type="http://schemas.openxmlformats.org/officeDocument/2006/relationships/hyperlink" Target="https://github.com/nahmedpsu/OTP-DDOS" TargetMode="External"/><Relationship Id="rId78" Type="http://schemas.openxmlformats.org/officeDocument/2006/relationships/hyperlink" Target="https://www.itl.nist.gov/div898/handbook/pmc/section3/pmc323.htm" TargetMode="External"/><Relationship Id="rId79" Type="http://schemas.openxmlformats.org/officeDocument/2006/relationships/hyperlink" Target="https://www.twilio.com/docs/lookup/v2-api/sms-pumping-risk" TargetMode="External"/><Relationship Id="rId81" Type="http://schemas.openxmlformats.org/officeDocument/2006/relationships/hyperlink" Target="https://www.twilio.com/docs/verify/preventing-toll-fraud/sms-fraud-guard" TargetMode="External"/><Relationship Id="rId80"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77" Type="http://schemas.openxmlformats.org/officeDocument/2006/relationships/hyperlink" Target="https://attack.mitre.org/techniques/T1496/003/" TargetMode="External"/><Relationship Id="rId75" Type="http://schemas.openxmlformats.org/officeDocument/2006/relationships/hyperlink" Target="https://commsrisk.com/elon-musk-says-twitter-lost-60mn-a-year-because-390-telcos-used-bot-accounts-to-pump-a2p-sms/" TargetMode="External"/><Relationship Id="rId76" Type="http://schemas.openxmlformats.org/officeDocument/2006/relationships/hyperlink" Target="https://developers.google.com/identity/sms-retriever/overview" TargetMode="External"/><Relationship Id="rId82" Type="http://schemas.openxmlformats.org/officeDocument/2006/relationships/hyperlink" Target="https://github.com/WICG/WebOTP" TargetMode="External"/><Relationship Id="rId73" Type="http://schemas.openxmlformats.org/officeDocument/2006/relationships/hyperlink" Target="https://github.com/nahmedpsu/OTP-DDOS" TargetMode="External"/><Relationship Id="rId78" Type="http://schemas.openxmlformats.org/officeDocument/2006/relationships/hyperlink" Target="https://www.itl.nist.gov/div898/handbook/pmc/section3/pmc323.htm" TargetMode="External"/><Relationship Id="rId79" Type="http://schemas.openxmlformats.org/officeDocument/2006/relationships/hyperlink" Target="https://www.twilio.com/docs/lookup/v2-api/sms-pumping-risk" TargetMode="External"/><Relationship Id="rId81" Type="http://schemas.openxmlformats.org/officeDocument/2006/relationships/hyperlink" Target="https://www.twilio.com/docs/verify/preventing-toll-fraud/sms-fraud-guard" TargetMode="External"/><Relationship Id="rId80"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2026-10-06T08:54:25Z</dcterms:created>
  <dcterms:modified xsi:type="dcterms:W3CDTF">2026-10-06T08:54:25Z</dcterms:modified>
</cp:coreProperties>
</file>

<file path=docProps/custom.xml><?xml version="1.0" encoding="utf-8"?>
<Properties xmlns="http://schemas.openxmlformats.org/officeDocument/2006/custom-properties" xmlns:vt="http://schemas.openxmlformats.org/officeDocument/2006/docPropsVTypes"/>
</file>