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and release 2.9.1 (the commit accompanying this letter,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3 and the attacked-service table are reworked. The incident narrative is removed.</w:t>
      </w:r>
    </w:p>
    <w:p>
      <w:pPr>
        <w:spacing w:after="120"/>
      </w:pPr>
      <w:r>
        <w:rPr>
          <w:b/>
          <w:bCs/>
        </w:rPr>
        <w:t xml:space="preserve">Manuscript.</w:t>
      </w:r>
      <w:r>
        <w:t xml:space="preserve"> Revision 8 has 7,996 words from the title to the references inclusive (7,953 by a whitespace count) and 24 pages in the review format. Its scope, studies and claims are those of revision 7, and it has no highlights page.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3, Tables 8 and 9 and the Figure 1 key are done (Section 6 of this letter). The incident material is removed (M10). Reference 23 cites the immutable commit; the affiliation, tags and release are completed by the author at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6).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7.6 and the conclusion now tell this qualified story, and the paper presents the twelve-step architecture as context for the destination comparison (Sections 7.1–7.4).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is algebraic, not a measured switching point.'</w:t>
      </w:r>
    </w:p>
    <w:p>
      <w:pPr>
        <w:spacing w:after="120"/>
      </w:pPr>
      <w:r>
        <w:t xml:space="preserve">Section 7.6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7.6 and 9.</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little cost to simulated users'; Section 6: results for returning users 'describe trusted identities only'). Section 7.1 gives the model rule behind each contained attack (the datacenter attacker 'scores in the challenge tier and declines challenges'; 'Step 5 refuses the premium range'). The limitations list the generator's favourable assumptions, and Section 8 calls the combined policy 'a hypothesis for real traffic, not a recommendation'. The limitations still end with 'Replaying real traffic is the experiment this paper most needs.'</w:t>
      </w:r>
    </w:p>
    <w:p>
      <w:pPr>
        <w:spacing w:after="200"/>
      </w:pPr>
      <w:r>
        <w:rPr>
          <w:i/>
          <w:iCs/>
        </w:rPr>
        <w:t xml:space="preserve">Where:</w:t>
      </w:r>
      <w:r>
        <w:t xml:space="preserve"> Manuscript abstract, Sections 6, 7.1 and 8.</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6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6.</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7.6: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7.6 ('against every attacker but the instant verifier (25, against 15 and 16)').</w:t>
      </w:r>
    </w:p>
    <w:p>
      <w:pPr>
        <w:spacing w:after="200"/>
      </w:pPr>
      <w:r>
        <w:rPr>
          <w:i/>
          <w:iCs/>
        </w:rPr>
        <w:t xml:space="preserve">Where:</w:t>
      </w:r>
      <w:r>
        <w:t xml:space="preserve"> Manuscript Sections 7.6 and 8.</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7.6 draws from the four-carrier table against the per-carrier values (results/round5_analyses.md). Two needed qualifying. Counter and tests together leak least in the sum, but against the instant verifier the tuned sequential setting leaks less (22 against 28); Section 7.6 now reads 'Counter and tests together, explored outside the frozen claims, leaked least summed over the four carriers but not against the instant verifier (28; T300, c0: 22), …'. The degradation range '5 to 9 points' was a carrier average; it now reads 'every evaluated policy still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caption of the attacked-service table (now Table 8)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7.6, Table 8 caption, Section 8;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4.2 now reads: 'Simulated runs apply events in time order; concurrent live instances may not, since a transition is committed before its effects apply, so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4.2;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6 now says that release 2.9.0 'follows Redis in every rule compared, checked by differential tests', rather than that it keeps state as Redis does in general. It keeps 'The implementation is a research prototype', 'Step 11 is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6.</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'These scripted adaptations' leakages are not bounds' (Section 7.8), 'break-even shares for scripted attackers under assumed prices, not bounds or criminal profit', and the heuristic limited to 'pumpers that solve no challenge and hold no exemption' (Section 8). No attack profile was added.</w:t>
      </w:r>
    </w:p>
    <w:p>
      <w:pPr>
        <w:spacing w:after="200"/>
      </w:pPr>
      <w:r>
        <w:rPr>
          <w:i/>
          <w:iCs/>
        </w:rPr>
        <w:t xml:space="preserve">Where:</w:t>
      </w:r>
      <w:r>
        <w:t xml:space="preserve"> Manuscript Sections 7.8 and 8.</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7.6 ('we rank only the implemented policies'), and Section 8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7.6 and 8.</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for the incident and the citation; affiliation, tags and release completed by the author at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is now 'Baseline and threat model'. It describes v1 by its seven controls and its bulk and test paths, and Table 1, without a Source column, 'lists eight assumptions behind these rules and how an attacker within the threat model below breaks each; the gaps follow from the rules, not observed abuse'. The introduction now reads 'We study the defences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author completes the remaining items at resubmission: the title-page affiliation, the tags v2.9.0 and v2.9.1 with a GitHub release carrying results/CHECKSUMS.sha256, and the highlights, which are supplied as a separate file (paper/highlights.txt).</w:t>
      </w:r>
    </w:p>
    <w:p>
      <w:pPr>
        <w:spacing w:after="200"/>
      </w:pPr>
      <w:r>
        <w:rPr>
          <w:i/>
          <w:iCs/>
        </w:rPr>
        <w:t xml:space="preserve">Where:</w:t>
      </w:r>
      <w:r>
        <w:t xml:space="preserve"> Manuscript Sections 1 and 3, Table 1,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is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concurrent live instances may not, since a transition is committed before its effects apply, so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ten twenty-minute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Figure 1 (results/figure1_key.md)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9 vs Section 7.6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7.5 vs Table 6 (now Table 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Table 7's 24 per outcome-reading carrier (now Table 6)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7.6).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8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make room for the related-work paragraph and the qualifications within the 8,000-word limit, revision 7's Table 3 (the study map) is now a supplementary map (results/study_map.md), cited in Section 6; supplementary Table S1 is unchanged. Revision 7's Tables 4 to 8 are therefore Tables 3 to 7, and revision 7's Table 9 is split into Tables 8 (pumper on shared blocks) and 9 (poisoner). Figure and equation numbers are unchanged.</w:t>
      </w:r>
    </w:p>
    <w:p>
      <w:pPr>
        <w:pStyle w:val="ListParagraph"/>
        <w:numPr>
          <w:ilvl w:val="0"/>
          <w:numId w:val="2"/>
        </w:numPr>
        <w:spacing w:after="60"/>
      </w:pPr>
      <w:r>
        <w:rPr>
          <w:b/>
          <w:bCs/>
        </w:rPr>
        <w:t xml:space="preserve">Table order.</w:t>
      </w:r>
      <w:r>
        <w:t xml:space="preserve"> The attacker-profile table (now Table 3) was a fixed-position float; it is now a top float like its neighbours. In the compiled PDF, Tables 1 to 9 appear in order on pages 4, 5, 10, 11, 12, 13, 16, 16 and 17, which we checked page by page.</w:t>
      </w:r>
    </w:p>
    <w:p>
      <w:pPr>
        <w:pStyle w:val="ListParagraph"/>
        <w:numPr>
          <w:ilvl w:val="0"/>
          <w:numId w:val="2"/>
        </w:numPr>
        <w:spacing w:after="60"/>
      </w:pPr>
      <w:r>
        <w:rPr>
          <w:b/>
          <w:bCs/>
        </w:rPr>
        <w:t xml:space="preserve">Figure 3.</w:t>
      </w:r>
      <w:r>
        <w:t xml:space="preserve"> Redrawn to print at the full text width with larger text (8 to 9 pt as printed). Measurements have filled markers and solid or dashed lines; the estimates (Equations 2, 3 and 4) have hollow markers and dotted or dash-dot lines. The figure has two separate legends, one for measurements ('mean over five seeds, 95 % interval') and one for estimates, and every axis label says when the scale is logarithmic. The caption adds 'All horizontal axes and the vertical axes of (b, c) are logarithmic.' The warm-start curve is kept.</w:t>
      </w:r>
    </w:p>
    <w:p>
      <w:pPr>
        <w:pStyle w:val="ListParagraph"/>
        <w:numPr>
          <w:ilvl w:val="0"/>
          <w:numId w:val="2"/>
        </w:numPr>
        <w:spacing w:after="60"/>
      </w:pPr>
      <w:r>
        <w:rPr>
          <w:b/>
          <w:bCs/>
        </w:rPr>
        <w:t xml:space="preserve">Table 9 (now Tables 8 and 9).</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8 each interval sits under its mean; Table 9 has one interval column. The captions say which entries carry intervals: in Table 8, 'Brackets, on leakage and the attacked blocks only'; in Table 9, the all-user extra harm.</w:t>
      </w:r>
    </w:p>
    <w:p>
      <w:pPr>
        <w:pStyle w:val="ListParagraph"/>
        <w:numPr>
          <w:ilvl w:val="0"/>
          <w:numId w:val="2"/>
        </w:numPr>
        <w:spacing w:after="60"/>
      </w:pPr>
      <w:r>
        <w:rPr>
          <w:b/>
          <w:bCs/>
        </w:rPr>
        <w:t xml:space="preserve">Figure 1.</w:t>
      </w:r>
      <w:r>
        <w:t xml:space="preserve"> The caption now says what the unlabelled points are: 'sequential settings matched to the default's false alarms at other credits (key: results/figure1_key.md)'. The new supplementary key lists every plotted setting with its completion, its summed leakage with interval and its roles in the selection. It names the auxiliary setting that changed in 2.9.0, T1000 cinf to T300 cinf, which is also identified in Section 6 (Q6).</w:t>
      </w:r>
    </w:p>
    <w:p>
      <w:pPr>
        <w:pStyle w:val="ListParagraph"/>
        <w:numPr>
          <w:ilvl w:val="0"/>
          <w:numId w:val="2"/>
        </w:numPr>
        <w:spacing w:after="60"/>
      </w:pPr>
      <w:r>
        <w:rPr>
          <w:b/>
          <w:bCs/>
        </w:rPr>
        <w:t xml:space="preserve">The boundary narrative.</w:t>
      </w:r>
      <w:r>
        <w:t xml:space="preserve"> Tables 8 and 9 are now set before the boundary discussion. The boundary paragraph, including the 18/18 and 17/18 results, the near-tie qualification and the algebraic-crossing statement, runs uninterrupted on page 17 below Table 9, and Figure 3 follows on page 18. The adaptive-attacker results (E3), which followed in the same paragraph, are now a paragraph of their own after the figure.</w:t>
      </w:r>
    </w:p>
    <w:p>
      <w:pPr>
        <w:pStyle w:val="ListParagraph"/>
        <w:numPr>
          <w:ilvl w:val="0"/>
          <w:numId w:val="2"/>
        </w:numPr>
        <w:spacing w:after="60"/>
      </w:pPr>
      <w:r>
        <w:rPr>
          <w:b/>
          <w:bCs/>
        </w:rPr>
        <w:t xml:space="preserve">Front matter.</w:t>
      </w:r>
      <w:r>
        <w:t xml:space="preserve"> The title-page affiliation is completed by the author at resubmission (M10).</w:t>
      </w:r>
    </w:p>
    <w:p>
      <w:pPr>
        <w:spacing w:after="120" w:before="160"/>
      </w:pPr>
      <w:r>
        <w:rPr>
          <w:b/>
          <w:bCs/>
        </w:rPr>
        <w:t xml:space="preserve">Completed in the previous round, not repeated here:</w:t>
      </w:r>
      <w:r>
        <w:t xml:space="preserve"> Figure 1's interval construction, Figure 2's caption, Table 5's attacker row (now Table 4)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and the highlights file. </w:t>
      </w:r>
      <w:r>
        <w:rPr>
          <w:b/>
          <w:bCs/>
        </w:rPr>
        <w:t xml:space="preserve">Completed by the author at resubmission:</w:t>
      </w:r>
      <w:r>
        <w:t xml:space="preserve"> the affiliation, and the tags and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2026-10-05T08:29:04.564Z</dcterms:created>
  <dcterms:modified xsi:type="dcterms:W3CDTF">2026-10-05T08:29:04.574Z</dcterms:modified>
</cp:coreProperties>
</file>

<file path=docProps/custom.xml><?xml version="1.0" encoding="utf-8"?>
<Properties xmlns="http://schemas.openxmlformats.org/officeDocument/2006/custom-properties" xmlns:vt="http://schemas.openxmlformats.org/officeDocument/2006/docPropsVTypes"/>
</file>