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Defenses Against SMS OTP Flooding and Pumping</w:t>
      </w:r>
    </w:p>
    <w:p>
      <w:pPr>
        <w:pStyle w:val="BodyText"/>
        <w:spacing w:after="120"/>
        <w:jc w:val="center"/>
      </w:pPr>
      <w:r>
        <w:rPr>
          <w:smallCaps/>
          <w:sz w:val="24"/>
          <w:szCs w:val="24"/>
        </w:rPr>
        <w:t>NAVEED AHMED</w:t>
      </w:r>
    </w:p>
    <w:p>
      <w:pPr>
        <w:pStyle w:val="BodyText"/>
        <w:spacing w:after="120"/>
        <w:jc w:val="center"/>
      </w:pPr>
      <w:r>
        <w:rPr>
          <w:sz w:val="20"/>
          <w:szCs w:val="20"/>
        </w:rPr>
        <w:t>College of Computer and Information Science, Prince Sultan University, Riyadh 11586, Saudi Arabia</w:t>
      </w:r>
    </w:p>
    <w:p>
      <w:pPr>
        <w:pStyle w:val="BodyText"/>
        <w:spacing w:after="120"/>
        <w:jc w:val="center"/>
      </w:pPr>
      <w:r>
        <w:rPr>
          <w:sz w:val="18"/>
          <w:szCs w:val="18"/>
        </w:rPr>
        <w:t>CORRESPONDING AUTHOR: Naveed Ahmed (e-mail: nahmed@psu.edu.sa).</w:t>
      </w:r>
    </w:p>
    <w:p>
      <w:pPr>
        <w:pStyle w:val="BodyText"/>
        <w:spacing w:after="120"/>
        <w:jc w:val="center"/>
      </w:pPr>
      <w:r>
        <w:rPr>
          <w:sz w:val="18"/>
          <w:szCs w:val="18"/>
        </w:rPr>
        <w:t>This work was supported by Prince Sultan University, which also paid the article processing charge (APC) of this manuscript.</w:t>
      </w:r>
    </w:p>
    <w:p>
      <w:pPr>
        <w:pStyle w:val="BodyText"/>
        <w:spacing w:line="360" w:lineRule="auto"/>
      </w:pPr>
      <w:r>
        <w:rPr>
          <w:sz w:val="22"/>
          <w:szCs w:val="22"/>
        </w:rPr>
      </w:r>
      <w:r>
        <w:rPr>
          <w:sz w:val="22"/>
          <w:szCs w:val="22"/>
        </w:rPr>
      </w:r>
      <w:r>
        <w:rPr>
          <w:bCs/>
          <w:b/>
          <w:sz w:val="22"/>
          <w:szCs w:val="22"/>
        </w:rPr>
        <w:t xml:space="preserve">ABSTRACT</w:t>
      </w:r>
      <w:r>
        <w:rPr>
          <w:sz w:val="22"/>
          <w:szCs w:val="22"/>
        </w:rPr>
        <w:t xml:space="preserve"> </w:t>
      </w:r>
      <w:r>
        <w:rPr>
          <w:sz w:val="22"/>
          <w:szCs w:val="22"/>
        </w:rPr>
        <w:t xml:space="preserve">Services that verify a phone number by SMS expose an endpoint that must be answered before any account exists. Attackers abuse this to waste the service’s messaging budget (flooding) or to steer paid messages to premium-rate ranges that share the termination fee with them (SMS pumping). Existing defenses limit the source, score requests with labeled traffic or block prefixes, but no controlled evidence says which destination signal a service should act on, sends per block, or the fate of their codes, or what either costs the users who share a block with an attacker. We evaluate in simulation a twelve-step defense built on app attestation, signed sessions, and verification outcomes against a seven-control baseline, five simpler designs, and 25 attacker profiles, and compare two label-free destination policies, a short-window counter of sends per number block, and sequential tests of code outcomes under two protocols committed before their runs. Attacks with a signature in the request are contained at a low cost to users; a residential attacker is only rationed. Against four concentrated 20-minute pumpers, the counter leaked 6 to 48 messages at 0.06 to 0.43 points of completion, where the default tests leaked 19 to 452; on held-out seeds and workloads, it met its leakage claims but failed its service claims on blocks real users share. Estimates from the rules alone ordered the two policies in 18 of 18 decisive cells. The results rest on simulated users and give operators a tested ordering of destination policies against short, concentrated pumping.</w:t>
      </w:r>
    </w:p>
    <w:p>
      <w:pPr>
        <w:pStyle w:val="BodyText"/>
      </w:pPr>
      <w:r>
        <w:rPr>
          <w:sz w:val="22"/>
          <w:szCs w:val="22"/>
        </w:rPr>
      </w:r>
      <w:r>
        <w:rPr>
          <w:sz w:val="22"/>
          <w:szCs w:val="22"/>
        </w:rPr>
      </w:r>
      <w:r>
        <w:rPr>
          <w:bCs/>
          <w:b/>
          <w:sz w:val="22"/>
          <w:szCs w:val="22"/>
        </w:rPr>
        <w:t xml:space="preserve">INDEX TERMS</w:t>
      </w:r>
      <w:r>
        <w:rPr>
          <w:sz w:val="22"/>
          <w:szCs w:val="22"/>
        </w:rPr>
        <w:t xml:space="preserve"> </w:t>
      </w:r>
      <w:r>
        <w:rPr>
          <w:sz w:val="22"/>
          <w:szCs w:val="22"/>
        </w:rPr>
        <w:t xml:space="preserve">Artificially inflated traffic, fraud prevention, one-time password, rate limiting, sequential tests, SMS pumping.</w:t>
      </w:r>
    </w:p>
    <w:bookmarkStart w:id="20" w:name="i.-introduction"/>
    <w:p>
      <w:pPr>
        <w:pStyle w:val="Heading1"/>
      </w:pPr>
      <w:r>
        <w:t xml:space="preserve">I. 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[1]. Pumping is the SMS form of international revenue-share fraud, whose voice form was estimated at $10.76 billion a year in 2015 [2]. The sums at a single service are not small: Twitter’s owner said in 2023 that pumping had cost the company approximately $60 million a year [3], and Huh</w:t>
      </w:r>
      <w:r>
        <w:t xml:space="preserve"> </w:t>
      </w:r>
      <w:r>
        <w:rPr>
          <w:iCs/>
          <w:i/>
        </w:rPr>
        <w:t xml:space="preserve">et al.</w:t>
      </w:r>
      <w:r>
        <w:t xml:space="preserve"> </w:t>
      </w:r>
      <w:r>
        <w:t xml:space="preserve">[4]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restrict destination countries, and risk-based authentication combines such signals into a score with graded responses [5]. At the messaging vendor, Twilio’s Fraud Guard blocks destination prefixes and countries whose traffic departs from an account’s history [6], and its per-number pumping risk score advises friction from 60 and refusal above 90 [7]. On a service’s own logs, Huh</w:t>
      </w:r>
      <w:r>
        <w:t xml:space="preserve"> </w:t>
      </w:r>
      <w:r>
        <w:rPr>
          <w:iCs/>
          <w:i/>
        </w:rPr>
        <w:t xml:space="preserve">et al.</w:t>
      </w:r>
      <w:r>
        <w:t xml:space="preserve"> </w:t>
      </w:r>
      <w:r>
        <w:t xml:space="preserve">[4] detect attack requests one at a time with gradient-boosted trees, at 89.6% recall and 0.19% false positives on web traffic, and Zaliskyi and Odarchenko [8]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wants [9]. Addresses are not scarce either: five residential proxy services relayed through 6.2 million addresses in 238 countries, 90% of them for under 15 minutes each and 2.2% of them on any blacklist [10],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[11]. A CAPTCHA costs an attacker approximately a dollar per thousand solutions from a labor market that was already paying ten dollars per thousand in 2007 [12]. Supervised detection requires labels, which Huh</w:t>
      </w:r>
      <w:r>
        <w:t xml:space="preserve"> </w:t>
      </w:r>
      <w:r>
        <w:rPr>
          <w:iCs/>
          <w:i/>
        </w:rPr>
        <w:t xml:space="preserve">et al.</w:t>
      </w:r>
      <w:r>
        <w:t xml:space="preserve"> </w:t>
      </w:r>
      <w:r>
        <w:t xml:space="preserve">[4]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[8] also blocked 58% of a legitimate marketing campaign.</w:t>
      </w:r>
    </w:p>
    <w:p>
      <w:pPr>
        <w:pStyle w:val="BodyText"/>
      </w:pPr>
      <w:r>
        <w:t xml:space="preserve">Therefore, the two closest studies each act on one destination signal, and neither measures the cost of acting on it. Huh</w:t>
      </w:r>
      <w:r>
        <w:t xml:space="preserve"> </w:t>
      </w:r>
      <w:r>
        <w:rPr>
          <w:iCs/>
          <w:i/>
        </w:rPr>
        <w:t xml:space="preserve">et al.</w:t>
      </w:r>
      <w:r>
        <w:t xml:space="preserve"> </w:t>
      </w:r>
      <w:r>
        <w:t xml:space="preserve">[4] report that approximately 92% of attack requests fell on prefixes with zero conversion, against 21% for genuine traffic; thus, whether codes are entered is informative; however, the signal enters a classifier that requires labeled traffic and was not released because it is deployed. Zaliskyi and Odarchenko [8] act on send counts alone, without outcomes, and conclude that counts by themselves cannot safely separate inflated traffic from a campaign. Neither reports what a destination policy costs legitimate users who share a number block with an attacker, with or without an attack, and neither fixed its setting before seeing the evaluation traffic.</w:t>
      </w:r>
    </w:p>
    <w:p>
      <w:pPr>
        <w:pStyle w:val="BodyText"/>
      </w:pPr>
      <w:r>
        <w:t xml:space="preserve">A service that sees only its own traffic must decide, for every request, whether to pay for a message to a number it cannot verify, on behalf of a client that has no account yet. Source-side controls tax identities that are cheap to replace, supervised detection needs labels that the service does not have when it decides, and the two destination signals it can compute without labels, the number of sends to a block, and the fate of their codes, have never been compared on the same traffic with the cost to legitimate users made part of the result. The question we address therefore has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w:t>
      </w:r>
    </w:p>
    <w:p>
      <w:pPr>
        <w:pStyle w:val="BodyText"/>
      </w:pPr>
      <w:r>
        <w:t xml:space="preserve">We answer these questions in simulation, inside a complete defense for a registration flow, and we release the implementation, protocols, and every run’s configuration and outcome [13]. Everything is simulated: three behavioral parameters have published counterparts, and the rest are our assumptions. The main contributions of this study are summarized as follows.</w:t>
      </w:r>
    </w:p>
    <w:p>
      <w:pPr>
        <w:numPr>
          <w:ilvl w:val="0"/>
          <w:numId w:val="1001"/>
        </w:numPr>
      </w:pPr>
      <w:r>
        <w:t xml:space="preserve">We show how an attacker breaks eight assumptions behind a seven-control baseline and close the gaps with a twelve-step pipeline whose trust comes from attestation, signed sessions, and the fate of earlier codes, released as code with a regression test for every defect we found.</w:t>
      </w:r>
    </w:p>
    <w:p>
      <w:pPr>
        <w:numPr>
          <w:ilvl w:val="0"/>
          <w:numId w:val="1001"/>
        </w:numPr>
      </w:pPr>
      <w:r>
        <w:t xml:space="preserve">We measure where reputation built from code outcomes stops separating a residential attacker from the users whose keys it shares, and what rationing it then costs.</w:t>
      </w:r>
    </w:p>
    <w:p>
      <w:pPr>
        <w:numPr>
          <w:ilvl w:val="0"/>
          <w:numId w:val="1001"/>
        </w:numPr>
      </w:pPr>
      <w:r>
        <w:t xml:space="preserve">We compare a short-window counter of sends per number block with sequential tests of code outcomes, selected at a stated service target, frozen, and tested on held-out seeds and workloads, charging each policy with its leakage, its attack-free cost, and its harm to the users who share a block with the attacker.</w:t>
      </w:r>
    </w:p>
    <w:p>
      <w:pPr>
        <w:numPr>
          <w:ilvl w:val="0"/>
          <w:numId w:val="1001"/>
        </w:numPr>
      </w:pPr>
      <w:r>
        <w:t xml:space="preserve">We derive from the rules alone when counting leaks less than testing, and check the estimates against measurements over attacks of up to an hour.</w:t>
      </w:r>
    </w:p>
    <w:p>
      <w:pPr>
        <w:pStyle w:val="FirstParagraph"/>
      </w:pPr>
      <w:r>
        <w:t xml:space="preserve">The remainder of this article is organized as follows. Section II reviews the related work and states the gap. Section III presents the baseline and its gaps, the threat model, the design, and its leakage estimates. Section IV describes the implementation, the simulator, the two protocols, and the metrics. Section V presents the results. Section VI discusses them, sets the design against the benchmark designs and the nearest work, and states the limitations. Section VII concludes the article.</w:t>
      </w:r>
    </w:p>
    <w:bookmarkEnd w:id="20"/>
    <w:bookmarkStart w:id="29" w:name="ii.-related-work"/>
    <w:p>
      <w:pPr>
        <w:pStyle w:val="Heading1"/>
      </w:pPr>
      <w:r>
        <w:t xml:space="preserve">II. RELATED WORK</w:t>
      </w:r>
    </w:p>
    <w:p>
      <w:pPr>
        <w:pStyle w:val="FirstParagraph"/>
      </w:pPr>
      <w:r>
        <w:t xml:space="preserve">We group prior work by where it acts on the path of an OTP request, which is shown in Fig. 1.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where the bots and proxies sit, are the measurements of what an attacker can buy: residential proxy addresses [10], shared addresses behind carrier-grade NAT [11], CAPTCHA solutions [12], [14], and as many identities as it likes [9]. At the service are the controls an endpoint can run itself: per-entity limits, CAPTCHA, proxy, and country lists (our v1 baseline, Section III-A), risk-based scoring of logins [5], and supervised per-request detection on labeled logs [4]; our twelve source-side steps and two destination policies act here too (Sections III-C–III-E). At the vendor are prefix and country blocking from an account’s history and a per-number pumping risk score [6], [7], and counts of sends per prefix in five-minute windows with a 24-hour quarantine [8]. At the operator and the number provider, where the money is made, are the revenue-share number ranges that providers advertise and share, and detection from call records and test-number intelligence [2], [15]. We close with the gap we address (Table 1).</w:t>
      </w:r>
    </w:p>
    <w:p>
      <w:pPr>
        <w:pStyle w:val="CaptionedFigure"/>
      </w:pPr>
      <w:r>
        <w:drawing>
          <wp:inline>
            <wp:extent cx="5334000" cy="2621345"/>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path of an OTP request and where the money goes.</w:t>
      </w:r>
    </w:p>
    <w:bookmarkStart w:id="24" w:name="a.-revenue-share-fraud"/>
    <w:p>
      <w:pPr>
        <w:pStyle w:val="Heading2"/>
      </w:pPr>
      <w:r>
        <w:t xml:space="preserve">A. 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w:t>
      </w:r>
      <w:r>
        <w:t xml:space="preserve"> </w:t>
      </w:r>
      <w:r>
        <w:rPr>
          <w:iCs/>
          <w:i/>
        </w:rPr>
        <w:t xml:space="preserve">et al.</w:t>
      </w:r>
      <w:r>
        <w:t xml:space="preserve"> </w:t>
      </w:r>
      <w:r>
        <w:t xml:space="preserve">[2] sets the scheme among frauds that persist because call routing is opaque, each operator knowing only the next hop, and because operators are reluctant to share pricing, routes, or fraud findings with competitors. Sahin and Francillon [15]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III-E are keyed on the 8-digit block and use only those two quantities.</w:t>
      </w:r>
    </w:p>
    <w:bookmarkEnd w:id="24"/>
    <w:bookmarkStart w:id="25" w:name="b.-detecting-inflated-sms-traffic"/>
    <w:p>
      <w:pPr>
        <w:pStyle w:val="Heading2"/>
      </w:pPr>
      <w:r>
        <w:t xml:space="preserve">B. DETECTING INFLATED SMS TRAFFIC</w:t>
      </w:r>
    </w:p>
    <w:p>
      <w:pPr>
        <w:pStyle w:val="FirstParagraph"/>
      </w:pPr>
      <w:r>
        <w:t xml:space="preserve">Huh</w:t>
      </w:r>
      <w:r>
        <w:t xml:space="preserve"> </w:t>
      </w:r>
      <w:r>
        <w:rPr>
          <w:iCs/>
          <w:i/>
        </w:rPr>
        <w:t xml:space="preserve">et al.</w:t>
      </w:r>
      <w:r>
        <w:t xml:space="preserve"> </w:t>
      </w:r>
      <w:r>
        <w:t xml:space="preserve">[4]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About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 detector needs labeled traffic and acts per request, reports its cost to users as false positives only, and was not released because it is deployed. We add a controlled comparison of two label-free ways to act on destination aggregation per block, from send counts or code outcomes, and of their cost to users sharing a block; we did not reproduce theirs, so we do not rank the two.</w:t>
      </w:r>
    </w:p>
    <w:p>
      <w:pPr>
        <w:pStyle w:val="BodyText"/>
      </w:pPr>
      <w:r>
        <w:t xml:space="preserve">Zaliskyi and Odarchenko [8] counted A2P sends per prefix (a number less its last three digits) in fixed or rolling five-minute windows and quarantined a prefix for 24 hours past a day or night threshold. On the metadata of two confirmed incidents, fixed windows blocked 95% and 63% of the traffic, and 58% of a legitimate marketing campaign; counting unique recipients blocked 2% of the campaign and none of the first incident. The authors concluded that message counts alone cannot safely separate inflated traffic from a campaign; they did not use verification outcomes. Their numbers, messages blocked on real traffic, are not comparable with ours, which come from simulation and charge a policy with what users sharing a block lose.</w:t>
      </w:r>
    </w:p>
    <w:p>
      <w:pPr>
        <w:pStyle w:val="BodyText"/>
      </w:pPr>
      <w:r>
        <w:t xml:space="preserve">The messaging vendors act one hop later. Twilio’s Fraud Guard blocks sends to a destination prefix or country whose pattern departs from the account’s history, at three protection levels with claimed false-positive rates under 1% and 2% [6]; its SMS Pumping Risk Score rates a number from 0 to 100 from Fraud Guard, risky carriers, traffic patterns and low conversion, advising friction from 60 and refusal above 90 [7]. Graded destination action is established practice, but the signals and models are undisclosed, so we benchmarked no product.</w:t>
      </w:r>
    </w:p>
    <w:p>
      <w:pPr>
        <w:pStyle w:val="BodyText"/>
      </w:pPr>
      <w:r>
        <w:t xml:space="preserve">These works establish that attacks concentrate on destination prefixes and avoid converting, that counts alone misfire on campaigns, and that some campaigns now enter codes to pass conversion rules; we modeled the attackers that enter codes, fake receipts, and build trust (Table 2) on that counter-move.</w:t>
      </w:r>
    </w:p>
    <w:bookmarkEnd w:id="25"/>
    <w:bookmarkStart w:id="26" w:name="c.-what-an-attacker-can-buy"/>
    <w:p>
      <w:pPr>
        <w:pStyle w:val="Heading2"/>
      </w:pPr>
      <w:r>
        <w:t xml:space="preserve">C. WHAT AN ATTACKER CAN BUY</w:t>
      </w:r>
    </w:p>
    <w:p>
      <w:pPr>
        <w:pStyle w:val="FirstParagraph"/>
      </w:pPr>
      <w:r>
        <w:t xml:space="preserve">The cost of a source-side control to an attacker has been measured. Motoyama</w:t>
      </w:r>
      <w:r>
        <w:t xml:space="preserve"> </w:t>
      </w:r>
      <w:r>
        <w:rPr>
          <w:iCs/>
          <w:i/>
        </w:rPr>
        <w:t xml:space="preserve">et al.</w:t>
      </w:r>
      <w:r>
        <w:t xml:space="preserve"> </w:t>
      </w:r>
      <w:r>
        <w:t xml:space="preserve">[12] bought CAPTCHA solutions from eight retail services at $1 to $20 per thousand, found that the wage for solving had fallen from $10 per thousand in 2007 to about a dollar by 2009, and conclude that a CAPTCHA limits access to attackers whose business is profitable despite that cost rather than keeping machines out. Dionysiou and Athanasopoulos [14] classify the machine-learning solvers that have since appeared. Addresses have a market too: Mi</w:t>
      </w:r>
      <w:r>
        <w:t xml:space="preserve"> </w:t>
      </w:r>
      <w:r>
        <w:rPr>
          <w:iCs/>
          <w:i/>
        </w:rPr>
        <w:t xml:space="preserve">et al.</w:t>
      </w:r>
      <w:r>
        <w:t xml:space="preserve"> </w:t>
      </w:r>
      <w:r>
        <w:t xml:space="preserve">[10] infiltrated five residential proxy providers and observed 6.2 million addresses in 238 countries, 95% of them residential, 90% relaying for under 870 seconds and 2.2% on any blacklist; Richter</w:t>
      </w:r>
      <w:r>
        <w:t xml:space="preserve"> </w:t>
      </w:r>
      <w:r>
        <w:rPr>
          <w:iCs/>
          <w:i/>
        </w:rPr>
        <w:t xml:space="preserve">et al.</w:t>
      </w:r>
      <w:r>
        <w:t xml:space="preserve"> </w:t>
      </w:r>
      <w:r>
        <w:t xml:space="preserve">[11] found carrier-grade NAT in more than 90% of cellular networks, with dozens of subscribers behind one address,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[9] that without a trusted authority one entity can present many identities, so a signed session provides continuity, not scarcity. Risk-based authentication, which Wiefling</w:t>
      </w:r>
      <w:r>
        <w:t xml:space="preserve"> </w:t>
      </w:r>
      <w:r>
        <w:rPr>
          <w:iCs/>
          <w:i/>
        </w:rPr>
        <w:t xml:space="preserve">et al.</w:t>
      </w:r>
      <w:r>
        <w:t xml:space="preserve"> </w:t>
      </w:r>
      <w:r>
        <w:t xml:space="preserve">[5]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[16] would add a computational price per request; however, we did not evaluate them.</w:t>
      </w:r>
    </w:p>
    <w:p>
      <w:pPr>
        <w:pStyle w:val="BodyText"/>
      </w:pPr>
      <w:r>
        <w:t xml:space="preserve">These measurements indicate what an attacker can buy. For a defense, they imply that per-identity controls tax identity reset rather than prevent it, and that the question for a residential attacker is not whether it can be told from a person but what rationing it costs the people it resembles. Sections V-C and V-D measure that in this design.</w:t>
      </w:r>
    </w:p>
    <w:bookmarkEnd w:id="26"/>
    <w:bookmarkStart w:id="27" w:name="X0b5fa62a2180f31857614319d7afb4cbb0e64f3"/>
    <w:p>
      <w:pPr>
        <w:pStyle w:val="Heading2"/>
      </w:pPr>
      <w:r>
        <w:t xml:space="preserve">D. SEQUENTIAL TESTS AND ATTACKS ON THE DELIVERED CODE</w:t>
      </w:r>
    </w:p>
    <w:p>
      <w:pPr>
        <w:pStyle w:val="FirstParagraph"/>
      </w:pPr>
      <w:r>
        <w:t xml:space="preserve">Our block tests are Wald’s sequential tests [17] run as Page’s cumulative sums [18], with a floor parameter that selects between the two (Section III-E). Quickest change detection minimizes detection delay under false-alarm constraints [19], and the CUSUM parameters follow from the error rates it must meet [20]; windowed statistics and the time-uniform confidence sequences of Howard</w:t>
      </w:r>
      <w:r>
        <w:t xml:space="preserve"> </w:t>
      </w:r>
      <w:r>
        <w:rPr>
          <w:iCs/>
          <w:i/>
        </w:rPr>
        <w:t xml:space="preserve">et al.</w:t>
      </w:r>
      <w:r>
        <w:t xml:space="preserve"> </w:t>
      </w:r>
      <w:r>
        <w:t xml:space="preserve">[21], which stay valid at any stopping time, are not evaluated here; therefore,</w:t>
      </w:r>
      <w:r>
        <w:t xml:space="preserve"> </w:t>
      </w:r>
      <w:r>
        <w:t xml:space="preserve">‘</w:t>
      </w:r>
      <w:r>
        <w:t xml:space="preserve">testing</w:t>
      </w:r>
      <w:r>
        <w:t xml:space="preserve">’</w:t>
      </w:r>
      <w:r>
        <w:t xml:space="preserve"> </w:t>
      </w:r>
      <w:r>
        <w:t xml:space="preserve">below refers to our conversion and speed tests only, and we report their error rates empirically rather than derive them.</w:t>
      </w:r>
    </w:p>
    <w:p>
      <w:pPr>
        <w:pStyle w:val="BodyText"/>
      </w:pPr>
      <w:r>
        <w:t xml:space="preserve">Malware on the handset or a social-engineering call can take a code after it is delivered [22], [23]. These attacks begin where our work stops: we ask whether a message should be sent at all, and leave the protection of a delivered code aside.</w:t>
      </w:r>
    </w:p>
    <w:bookmarkEnd w:id="27"/>
    <w:bookmarkStart w:id="28" w:name="e.-the-gap"/>
    <w:p>
      <w:pPr>
        <w:pStyle w:val="Heading2"/>
      </w:pPr>
      <w:r>
        <w:t xml:space="preserve">E. 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t xml:space="preserve">The closest work is set beside ours.</w:t>
      </w:r>
    </w:p>
    <w:tbl>
      <w:tblPr>
        <w:tblStyle w:val="Table"/>
        <w:tblW w:w="9071" w:type="dxa"/>
        <w:jc w:val="center"/>
        <w:tblLayout w:type="fixed"/>
        <w:tblCellMar>
          <w:left w:w="57" w:type="dxa"/>
          <w:right w:w="57" w:type="dxa"/>
        </w:tblCellMar>
        <w:tblLook w:firstRow="1" w:lastRow="0" w:firstColumn="0" w:lastColumn="0" w:noHBand="0" w:noVBand="0" w:val="0020"/>
        <w:tblCaption w:val="TABLE 1. The closest work is set beside ours."/>
      </w:tblPr>
      <w:tblGrid>
        <w:gridCol w:w="1166"/>
        <w:gridCol w:w="1581"/>
        <w:gridCol w:w="1581"/>
        <w:gridCol w:w="1581"/>
        <w:gridCol w:w="1581"/>
        <w:gridCol w:w="1581"/>
      </w:tblGrid>
      <w:tr>
        <w:trPr>
          <w:tblHeader w:val="true"/>
        </w:trPr>
        <w:tc>
          <w:tcPr>
            <w:tcW w:w="1166" w:type="dxa"/>
            <w:tcBorders>
              <w:top w:val="single" w:sz="8" w:color="000000"/>
              <w:bottom w:val="single" w:sz="4" w:color="000000"/>
            </w:tcBorders>
          </w:tcPr>
          <w:p>
            <w:pPr>
              <w:pStyle w:val="Compact"/>
              <w:spacing w:line="240" w:lineRule="auto" w:after="0"/>
              <w:jc w:val="left"/>
            </w:pPr>
            <w:r>
              <w:rPr>
                <w:sz w:val="17"/>
              </w:rPr>
              <w:t xml:space="preserve">Work</w:t>
            </w:r>
          </w:p>
        </w:tc>
        <w:tc>
          <w:tcPr>
            <w:tcW w:w="1581" w:type="dxa"/>
            <w:tcBorders>
              <w:top w:val="single" w:sz="8" w:color="000000"/>
              <w:bottom w:val="single" w:sz="4" w:color="000000"/>
            </w:tcBorders>
          </w:tcPr>
          <w:p>
            <w:pPr>
              <w:pStyle w:val="Compact"/>
              <w:spacing w:line="240" w:lineRule="auto" w:after="0"/>
              <w:jc w:val="left"/>
            </w:pPr>
            <w:r>
              <w:rPr>
                <w:sz w:val="17"/>
              </w:rPr>
              <w:t xml:space="preserve">Evidence</w:t>
            </w:r>
          </w:p>
        </w:tc>
        <w:tc>
          <w:tcPr>
            <w:tcW w:w="1581"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81"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81"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81"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166" w:type="dxa"/>
          </w:tcPr>
          <w:p>
            <w:pPr>
              <w:pStyle w:val="Compact"/>
              <w:spacing w:line="240" w:lineRule="auto" w:after="0"/>
              <w:jc w:val="left"/>
            </w:pPr>
            <w:r>
              <w:rPr>
                <w:sz w:val="17"/>
              </w:rPr>
              <w:t xml:space="preserve">Sahin and Francillon [15]</w:t>
            </w:r>
          </w:p>
        </w:tc>
        <w:tc>
          <w:tcPr>
            <w:tcW w:w="1581" w:type="dxa"/>
          </w:tcPr>
          <w:p>
            <w:pPr>
              <w:pStyle w:val="Compact"/>
              <w:spacing w:line="240" w:lineRule="auto" w:after="0"/>
              <w:jc w:val="left"/>
            </w:pPr>
            <w:r>
              <w:rPr>
                <w:sz w:val="17"/>
              </w:rPr>
              <w:t xml:space="preserve">Operator call records; 3.1 million test numbers advertised by 12 providers, 2016–2019</w:t>
            </w:r>
          </w:p>
        </w:tc>
        <w:tc>
          <w:tcPr>
            <w:tcW w:w="1581" w:type="dxa"/>
          </w:tcPr>
          <w:p>
            <w:pPr>
              <w:pStyle w:val="Compact"/>
              <w:spacing w:line="240" w:lineRule="auto" w:after="0"/>
              <w:jc w:val="left"/>
            </w:pPr>
            <w:r>
              <w:rPr>
                <w:sz w:val="17"/>
              </w:rPr>
              <w:t xml:space="preserve">Distance of the called number to advertised ranges and call history; labels from matched test numbers</w:t>
            </w:r>
          </w:p>
        </w:tc>
        <w:tc>
          <w:tcPr>
            <w:tcW w:w="1581" w:type="dxa"/>
          </w:tcPr>
          <w:p>
            <w:pPr>
              <w:pStyle w:val="Compact"/>
              <w:spacing w:line="240" w:lineRule="auto" w:after="0"/>
              <w:jc w:val="left"/>
            </w:pPr>
            <w:r>
              <w:rPr>
                <w:sz w:val="17"/>
              </w:rPr>
              <w:t xml:space="preserve">Per call, at an operator</w:t>
            </w:r>
          </w:p>
        </w:tc>
        <w:tc>
          <w:tcPr>
            <w:tcW w:w="1581" w:type="dxa"/>
          </w:tcPr>
          <w:p>
            <w:pPr>
              <w:pStyle w:val="Compact"/>
              <w:spacing w:line="240" w:lineRule="auto" w:after="0"/>
              <w:jc w:val="left"/>
            </w:pPr>
            <w:r>
              <w:rPr>
                <w:sz w:val="17"/>
              </w:rPr>
              <w:t xml:space="preserve">A false-positive rate (0.28%), not harm to callers</w:t>
            </w:r>
          </w:p>
        </w:tc>
        <w:tc>
          <w:tcPr>
            <w:tcW w:w="1581" w:type="dxa"/>
          </w:tcPr>
          <w:p>
            <w:pPr>
              <w:pStyle w:val="Compact"/>
              <w:spacing w:line="240" w:lineRule="auto" w:after="0"/>
              <w:jc w:val="left"/>
            </w:pPr>
            <w:r>
              <w:rPr>
                <w:sz w:val="17"/>
              </w:rPr>
              <w:t xml:space="preserve">Voice calls; needs number intelligence and call histories an OTP endpoint does not hold</w:t>
            </w:r>
          </w:p>
        </w:tc>
      </w:tr>
      <w:tr>
        <w:tc>
          <w:tcPr>
            <w:tcW w:w="1166" w:type="dxa"/>
          </w:tcPr>
          <w:p>
            <w:pPr>
              <w:pStyle w:val="Compact"/>
              <w:spacing w:line="240" w:lineRule="auto" w:after="0"/>
              <w:jc w:val="left"/>
            </w:pPr>
            <w:r>
              <w:rPr>
                <w:sz w:val="17"/>
              </w:rPr>
              <w:t xml:space="preserve">Huh</w:t>
            </w:r>
            <w:r>
              <w:rPr>
                <w:sz w:val="17"/>
              </w:rPr>
              <w:t xml:space="preserve"> </w:t>
            </w:r>
            <w:r>
              <w:rPr>
                <w:iCs/>
                <w:i/>
                <w:sz w:val="17"/>
              </w:rPr>
              <w:t xml:space="preserve">et al.</w:t>
            </w:r>
            <w:r>
              <w:rPr>
                <w:sz w:val="17"/>
              </w:rPr>
              <w:t xml:space="preserve"> </w:t>
            </w:r>
            <w:r>
              <w:rPr>
                <w:sz w:val="17"/>
              </w:rPr>
              <w:t xml:space="preserve">[4]</w:t>
            </w:r>
          </w:p>
        </w:tc>
        <w:tc>
          <w:tcPr>
            <w:tcW w:w="1581" w:type="dxa"/>
          </w:tcPr>
          <w:p>
            <w:pPr>
              <w:pStyle w:val="Compact"/>
              <w:spacing w:line="240" w:lineRule="auto" w:after="0"/>
              <w:jc w:val="left"/>
            </w:pPr>
            <w:r>
              <w:rPr>
                <w:sz w:val="17"/>
              </w:rPr>
              <w:t xml:space="preserve">One service’s 9.4 million SMS authentication logs, 19 countries, three months</w:t>
            </w:r>
          </w:p>
        </w:tc>
        <w:tc>
          <w:tcPr>
            <w:tcW w:w="1581" w:type="dxa"/>
          </w:tcPr>
          <w:p>
            <w:pPr>
              <w:pStyle w:val="Compact"/>
              <w:spacing w:line="240" w:lineRule="auto" w:after="0"/>
              <w:jc w:val="left"/>
            </w:pPr>
            <w:r>
              <w:rPr>
                <w:sz w:val="17"/>
              </w:rPr>
              <w:t xml:space="preserve">Per-request features with prefix-level counts and conversion; labels derived from traffic peaks</w:t>
            </w:r>
          </w:p>
        </w:tc>
        <w:tc>
          <w:tcPr>
            <w:tcW w:w="1581" w:type="dxa"/>
          </w:tcPr>
          <w:p>
            <w:pPr>
              <w:pStyle w:val="Compact"/>
              <w:spacing w:line="240" w:lineRule="auto" w:after="0"/>
              <w:jc w:val="left"/>
            </w:pPr>
            <w:r>
              <w:rPr>
                <w:sz w:val="17"/>
              </w:rPr>
              <w:t xml:space="preserve">Per request at the service, before the message is sent</w:t>
            </w:r>
          </w:p>
        </w:tc>
        <w:tc>
          <w:tcPr>
            <w:tcW w:w="1581" w:type="dxa"/>
          </w:tcPr>
          <w:p>
            <w:pPr>
              <w:pStyle w:val="Compact"/>
              <w:spacing w:line="240" w:lineRule="auto" w:after="0"/>
              <w:jc w:val="left"/>
            </w:pPr>
            <w:r>
              <w:rPr>
                <w:sz w:val="17"/>
              </w:rPr>
              <w:t xml:space="preserve">False positives only (0.19% web, 0.11% app)</w:t>
            </w:r>
          </w:p>
        </w:tc>
        <w:tc>
          <w:tcPr>
            <w:tcW w:w="1581" w:type="dxa"/>
          </w:tcPr>
          <w:p>
            <w:pPr>
              <w:pStyle w:val="Compact"/>
              <w:spacing w:line="240" w:lineRule="auto" w:after="0"/>
              <w:jc w:val="left"/>
            </w:pPr>
            <w:r>
              <w:rPr>
                <w:sz w:val="17"/>
              </w:rPr>
              <w:t xml:space="preserve">Needs labels; the deployed model was not released; a per-request decision can be probed</w:t>
            </w:r>
          </w:p>
        </w:tc>
      </w:tr>
      <w:tr>
        <w:tc>
          <w:tcPr>
            <w:tcW w:w="1166" w:type="dxa"/>
          </w:tcPr>
          <w:p>
            <w:pPr>
              <w:pStyle w:val="Compact"/>
              <w:spacing w:line="240" w:lineRule="auto" w:after="0"/>
              <w:jc w:val="left"/>
            </w:pPr>
            <w:r>
              <w:rPr>
                <w:sz w:val="17"/>
              </w:rPr>
              <w:t xml:space="preserve">Zaliskyi and Odarchenko [8]</w:t>
            </w:r>
          </w:p>
        </w:tc>
        <w:tc>
          <w:tcPr>
            <w:tcW w:w="1581" w:type="dxa"/>
          </w:tcPr>
          <w:p>
            <w:pPr>
              <w:pStyle w:val="Compact"/>
              <w:spacing w:line="240" w:lineRule="auto" w:after="0"/>
              <w:jc w:val="left"/>
            </w:pPr>
            <w:r>
              <w:rPr>
                <w:sz w:val="17"/>
              </w:rPr>
              <w:t xml:space="preserve">Aggregator delivery metadata: two confirmed incidents and one legitimate campaign</w:t>
            </w:r>
          </w:p>
        </w:tc>
        <w:tc>
          <w:tcPr>
            <w:tcW w:w="1581" w:type="dxa"/>
          </w:tcPr>
          <w:p>
            <w:pPr>
              <w:pStyle w:val="Compact"/>
              <w:spacing w:line="240" w:lineRule="auto" w:after="0"/>
              <w:jc w:val="left"/>
            </w:pPr>
            <w:r>
              <w:rPr>
                <w:sz w:val="17"/>
              </w:rPr>
              <w:t xml:space="preserve">Sends, or unique recipients, per prefix in five-minute windows; no labels</w:t>
            </w:r>
          </w:p>
        </w:tc>
        <w:tc>
          <w:tcPr>
            <w:tcW w:w="1581" w:type="dxa"/>
          </w:tcPr>
          <w:p>
            <w:pPr>
              <w:pStyle w:val="Compact"/>
              <w:spacing w:line="240" w:lineRule="auto" w:after="0"/>
              <w:jc w:val="left"/>
            </w:pPr>
            <w:r>
              <w:rPr>
                <w:sz w:val="17"/>
              </w:rPr>
              <w:t xml:space="preserve">Per prefix, with a 24-hour quarantine</w:t>
            </w:r>
          </w:p>
        </w:tc>
        <w:tc>
          <w:tcPr>
            <w:tcW w:w="1581" w:type="dxa"/>
          </w:tcPr>
          <w:p>
            <w:pPr>
              <w:pStyle w:val="Compact"/>
              <w:spacing w:line="240" w:lineRule="auto" w:after="0"/>
              <w:jc w:val="left"/>
            </w:pPr>
            <w:r>
              <w:rPr>
                <w:sz w:val="17"/>
              </w:rPr>
              <w:t xml:space="preserve">Share of a campaign blocked (58%; 2% with unique recipients)</w:t>
            </w:r>
          </w:p>
        </w:tc>
        <w:tc>
          <w:tcPr>
            <w:tcW w:w="1581" w:type="dxa"/>
          </w:tcPr>
          <w:p>
            <w:pPr>
              <w:pStyle w:val="Compact"/>
              <w:spacing w:line="240" w:lineRule="auto" w:after="0"/>
              <w:jc w:val="left"/>
            </w:pPr>
            <w:r>
              <w:rPr>
                <w:sz w:val="17"/>
              </w:rPr>
              <w:t xml:space="preserve">Outcomes unused; thresholds that stop incidents block campaigns; no per-user cost</w:t>
            </w:r>
          </w:p>
        </w:tc>
      </w:tr>
      <w:tr>
        <w:tc>
          <w:tcPr>
            <w:tcW w:w="1166" w:type="dxa"/>
          </w:tcPr>
          <w:p>
            <w:pPr>
              <w:pStyle w:val="Compact"/>
              <w:spacing w:line="240" w:lineRule="auto" w:after="0"/>
              <w:jc w:val="left"/>
            </w:pPr>
            <w:r>
              <w:rPr>
                <w:sz w:val="17"/>
              </w:rPr>
              <w:t xml:space="preserve">Twilio Inc. [7], [6]</w:t>
            </w:r>
          </w:p>
        </w:tc>
        <w:tc>
          <w:tcPr>
            <w:tcW w:w="1581" w:type="dxa"/>
          </w:tcPr>
          <w:p>
            <w:pPr>
              <w:pStyle w:val="Compact"/>
              <w:spacing w:line="240" w:lineRule="auto" w:after="0"/>
              <w:jc w:val="left"/>
            </w:pPr>
            <w:r>
              <w:rPr>
                <w:sz w:val="17"/>
              </w:rPr>
              <w:t xml:space="preserve">Vendor-wide traffic across accounts; documentation only</w:t>
            </w:r>
          </w:p>
        </w:tc>
        <w:tc>
          <w:tcPr>
            <w:tcW w:w="1581"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81" w:type="dxa"/>
          </w:tcPr>
          <w:p>
            <w:pPr>
              <w:pStyle w:val="Compact"/>
              <w:spacing w:line="240" w:lineRule="auto" w:after="0"/>
              <w:jc w:val="left"/>
            </w:pPr>
            <w:r>
              <w:rPr>
                <w:sz w:val="17"/>
              </w:rPr>
              <w:t xml:space="preserve">Before the send, at the vendor; bands at 60, 75 and 90</w:t>
            </w:r>
          </w:p>
        </w:tc>
        <w:tc>
          <w:tcPr>
            <w:tcW w:w="1581" w:type="dxa"/>
          </w:tcPr>
          <w:p>
            <w:pPr>
              <w:pStyle w:val="Compact"/>
              <w:spacing w:line="240" w:lineRule="auto" w:after="0"/>
              <w:jc w:val="left"/>
            </w:pPr>
            <w:r>
              <w:rPr>
                <w:sz w:val="17"/>
              </w:rPr>
              <w:t xml:space="preserve">Claimed false-positive rates under 1% and 2%</w:t>
            </w:r>
          </w:p>
        </w:tc>
        <w:tc>
          <w:tcPr>
            <w:tcW w:w="1581" w:type="dxa"/>
          </w:tcPr>
          <w:p>
            <w:pPr>
              <w:pStyle w:val="Compact"/>
              <w:spacing w:line="240" w:lineRule="auto" w:after="0"/>
              <w:jc w:val="left"/>
            </w:pPr>
            <w:r>
              <w:rPr>
                <w:sz w:val="17"/>
              </w:rPr>
              <w:t xml:space="preserve">Signals and models undisclosed; cannot be benchmarked or reproduced</w:t>
            </w:r>
          </w:p>
        </w:tc>
      </w:tr>
      <w:tr>
        <w:tc>
          <w:tcPr>
            <w:tcW w:w="1166" w:type="dxa"/>
          </w:tcPr>
          <w:p>
            <w:pPr>
              <w:pStyle w:val="Compact"/>
              <w:spacing w:line="240" w:lineRule="auto" w:after="0"/>
              <w:jc w:val="left"/>
            </w:pPr>
            <w:r>
              <w:rPr>
                <w:sz w:val="17"/>
              </w:rPr>
              <w:t xml:space="preserve">Wiefling</w:t>
            </w:r>
            <w:r>
              <w:rPr>
                <w:sz w:val="17"/>
              </w:rPr>
              <w:t xml:space="preserve"> </w:t>
            </w:r>
            <w:r>
              <w:rPr>
                <w:iCs/>
                <w:i/>
                <w:sz w:val="17"/>
              </w:rPr>
              <w:t xml:space="preserve">et al.</w:t>
            </w:r>
            <w:r>
              <w:rPr>
                <w:sz w:val="17"/>
              </w:rPr>
              <w:t xml:space="preserve"> </w:t>
            </w:r>
            <w:r>
              <w:rPr>
                <w:sz w:val="17"/>
              </w:rPr>
              <w:t xml:space="preserve">[5]</w:t>
            </w:r>
          </w:p>
        </w:tc>
        <w:tc>
          <w:tcPr>
            <w:tcW w:w="1581" w:type="dxa"/>
          </w:tcPr>
          <w:p>
            <w:pPr>
              <w:pStyle w:val="Compact"/>
              <w:spacing w:line="240" w:lineRule="auto" w:after="0"/>
              <w:jc w:val="left"/>
            </w:pPr>
            <w:r>
              <w:rPr>
                <w:sz w:val="17"/>
              </w:rPr>
              <w:t xml:space="preserve">Black-box tests of eight services with 224 accounts</w:t>
            </w:r>
          </w:p>
        </w:tc>
        <w:tc>
          <w:tcPr>
            <w:tcW w:w="1581" w:type="dxa"/>
          </w:tcPr>
          <w:p>
            <w:pPr>
              <w:pStyle w:val="Compact"/>
              <w:spacing w:line="240" w:lineRule="auto" w:after="0"/>
              <w:jc w:val="left"/>
            </w:pPr>
            <w:r>
              <w:rPr>
                <w:sz w:val="17"/>
              </w:rPr>
              <w:t xml:space="preserve">Address, user agent, resolution, time and similar login features scored into risk buckets</w:t>
            </w:r>
          </w:p>
        </w:tc>
        <w:tc>
          <w:tcPr>
            <w:tcW w:w="1581" w:type="dxa"/>
          </w:tcPr>
          <w:p>
            <w:pPr>
              <w:pStyle w:val="Compact"/>
              <w:spacing w:line="240" w:lineRule="auto" w:after="0"/>
              <w:jc w:val="left"/>
            </w:pPr>
            <w:r>
              <w:rPr>
                <w:sz w:val="17"/>
              </w:rPr>
              <w:t xml:space="preserve">Per login to an existing account</w:t>
            </w:r>
          </w:p>
        </w:tc>
        <w:tc>
          <w:tcPr>
            <w:tcW w:w="1581" w:type="dxa"/>
          </w:tcPr>
          <w:p>
            <w:pPr>
              <w:pStyle w:val="Compact"/>
              <w:spacing w:line="240" w:lineRule="auto" w:after="0"/>
              <w:jc w:val="left"/>
            </w:pPr>
            <w:r>
              <w:rPr>
                <w:sz w:val="17"/>
              </w:rPr>
              <w:t xml:space="preserve">Not measured; re-authentication observed</w:t>
            </w:r>
          </w:p>
        </w:tc>
        <w:tc>
          <w:tcPr>
            <w:tcW w:w="1581" w:type="dxa"/>
          </w:tcPr>
          <w:p>
            <w:pPr>
              <w:pStyle w:val="Compact"/>
              <w:spacing w:line="240" w:lineRule="auto" w:after="0"/>
              <w:jc w:val="left"/>
            </w:pPr>
            <w:r>
              <w:rPr>
                <w:sz w:val="17"/>
              </w:rPr>
              <w:t xml:space="preserve">Scores a login, not a request made before any account exists; procedures undisclosed</w:t>
            </w:r>
          </w:p>
        </w:tc>
      </w:tr>
      <w:tr>
        <w:tc>
          <w:tcPr>
            <w:tcW w:w="1166" w:type="dxa"/>
            <w:tcBorders>
              <w:bottom w:val="single" w:sz="8" w:color="000000"/>
            </w:tcBorders>
          </w:tcPr>
          <w:p>
            <w:pPr>
              <w:pStyle w:val="Compact"/>
              <w:spacing w:line="240" w:lineRule="auto" w:after="0"/>
              <w:jc w:val="left"/>
            </w:pPr>
            <w:r>
              <w:rPr>
                <w:sz w:val="17"/>
              </w:rPr>
              <w:t xml:space="preserve">This study</w:t>
            </w:r>
          </w:p>
        </w:tc>
        <w:tc>
          <w:tcPr>
            <w:tcW w:w="1581"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81"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81" w:type="dxa"/>
            <w:tcBorders>
              <w:bottom w:val="single" w:sz="8" w:color="000000"/>
            </w:tcBorders>
          </w:tcPr>
          <w:p>
            <w:pPr>
              <w:pStyle w:val="Compact"/>
              <w:spacing w:line="240" w:lineRule="auto" w:after="0"/>
              <w:jc w:val="left"/>
            </w:pPr>
            <w:r>
              <w:rPr>
                <w:sz w:val="17"/>
              </w:rPr>
              <w:t xml:space="preserve">Per 10,000-number block at the service, before the message is sent</w:t>
            </w:r>
          </w:p>
        </w:tc>
        <w:tc>
          <w:tcPr>
            <w:tcW w:w="1581"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81"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8"/>
    <w:bookmarkEnd w:id="29"/>
    <w:bookmarkStart w:id="54" w:name="iii.-threat-model-and-design"/>
    <w:p>
      <w:pPr>
        <w:pStyle w:val="Heading1"/>
      </w:pPr>
      <w:r>
        <w:t xml:space="preserve">III. THREAT MODEL AND DESIGN</w:t>
      </w:r>
    </w:p>
    <w:p>
      <w:pPr>
        <w:pStyle w:val="FirstParagraph"/>
      </w:pPr>
      <w:r>
        <w:t xml:space="preserve">This section describes the baseline we replaced, the attacker our design must resist, the twelve steps and two destination policies we designed, and the estimates of leakage we derived from its rules.</w:t>
      </w:r>
    </w:p>
    <w:bookmarkStart w:id="33" w:name="a.-the-baseline-and-its-gaps"/>
    <w:p>
      <w:pPr>
        <w:pStyle w:val="Heading2"/>
      </w:pPr>
      <w:r>
        <w:t xml:space="preserve">A. 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(the list</w:t>
      </w:r>
      <w:r>
        <w:t xml:space="preserve"> </w:t>
      </w:r>
      <m:oMath>
        <m:r>
          <m:rPr>
            <m:sty m:val="p"/>
            <m:scr m:val="script"/>
          </m:rPr>
          <m:t>V</m:t>
        </m:r>
      </m:oMath>
      <w:r>
        <w:t xml:space="preserve">, line 1) is refused. The platform</w:t>
      </w:r>
      <w:r>
        <w:t xml:space="preserve"> </w:t>
      </w:r>
      <m:oMath>
        <m:r>
          <m:t>p</m:t>
        </m:r>
      </m:oMath>
      <w:r>
        <w:t xml:space="preserve"> </w:t>
      </w:r>
      <w:r>
        <w:t xml:space="preserve">is read from a client header (line 2), and a request that claims iOS or Android skips the two checks that web requests face, a reCAPTCHA v3 score threshold of 0.5, and an origin check against the allowed domains</w:t>
      </w:r>
      <w:r>
        <w:t xml:space="preserve"> </w:t>
      </w:r>
      <m:oMath>
        <m:r>
          <m:rPr>
            <m:sty m:val="p"/>
            <m:scr m:val="script"/>
          </m:rPr>
          <m:t>O</m:t>
        </m:r>
      </m:oMath>
      <w:r>
        <w:t xml:space="preserve"> </w:t>
      </w:r>
      <w:r>
        <w:t xml:space="preserve">(line 3). The number’s country must be on the allow-list</w:t>
      </w:r>
      <w:r>
        <w:t xml:space="preserve"> </w:t>
      </w:r>
      <m:oMath>
        <m:r>
          <m:rPr>
            <m:sty m:val="p"/>
            <m:scr m:val="script"/>
          </m:rPr>
          <m:t>A</m:t>
        </m:r>
      </m:oMath>
      <w:r>
        <w:t xml:space="preserve"> </w:t>
      </w:r>
      <w:r>
        <w:t xml:space="preserve">unless the request carries the bulk flag (line 4); the body must be within the length limit</w:t>
      </w:r>
      <w:r>
        <w:t xml:space="preserve"> </w:t>
      </w:r>
      <m:oMath>
        <m:r>
          <m:t>L</m:t>
        </m:r>
      </m:oMath>
      <w:r>
        <w:t xml:space="preserve">, and the number not on the exclusion list</w:t>
      </w:r>
      <w:r>
        <w:t xml:space="preserve"> </w:t>
      </w:r>
      <m:oMath>
        <m:r>
          <m:rPr>
            <m:sty m:val="p"/>
            <m:scr m:val="script"/>
          </m:rPr>
          <m:t>X</m:t>
        </m:r>
      </m:oMath>
      <w:r>
        <w:t xml:space="preserve"> </w:t>
      </w:r>
      <w:r>
        <w:t xml:space="preserve">unless the request comes from a test server (line 5). One message per number per minute, five requests per address per minute, and the static caps</w:t>
      </w:r>
      <w:r>
        <w:t xml:space="preserve"> </w:t>
      </w:r>
      <m:oMath>
        <m:r>
          <m:t>K</m:t>
        </m:r>
      </m:oMath>
      <w:r>
        <w:t xml:space="preserve"> </w:t>
      </w:r>
      <w:r>
        <w:t xml:space="preserve">per platform and country complete the controls (lines 6–8). Each cap is a counter</w:t>
      </w:r>
      <w:r>
        <w:t xml:space="preserve"> </w:t>
      </w:r>
      <m:oMath>
        <m:r>
          <m:t>n</m:t>
        </m:r>
      </m:oMath>
      <w:r>
        <w:t xml:space="preserve"> </w:t>
      </w:r>
      <w:r>
        <w:t xml:space="preserve">that is read when its check runs and incremented after every check has passed (line 9), and the response names the control that refused (line 11).</w:t>
      </w:r>
    </w:p>
    <w:p>
      <w:pPr>
        <w:pStyle w:val="BodyText"/>
      </w:pPr>
      <w:r>
        <w:t xml:space="preserve">Each control rests on an assumption that an attacker within the threat model of Section III-B breaks. We derived the eight gaps below from the rules, not from observed abuse, and we give for each the line of Algorithm 1 at which it opens. (A, line 2) The platform exemptions trust a client claim, so any request can send the header for iOS and skip line 3. (B, line 7) Five requests per address assume that addresses are scarce; a residential proxy pool supplies a fresh address per request, nothing throttles a subnet or an autonomous system, and no client identity survives an address change. (C, line 10) A number is sent to without validation, so numbers that cannot exist, numbers on dead ranges and generated sequences cost the same as a real message. (D, line 4) The country allow-list is the only notion of destination cost; premium-rate and revenue-share prefixes inside an allowed country cost many times a standard message, and a pumper targets exactly those. (E, line 8) Every limit is per key, so a wide attack that stays under each cap burns the budget without bound; nothing watches total volume or spend. (F, line 9) A limit checks its counter and increments it as two operations, so two concurrent requests on different instances both pass. (G, lines 4–5) The bulk and test paths skip checks but need no stronger authentication than a normal request, so a leaked flag is a bypass. (H, line 11) Every decision is pass or fail and the response names the control that refused, so an attacker can probe each threshold, stay under it, and enumerate registered numbers.</w:t>
      </w:r>
    </w:p>
    <w:p>
      <w:pPr>
        <w:pStyle w:val="CaptionedFigure"/>
      </w:pPr>
      <w:r>
        <w:drawing>
          <wp:inline>
            <wp:extent cx="4319999" cy="2468571"/>
            <wp:effectExtent b="0" l="0" r="0" t="0"/>
            <wp:docPr descr="" title="" id="31" name="Picture"/>
            <a:graphic>
              <a:graphicData uri="http://schemas.openxmlformats.org/drawingml/2006/picture">
                <pic:pic>
                  <pic:nvPicPr>
                    <pic:cNvPr descr="figures/alg1_v1.png" id="32" name="Picture"/>
                    <pic:cNvPicPr>
                      <a:picLocks noChangeArrowheads="1" noChangeAspect="1"/>
                    </pic:cNvPicPr>
                  </pic:nvPicPr>
                  <pic:blipFill>
                    <a:blip r:embed="rId30"/>
                    <a:stretch>
                      <a:fillRect/>
                    </a:stretch>
                  </pic:blipFill>
                  <pic:spPr bwMode="auto">
                    <a:xfrm>
                      <a:off x="0" y="0"/>
                      <a:ext cx="4319999" cy="2468571"/>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w:t>
      </w:r>
    </w:p>
    <w:bookmarkEnd w:id="33"/>
    <w:bookmarkStart w:id="37" w:name="b.-threat-model"/>
    <w:p>
      <w:pPr>
        <w:pStyle w:val="Heading2"/>
      </w:pPr>
      <w:r>
        <w:t xml:space="preserve">B. 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who is paid a share of the termination fee by the operator that terminates its ranges; it earns nothing on any other number, so its traffic concentrates on the blocks it is paid for. The share is not public; therefore, in Section V-H, we report the share at which each scripted pumper breaks even. Fig.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5" name="Picture"/>
            <a:graphic>
              <a:graphicData uri="http://schemas.openxmlformats.org/drawingml/2006/picture">
                <pic:pic>
                  <pic:nvPicPr>
                    <pic:cNvPr descr="figures/fig9_threat_model.png" id="36" name="Picture"/>
                    <pic:cNvPicPr>
                      <a:picLocks noChangeArrowheads="1" noChangeAspect="1"/>
                    </pic:cNvPicPr>
                  </pic:nvPicPr>
                  <pic:blipFill>
                    <a:blip r:embed="rId34"/>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approximately 0.3 cents each; therefore,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uniform response that Section III-C describes.</w:t>
      </w:r>
    </w:p>
    <w:p>
      <w:pPr>
        <w:pStyle w:val="BodyText"/>
      </w:pPr>
      <w:r>
        <w:t xml:space="preserve">On its own ranges, a pumper’s operator can do what a real recipient can: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II-D) and compromise of the service, its vendors, or the attestation providers are outside the model. Table 2 lists the 25 profiles that instantiate these capabilities; pool size, rate, and CAPTCHA class are drawn per seed.</w:t>
      </w:r>
    </w:p>
    <w:bookmarkEnd w:id="37"/>
    <w:bookmarkStart w:id="47" w:name="c.-the-pipeline"/>
    <w:p>
      <w:pPr>
        <w:pStyle w:val="Heading2"/>
      </w:pPr>
      <w:r>
        <w:t xml:space="preserve">C. THE PIPELINE</w:t>
      </w:r>
    </w:p>
    <w:p>
      <w:pPr>
        <w:pStyle w:val="FirstParagraph"/>
      </w:pPr>
      <w:r>
        <w:t xml:space="preserve">Fig.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as one compare-and-set. All state lives in one store, Redis in production, and an in-memory twin with the same rules in the tests and the simulator, so what the loop writes the next request reads, which is how the outcome of one send changes the judgment of the next, and any instance can verify any code. One worker per deployment ticks every minute to resolve the sends that timed out and to run the baseline job that sets the multipliers of Step 9 from the pipeline’s own counters. Every external dependency sits behind an adapter with an in-memory fake, and a deployment reports which adapters are fake so that production can refuse to start with any. The simulation of Section IV runs the pipeline, the feedback loop, the worker’s two jobs, and the in-memory store as drawn, without the HTTP layer, replaces the external services with their fakes, and in the main study hands the baseline job the modeled legitimate rate instead of letting it learn it (Section V-D runs the learning job).</w:t>
      </w:r>
    </w:p>
    <w:p>
      <w:pPr>
        <w:pStyle w:val="CaptionedFigure"/>
      </w:pPr>
      <w:r>
        <w:drawing>
          <wp:inline>
            <wp:extent cx="5334000" cy="2601430"/>
            <wp:effectExtent b="0" l="0" r="0" t="0"/>
            <wp:docPr descr="" title="" id="39" name="Picture"/>
            <a:graphic>
              <a:graphicData uri="http://schemas.openxmlformats.org/drawingml/2006/picture">
                <pic:pic>
                  <pic:nvPicPr>
                    <pic:cNvPr descr="figures/fig12_architecture.png" id="40" name="Picture"/>
                    <pic:cNvPicPr>
                      <a:picLocks noChangeArrowheads="1" noChangeAspect="1"/>
                    </pic:cNvPicPr>
                  </pic:nvPicPr>
                  <pic:blipFill>
                    <a:blip r:embed="rId38"/>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that the client cannot forge, an attestation, a server-signed session, and the fate of earlier codes, though such evidence can be manufactured (Section V-F).</w:t>
      </w:r>
    </w:p>
    <w:p>
      <w:pPr>
        <w:pStyle w:val="BodyText"/>
      </w:pPr>
      <w:r>
        <w:t xml:space="preserve">A request passes the twelve steps of Fig. 4 in order until one refuses it. The figure numbers its stages in reading order: stages 1 to 4 are Steps 0 to 4, with Steps 3 and 4 drawn as one stage, the web checks; from stage 5 on the numberings coincide, and stage 12 is the feedback loop. The letters below are the gaps of Section III-A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provides the same pipeline as that implemented, in the order of the steps, with the feedback loop of Section III-D and the block statistics of Section III-E as its second procedure. Its sets are those of Algorithm 1, and</w:t>
      </w:r>
      <w:r>
        <w:t xml:space="preserve"> </w:t>
      </w:r>
      <m:oMath>
        <m:sSub>
          <m:e>
            <m:r>
              <m:t>θ</m:t>
            </m:r>
          </m:e>
          <m:sub>
            <m:r>
              <m:t>w</m:t>
            </m:r>
          </m:sub>
        </m:sSub>
      </m:oMath>
      <w:r>
        <w:t xml:space="preserve"> </w:t>
      </w:r>
      <w:r>
        <w:t xml:space="preserve">is the web score threshold.</w:t>
      </w:r>
      <w:r>
        <w:t xml:space="preserve"> </w:t>
      </w:r>
      <w:r>
        <w:rPr>
          <w:smallCaps/>
        </w:rPr>
        <w:t xml:space="preserve">Take</w:t>
      </w:r>
      <w:r>
        <w:t xml:space="preserve"> </w:t>
      </w:r>
      <w:r>
        <w:t xml:space="preserve">claims one slot of a limit in one atomic operation and fails once the limit is reached; a refusal at any later line releases every slot claimed so far.</w:t>
      </w:r>
      <w:r>
        <w:t xml:space="preserve"> </w:t>
      </w:r>
      <w:r>
        <w:rPr>
          <w:smallCaps/>
        </w:rPr>
        <w:t xml:space="preserve">CheckNumber</w:t>
      </w:r>
      <w:r>
        <w:t xml:space="preserve"> </w:t>
      </w:r>
      <w:r>
        <w:t xml:space="preserve">returns the number’s cost class</w:t>
      </w:r>
      <w:r>
        <w:t xml:space="preserve"> </w:t>
      </w:r>
      <m:oMath>
        <m:r>
          <m:t>c</m:t>
        </m:r>
      </m:oMath>
      <w:r>
        <w:t xml:space="preserve">, whether the HLR lookup finds it live, and the verdict stage</w:t>
      </w:r>
      <w:r>
        <w:t xml:space="preserve"> </w:t>
      </w:r>
      <m:oMath>
        <m:r>
          <m:t>v</m:t>
        </m:r>
      </m:oMath>
      <w:r>
        <w:t xml:space="preserve"> </w:t>
      </w:r>
      <w:r>
        <w:t xml:space="preserve">of its block;</w:t>
      </w:r>
      <w:r>
        <w:t xml:space="preserve"> </w:t>
      </w:r>
      <w:r>
        <w:rPr>
          <w:smallCaps/>
        </w:rPr>
        <w:t xml:space="preserve">Tier</w:t>
      </w:r>
      <w:r>
        <w:t xml:space="preserve"> </w:t>
      </w:r>
      <w:r>
        <w:t xml:space="preserve">maps the score to one of the five tiers and, for a client without verified history, raises it to challenge if</w:t>
      </w:r>
      <w:r>
        <w:t xml:space="preserve"> </w:t>
      </w:r>
      <m:oMath>
        <m:r>
          <m:t>v</m:t>
        </m:r>
        <m:r>
          <m:rPr>
            <m:sty m:val="p"/>
          </m:rPr>
          <m:t>=</m:t>
        </m:r>
        <m:r>
          <m:t>1</m:t>
        </m:r>
      </m:oMath>
      <w:r>
        <w:t xml:space="preserve"> </w:t>
      </w:r>
      <w:r>
        <w:t xml:space="preserve">and to downgrade if</w:t>
      </w:r>
      <w:r>
        <w:t xml:space="preserve"> </w:t>
      </w:r>
      <m:oMath>
        <m:r>
          <m:t>v</m:t>
        </m:r>
        <m:r>
          <m:rPr>
            <m:sty m:val="p"/>
          </m:rPr>
          <m:t>=</m:t>
        </m:r>
        <m:r>
          <m:t>2</m:t>
        </m:r>
      </m:oMath>
      <w:r>
        <w:t xml:space="preserve">;</w:t>
      </w:r>
      <w:r>
        <w:t xml:space="preserve"> </w:t>
      </w:r>
      <m:oMath>
        <m:r>
          <m:t>m</m:t>
        </m:r>
      </m:oMath>
      <w:r>
        <w:t xml:space="preserve"> </w:t>
      </w:r>
      <w:r>
        <w:t xml:space="preserve">is the adaptive multiplier of Step 9 and</w:t>
      </w:r>
      <w:r>
        <w:t xml:space="preserve"> </w:t>
      </w:r>
      <m:oMath>
        <m:r>
          <m:t>K</m:t>
        </m:r>
      </m:oMath>
      <w:r>
        <w:t xml:space="preserve"> </w:t>
      </w:r>
      <w:r>
        <w:t xml:space="preserve">is the source cap.</w:t>
      </w:r>
      <w:r>
        <w:t xml:space="preserve"> </w:t>
      </w:r>
      <w:r>
        <w:rPr>
          <w:smallCaps/>
        </w:rPr>
        <w:t xml:space="preserve">Reserve</w:t>
      </w:r>
      <w:r>
        <w:t xml:space="preserve"> </w:t>
      </w:r>
      <w:r>
        <w:t xml:space="preserve">takes the hourly count, the spend, and the block’s counter slot together and returns the counter’s stage</w:t>
      </w:r>
      <w:r>
        <w:t xml:space="preserve"> </w:t>
      </w:r>
      <m:oMath>
        <m:r>
          <m:t>g</m:t>
        </m:r>
      </m:oMath>
      <w:r>
        <w:t xml:space="preserve">, by which</w:t>
      </w:r>
      <w:r>
        <w:t xml:space="preserve"> </w:t>
      </w:r>
      <w:r>
        <w:rPr>
          <w:smallCaps/>
        </w:rPr>
        <w:t xml:space="preserve">Raise</w:t>
      </w:r>
      <w:r>
        <w:t xml:space="preserve"> </w:t>
      </w:r>
      <w:r>
        <w:t xml:space="preserve">lifts the tier of a client without verified history past the quota (Section III-E);</w:t>
      </w:r>
      <w:r>
        <w:t xml:space="preserve"> </w:t>
      </w:r>
      <w:r>
        <w:rPr>
          <w:smallCaps/>
        </w:rPr>
        <w:t xml:space="preserve">Dispatch</w:t>
      </w:r>
      <w:r>
        <w:t xml:space="preserve"> </w:t>
      </w:r>
      <w:r>
        <w:t xml:space="preserve">sends by SMS, or by push or WhatsApp at the downgrade tier, after a wait at the delay tier; and</w:t>
      </w:r>
      <w:r>
        <w:t xml:space="preserve"> </w:t>
      </w:r>
      <w:r>
        <w:rPr>
          <w:smallCaps/>
        </w:rPr>
        <w:t xml:space="preserve">Reply</w:t>
      </w:r>
      <w:r>
        <w:t xml:space="preserve"> </w:t>
      </w:r>
      <w:r>
        <w:t xml:space="preserve">is the uniform body. Read against Algorithm 1, the pipeline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operation, but the enclosing steps are not one transaction, and a crash between them can leak reservations (Section IV-A);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2" name="Picture"/>
            <a:graphic>
              <a:graphicData uri="http://schemas.openxmlformats.org/drawingml/2006/picture">
                <pic:pic>
                  <pic:nvPicPr>
                    <pic:cNvPr descr="figures/fig10_steps.png" id="43" name="Picture"/>
                    <pic:cNvPicPr>
                      <a:picLocks noChangeArrowheads="1" noChangeAspect="1"/>
                    </pic:cNvPicPr>
                  </pic:nvPicPr>
                  <pic:blipFill>
                    <a:blip r:embed="rId41"/>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twelve steps and the loop that feeds the next request.</w:t>
      </w:r>
    </w:p>
    <w:p>
      <w:pPr>
        <w:pStyle w:val="CaptionedFigure"/>
      </w:pPr>
      <w:r>
        <w:drawing>
          <wp:inline>
            <wp:extent cx="4319999" cy="6009564"/>
            <wp:effectExtent b="0" l="0" r="0" t="0"/>
            <wp:docPr descr="" title="" id="45" name="Picture"/>
            <a:graphic>
              <a:graphicData uri="http://schemas.openxmlformats.org/drawingml/2006/picture">
                <pic:pic>
                  <pic:nvPicPr>
                    <pic:cNvPr descr="figures/alg2_v2.png" id="46" name="Picture"/>
                    <pic:cNvPicPr>
                      <a:picLocks noChangeArrowheads="1" noChangeAspect="1"/>
                    </pic:cNvPicPr>
                  </pic:nvPicPr>
                  <pic:blipFill>
                    <a:blip r:embed="rId44"/>
                    <a:stretch>
                      <a:fillRect/>
                    </a:stretch>
                  </pic:blipFill>
                  <pic:spPr bwMode="auto">
                    <a:xfrm>
                      <a:off x="0" y="0"/>
                      <a:ext cx="4319999" cy="6009564"/>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[13].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7"/>
    <w:bookmarkStart w:id="48" w:name="d.-the-feedback-loop"/>
    <w:p>
      <w:pPr>
        <w:pStyle w:val="Heading2"/>
      </w:pPr>
      <w:r>
        <w:t xml:space="preserve">D. THE FEEDBACK LOOP</w:t>
      </w:r>
    </w:p>
    <w:p>
      <w:pPr>
        <w:pStyle w:val="FirstParagraph"/>
      </w:pPr>
      <w:r>
        <w:rPr>
          <w:smallCaps/>
        </w:rPr>
        <w:t xml:space="preserve">OnOutcome</w:t>
      </w:r>
      <w:r>
        <w:t xml:space="preserve"> </w:t>
      </w:r>
      <w:r>
        <w:t xml:space="preserve">in Algorithm 2 applies one outcome</w:t>
      </w:r>
      <w:r>
        <w:t xml:space="preserve"> </w:t>
      </w:r>
      <m:oMath>
        <m:r>
          <m:t>o</m:t>
        </m:r>
      </m:oMath>
      <w:r>
        <w:t xml:space="preserve"> </w:t>
      </w:r>
      <w:r>
        <w:t xml:space="preserve">of a send</w:t>
      </w:r>
      <w:r>
        <w:t xml:space="preserve"> </w:t>
      </w:r>
      <m:oMath>
        <m:r>
          <m:t>x</m:t>
        </m:r>
      </m:oMath>
      <w:r>
        <w:t xml:space="preserve">. It counts the send on every key it carries, the address, its /24 and ASN, the fingerprint, the session, the country, the prefix and the number, and denylists a fine key for 24 hours once that key has 50 resolved sends and fewer than 10% of them verified; a verification marks the number trusted, which exempts the client from both destination policies. The block’s conversion statistic</w:t>
      </w:r>
      <w:r>
        <w:t xml:space="preserve"> </w:t>
      </w:r>
      <m:oMath>
        <m:sSub>
          <m:e>
            <m:r>
              <m:t>S</m:t>
            </m:r>
          </m:e>
          <m:sub>
            <m:r>
              <m:t>c</m:t>
            </m:r>
          </m:sub>
        </m:sSub>
      </m:oMath>
      <w:r>
        <w:t xml:space="preserve"> </w:t>
      </w:r>
      <w:r>
        <w:t xml:space="preserve">then takes the increment</w:t>
      </w:r>
      <w:r>
        <w:t xml:space="preserve"> </w:t>
      </w:r>
      <m:oMath>
        <m:sSub>
          <m:e>
            <m:r>
              <m:t>δ</m:t>
            </m:r>
          </m:e>
          <m:sub>
            <m:r>
              <m:t>c</m:t>
            </m:r>
          </m:sub>
        </m:sSub>
      </m:oMath>
      <w:r>
        <w:t xml:space="preserve"> </w:t>
      </w:r>
      <w:r>
        <w:t xml:space="preserve">of Section III-E for the outcome, the speed statistic</w:t>
      </w:r>
      <w:r>
        <w:t xml:space="preserve"> </w:t>
      </w:r>
      <m:oMath>
        <m:sSub>
          <m:e>
            <m:r>
              <m:t>S</m:t>
            </m:r>
          </m:e>
          <m:sub>
            <m:r>
              <m:t>s</m:t>
            </m:r>
          </m:sub>
        </m:sSub>
      </m:oMath>
      <w:r>
        <w:t xml:space="preserve"> </w:t>
      </w:r>
      <w:r>
        <w:t xml:space="preserve">takes</w:t>
      </w:r>
      <w:r>
        <w:t xml:space="preserve"> </w:t>
      </w:r>
      <m:oMath>
        <m:sSub>
          <m:e>
            <m:r>
              <m:t>δ</m:t>
            </m:r>
          </m:e>
          <m:sub>
            <m:r>
              <m:t>s</m:t>
            </m:r>
          </m:sub>
        </m:sSub>
      </m:oMath>
      <w:r>
        <w:t xml:space="preserve"> </w:t>
      </w:r>
      <w:r>
        <w:t xml:space="preserve">for a verification, and a statistic that crosses</w:t>
      </w:r>
      <w:r>
        <w:t xml:space="preserve"> </w:t>
      </w:r>
      <m:oMath>
        <m:r>
          <m:t>h</m:t>
        </m:r>
      </m:oMath>
      <w:r>
        <w:t xml:space="preserve"> </w:t>
      </w:r>
      <w:r>
        <w:t xml:space="preserve">issues a verdict on the block for an hour and resets both. 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A block’s statistic accumulates in processing order and a verdict is dated at the event that completes the crossing, so a late event can backdate a verdict and move its expiry; simulated runs apply events in time order, but concurrent live instances may not, so the same dependence holds live unless a block’s effects are serialized.</w:t>
      </w:r>
    </w:p>
    <w:bookmarkEnd w:id="48"/>
    <w:bookmarkStart w:id="51" w:name="e.-destination-policies"/>
    <w:p>
      <w:pPr>
        <w:pStyle w:val="Heading2"/>
      </w:pPr>
      <w:r>
        <w:t xml:space="preserve">E. DESTINATION POLICIES</w:t>
      </w:r>
    </w:p>
    <w:p>
      <w:pPr>
        <w:pStyle w:val="FirstParagraph"/>
      </w:pPr>
      <w:r>
        <w:t xml:space="preserve">A pumper is confined to its partner’s range but can rotate numbers and blocks within it. Destination policies are keyed on the 8-digit block (10,000 numbers); therefore, protection weakens as the pumper spreads.</w:t>
      </w:r>
    </w:p>
    <w:bookmarkStart w:id="49" w:name="sequential-tests"/>
    <w:p>
      <w:pPr>
        <w:pStyle w:val="Heading3"/>
      </w:pPr>
      <w:r>
        <w:t xml:space="preserve">1) 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verdict within the hour moves them off SMS, refusing those without another channel.</w:t>
      </w:r>
    </w:p>
    <w:bookmarkEnd w:id="49"/>
    <w:bookmarkStart w:id="50" w:name="counters"/>
    <w:p>
      <w:pPr>
        <w:pStyle w:val="Heading3"/>
      </w:pPr>
      <w:r>
        <w:t xml:space="preserve">2) Counters</w:t>
      </w:r>
    </w:p>
    <w:p>
      <w:pPr>
        <w:pStyle w:val="FirstParagraph"/>
      </w:pPr>
      <w:r>
        <w:t xml:space="preserve">A counter limits the number of SMS sent per block in a daily or short refilling window. Step 11 reserves a slot and decides the stage in one atomic operation when an SMS is about to be sent, so that concurrent requests cannot skip the challenge. Beyond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[26]) and the counter combined with the tests.</w:t>
      </w:r>
    </w:p>
    <w:bookmarkEnd w:id="50"/>
    <w:bookmarkEnd w:id="51"/>
    <w:bookmarkStart w:id="52" w:name="f.-capacity-controls"/>
    <w:p>
      <w:pPr>
        <w:pStyle w:val="Heading2"/>
      </w:pPr>
      <w:r>
        <w:t xml:space="preserve">F. 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static caps or the budget, which bounds SMS count and spend, not vendor or fallback costs.</w:t>
      </w:r>
    </w:p>
    <w:bookmarkEnd w:id="52"/>
    <w:bookmarkStart w:id="53" w:name="g.-leakage-estimates"/>
    <w:p>
      <w:pPr>
        <w:pStyle w:val="Heading2"/>
      </w:pPr>
      <w:r>
        <w:t xml:space="preserve">G. 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has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both policies.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including the sends of verified clients.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to be simulated.</w:t>
      </w:r>
    </w:p>
    <w:bookmarkEnd w:id="53"/>
    <w:bookmarkEnd w:id="54"/>
    <w:bookmarkStart w:id="65" w:name="iv.-methodology"/>
    <w:p>
      <w:pPr>
        <w:pStyle w:val="Heading1"/>
      </w:pPr>
      <w:r>
        <w:t xml:space="preserve">IV. METHODOLOGY</w:t>
      </w:r>
    </w:p>
    <w:p>
      <w:pPr>
        <w:pStyle w:val="FirstParagraph"/>
      </w:pPr>
      <w:r>
        <w:t xml:space="preserve">Fig.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III-G) are checked against the measurements. The rest of this section describes the implementation, simulator, protocols, and metrics in that order.</w:t>
      </w:r>
    </w:p>
    <w:p>
      <w:pPr>
        <w:pStyle w:val="CaptionedFigure"/>
      </w:pPr>
      <w:r>
        <w:drawing>
          <wp:inline>
            <wp:extent cx="5334000" cy="2408776"/>
            <wp:effectExtent b="0" l="0" r="0" t="0"/>
            <wp:docPr descr="" title="" id="56" name="Picture"/>
            <a:graphic>
              <a:graphicData uri="http://schemas.openxmlformats.org/drawingml/2006/picture">
                <pic:pic>
                  <pic:nvPicPr>
                    <pic:cNvPr descr="figures/fig11_method.png" id="57" name="Picture"/>
                    <pic:cNvPicPr>
                      <a:picLocks noChangeArrowheads="1" noChangeAspect="1"/>
                    </pic:cNvPicPr>
                  </pic:nvPicPr>
                  <pic:blipFill>
                    <a:blip r:embed="rId55"/>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How we evaluated the design is described below.</w:t>
      </w:r>
    </w:p>
    <w:bookmarkStart w:id="58" w:name="a.-implementation"/>
    <w:p>
      <w:pPr>
        <w:pStyle w:val="Heading2"/>
      </w:pPr>
      <w:r>
        <w:t xml:space="preserve">A. IMPLEMENTATION</w:t>
      </w:r>
    </w:p>
    <w:p>
      <w:pPr>
        <w:pStyle w:val="FirstParagraph"/>
      </w:pPr>
      <w:r>
        <w:t xml:space="preserve">We implemented the pipeline of Algorithm 2 in approximately 4,000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ran against a real</w:t>
      </w:r>
      <w:r>
        <w:t xml:space="preserve"> </w:t>
      </w:r>
      <w:r>
        <w:rPr>
          <w:rStyle w:val="VerbatimChar"/>
        </w:rPr>
        <w:t xml:space="preserve">redis-server</w:t>
      </w:r>
      <w:r>
        <w:t xml:space="preserve"> </w:t>
      </w:r>
      <w:r>
        <w:t xml:space="preserve">and 18 exercised specific interleavings of two instances, not all. Step 11 is still not one transaction: a crash after its reservations leaks reserved slots or resolves the send as undelivered. The implementation is a research prototype.</w:t>
      </w:r>
    </w:p>
    <w:bookmarkEnd w:id="58"/>
    <w:bookmarkStart w:id="62" w:name="b.-simulation"/>
    <w:p>
      <w:pPr>
        <w:pStyle w:val="Heading2"/>
      </w:pPr>
      <w:r>
        <w:t xml:space="preserve">B. SIMULATION</w:t>
      </w:r>
    </w:p>
    <w:p>
      <w:pPr>
        <w:pStyle w:val="FirstParagraph"/>
      </w:pPr>
      <w:r>
        <w:t xml:space="preserve">We run the pipeline against scripted vendor fakes on a simulated clock, as set out in Algorithm 3. A seed</w:t>
      </w:r>
      <w:r>
        <w:t xml:space="preserve"> </w:t>
      </w:r>
      <m:oMath>
        <m:r>
          <m:t>z</m:t>
        </m:r>
      </m:oMath>
      <w:r>
        <w:t xml:space="preserve"> </w:t>
      </w:r>
      <w:r>
        <w:t xml:space="preserve">opens three random streams: for the users, the attacker, and the challenge outcomes; therefore, every scenario at a seed, including the attack-free scenario, offers the same users, and our comparisons between scenarios are paired. The pipeline</w:t>
      </w:r>
      <w:r>
        <w:t xml:space="preserve"> </w:t>
      </w:r>
      <m:oMath>
        <m:r>
          <m:t>P</m:t>
        </m:r>
      </m:oMath>
      <w:r>
        <w:t xml:space="preserve"> </w:t>
      </w:r>
      <w:r>
        <w:t xml:space="preserve">is built from the design</w:t>
      </w:r>
      <w:r>
        <w:t xml:space="preserve"> </w:t>
      </w:r>
      <m:oMath>
        <m:r>
          <m:t>d</m:t>
        </m:r>
      </m:oMath>
      <w:r>
        <w:t xml:space="preserve"> </w:t>
      </w:r>
      <w:r>
        <w:t xml:space="preserve">on the in-memory store with the vendor fakes, with a fifth of the user pool seeded as returning account holders. Minute by minute, Poisson draws at the legitimate rate</w:t>
      </w:r>
      <w:r>
        <w:t xml:space="preserve"> </w:t>
      </w:r>
      <m:oMath>
        <m:sSub>
          <m:e>
            <m:r>
              <m:t>λ</m:t>
            </m:r>
          </m:e>
          <m:sub>
            <m:r>
              <m:rPr>
                <m:sty m:val="p"/>
              </m:rPr>
              <m:t>ℓ</m:t>
            </m:r>
          </m:sub>
        </m:sSub>
      </m:oMath>
      <w:r>
        <w:t xml:space="preserve"> </w:t>
      </w:r>
      <w:r>
        <w:t xml:space="preserve">and the attack rate</w:t>
      </w:r>
      <w:r>
        <w:t xml:space="preserve"> </w:t>
      </w:r>
      <m:oMath>
        <m:sSub>
          <m:e>
            <m:r>
              <m:t>λ</m:t>
            </m:r>
          </m:e>
          <m:sub>
            <m:r>
              <m:t>a</m:t>
            </m:r>
          </m:sub>
        </m:sSub>
      </m:oMath>
      <w:r>
        <w:t xml:space="preserve"> </w:t>
      </w:r>
      <w:r>
        <w:t xml:space="preserve">set the arrivals, the attacker’s only from minute 0, and each request</w:t>
      </w:r>
      <w:r>
        <w:t xml:space="preserve"> </w:t>
      </w:r>
      <m:oMath>
        <m:r>
          <m:t>q</m:t>
        </m:r>
      </m:oMath>
      <w:r>
        <w:t xml:space="preserve"> </w:t>
      </w:r>
      <w:r>
        <w:t xml:space="preserve">is drawn in full before the pipeline sees it: identity, address, number, CAPTCHA score, delays, and whether the person would verify. A challenge is answered at once when</w:t>
      </w:r>
      <w:r>
        <w:t xml:space="preserve"> </w:t>
      </w:r>
      <m:oMath>
        <m:r>
          <m:t>q</m:t>
        </m:r>
      </m:oMath>
      <w:r>
        <w:t xml:space="preserve"> </w:t>
      </w:r>
      <w:r>
        <w:t xml:space="preserve">solves it; a send queues in</w:t>
      </w:r>
      <w:r>
        <w:t xml:space="preserve"> </w:t>
      </w:r>
      <m:oMath>
        <m:r>
          <m:t>E</m:t>
        </m:r>
      </m:oMath>
      <w:r>
        <w:t xml:space="preserve"> </w:t>
      </w:r>
      <w:r>
        <w:t xml:space="preserve">a delivery receipt at the queue and delivery delay, and if</w:t>
      </w:r>
      <w:r>
        <w:t xml:space="preserve"> </w:t>
      </w:r>
      <m:oMath>
        <m:r>
          <m:t>q</m:t>
        </m:r>
      </m:oMath>
      <w:r>
        <w:t xml:space="preserve"> </w:t>
      </w:r>
      <w:r>
        <w:t xml:space="preserve">verifies, a code entry after its delay; the timed events are applied before each later request and at the end of each minute, when the pipeline’s timeouts and its adaptive job also run. After the last minute, the queue is drained through the receipt grace period, resolution timeout, slowest entry, and a resend. The run record</w:t>
      </w:r>
      <w:r>
        <w:t xml:space="preserve"> </w:t>
      </w:r>
      <m:oMath>
        <m:r>
          <m:t>R</m:t>
        </m:r>
      </m:oMath>
      <w:r>
        <w:t xml:space="preserve"> </w:t>
      </w:r>
      <w:r>
        <w:t xml:space="preserve">holds the messages leaked and offered per minute, each user’s funnel by cohort, the verdict events, the attacker’s verifications, challenges solved and bill, and the configuration with the workload digest and code hash. After a warm-up of ten minutes (30 or 130 for pumping), the attack runs over legitimate traffic at 20 requests per minute. Our simulated users verified 80% of codes after a lognormal delay (median 22 s; 2 s for the 20% using autofill); 70% of numbers were reachable on WhatsApp; 90% of users completed a challenge; 20% were returning account holders with a stable fingerprint, a trusted number, and verified history; therefore, our results for returning users described trusted identities only.</w:t>
      </w:r>
    </w:p>
    <w:p>
      <w:pPr>
        <w:pStyle w:val="CaptionedFigure"/>
      </w:pPr>
      <w:r>
        <w:drawing>
          <wp:inline>
            <wp:extent cx="4319999" cy="3458473"/>
            <wp:effectExtent b="0" l="0" r="0" t="0"/>
            <wp:docPr descr="" title="" id="60" name="Picture"/>
            <a:graphic>
              <a:graphicData uri="http://schemas.openxmlformats.org/drawingml/2006/picture">
                <pic:pic>
                  <pic:nvPicPr>
                    <pic:cNvPr descr="figures/alg3_sim.png" id="61" name="Picture"/>
                    <pic:cNvPicPr>
                      <a:picLocks noChangeArrowheads="1" noChangeAspect="1"/>
                    </pic:cNvPicPr>
                  </pic:nvPicPr>
                  <pic:blipFill>
                    <a:blip r:embed="rId59"/>
                    <a:stretch>
                      <a:fillRect/>
                    </a:stretch>
                  </pic:blipFill>
                  <pic:spPr bwMode="auto">
                    <a:xfrm>
                      <a:off x="0" y="0"/>
                      <a:ext cx="4319999" cy="3458473"/>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w:t>
      </w:r>
    </w:p>
    <w:p>
      <w:pPr>
        <w:pStyle w:val="BodyText"/>
      </w:pPr>
      <w:r>
        <w:t xml:space="preserve">Three behavioral parameters have published counterparts: genuine conversion (one provider’s 68% or more [27]; ours 60%–90%) and the never-converting destinations and identity churn of Section II;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2"/>
    <w:bookmarkStart w:id="63" w:name="c.-the-two-protocols"/>
    <w:p>
      <w:pPr>
        <w:pStyle w:val="Heading2"/>
      </w:pPr>
      <w:r>
        <w:t xml:space="preserve">C. 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50,000 to 500,000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(9,919, 7,925, and 240 runs, each carrying its code hash); against 2.8.0, total leakage changed in 855 of 17,964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3"/>
    <w:bookmarkStart w:id="64" w:name="d.-designs-and-metrics"/>
    <w:p>
      <w:pPr>
        <w:pStyle w:val="Heading2"/>
      </w:pPr>
      <w:r>
        <w:t xml:space="preserve">D. DESIGNS AND METRICS</w:t>
      </w:r>
    </w:p>
    <w:p>
      <w:pPr>
        <w:pStyle w:val="FirstParagraph"/>
      </w:pPr>
      <w:r>
        <w:t xml:space="preserve">We evaluated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4"/>
    <w:bookmarkEnd w:id="65"/>
    <w:bookmarkStart w:id="86" w:name="v.-results"/>
    <w:p>
      <w:pPr>
        <w:pStyle w:val="Heading1"/>
      </w:pPr>
      <w:r>
        <w:t xml:space="preserve">V. RESULTS</w:t>
      </w:r>
    </w:p>
    <w:bookmarkStart w:id="66" w:name="a.-what-is-contained"/>
    <w:p>
      <w:pPr>
        <w:pStyle w:val="Heading2"/>
      </w:pPr>
      <w:r>
        <w:t xml:space="preserve">A. WHAT IS CONTAINED</w:t>
      </w:r>
    </w:p>
    <w:p>
      <w:pPr>
        <w:pStyle w:val="TableCaption"/>
      </w:pPr>
      <w:r>
        <w:rPr>
          <w:bCs/>
          <w:b/>
        </w:rPr>
        <w:t xml:space="preserve">TABLE 3.</w:t>
      </w:r>
      <w:r>
        <w:t xml:space="preserve"> </w:t>
      </w:r>
      <w: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lists the leaked share (%, mean of per-run shares) of approximately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lists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66"/>
    <w:bookmarkStart w:id="67" w:name="b.-what-each-layer-does"/>
    <w:p>
      <w:pPr>
        <w:pStyle w:val="Heading2"/>
      </w:pPr>
      <w:r>
        <w:t xml:space="preserve">B. 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respectively,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67"/>
    <w:bookmarkStart w:id="68" w:name="c.-where-reputation-stops-separating"/>
    <w:p>
      <w:pPr>
        <w:pStyle w:val="Heading2"/>
      </w:pPr>
      <w:r>
        <w:t xml:space="preserve">C.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[9].</w:t>
      </w:r>
    </w:p>
    <w:bookmarkEnd w:id="68"/>
    <w:bookmarkStart w:id="69" w:name="d.-what-rationing-costs"/>
    <w:p>
      <w:pPr>
        <w:pStyle w:val="Heading2"/>
      </w:pPr>
      <w:r>
        <w:t xml:space="preserve">D. WHAT RATIONING COSTS</w:t>
      </w:r>
    </w:p>
    <w:p>
      <w:pPr>
        <w:pStyle w:val="FirstParagraph"/>
      </w:pPr>
      <w:r>
        <w:t xml:space="preserve">When separation fails, the cap is the lever: over ten seeds, the default lets 47% of the farm’s requests through and refuses 41% of all legitimate users, the tightest setting being 20% and 64%. Both assume an oracle job that is told the legitimate rate and runs every minute; running every five minutes or hourly, it lets 75%–96% of the farm’s requests through. Learning the rate from the pipeline counters, the deployed job leaked 193 [161, 229] messages with a clean three-week profile, 340 [239, 441] more on a cold start, 106 [62, 151] more with a stale profile, and 45 [10, 77] more with a poisoned one.</w:t>
      </w:r>
    </w:p>
    <w:bookmarkEnd w:id="69"/>
    <w:bookmarkStart w:id="70" w:name="e.-pumping-against-the-tests"/>
    <w:p>
      <w:pPr>
        <w:pStyle w:val="Heading2"/>
      </w:pPr>
      <w:r>
        <w:t xml:space="preserve">E. PUMPING AGAINST THE TESTS</w:t>
      </w:r>
    </w:p>
    <w:p>
      <w:pPr>
        <w:pStyle w:val="FirstParagraph"/>
      </w:pPr>
      <w:r>
        <w:t xml:space="preserve">We ran concentrated pumpers on three blocks with caps lifted over ten seeds, about 574 requests in 20 minutes, and recorded the messages leaked, the runs in which the tests contained the attack, the minutes to containment and to the first verdict, and the codes the carrier entered. A carrier that never verified leaked 570 [419, 736] messages under v1, which contained nothing, and 90 [71, 114] under the v2 default, which contained all ten runs at minute 3.5 [3.1, 3.9] after a first verdict at minute 3.0; a carrier that buys every challenge solution leaked 106 [87, 127] and was contained in all ten runs at minute 4.3. The speed test catches a carrier verifying within a second at 19 [17, 21] messages, contained at minute 1.4 after 19 codes entered, while the carrier verifying 60% of its codes with human-like delay was contained in none of the ten 20-minute runs: it entered 272 codes, its first verdict came at minute 11.6 on average and 452 [365, 539] messages leaked; in an hour, 1,067 [839, 1,310] leaked and two of ten runs were contained, at minute 47.0 on average. Claim C3 (containment with at most 30% leaked) held in 36 of 36 cells.</w:t>
      </w:r>
    </w:p>
    <w:p>
      <w:pPr>
        <w:pStyle w:val="BodyText"/>
      </w:pPr>
      <w:r>
        <w:t xml:space="preserve">Across 18 spread configurations, leakage follows the blocks touched: with 30 blocks, five to seven runs in ten remain contained.</w:t>
      </w:r>
    </w:p>
    <w:bookmarkEnd w:id="70"/>
    <w:bookmarkStart w:id="83" w:name="f.-counting-against-testing"/>
    <w:p>
      <w:pPr>
        <w:pStyle w:val="Heading2"/>
      </w:pPr>
      <w:r>
        <w:t xml:space="preserve">F. COUNTING AGAINST TESTING</w:t>
      </w:r>
    </w:p>
    <w:p>
      <w:pPr>
        <w:pStyle w:val="TableCaption"/>
      </w:pPr>
      <w:r>
        <w:rPr>
          <w:bCs/>
          <w:b/>
        </w:rPr>
        <w:t xml:space="preserve">TABLE 4.</w:t>
      </w:r>
      <w:r>
        <w:t xml:space="preserve"> </w:t>
      </w:r>
      <w:r>
        <w:t xml:space="preserve">Counting against testing at the service target level.</w:t>
      </w:r>
    </w:p>
    <w:tbl>
      <w:tblPr>
        <w:tblStyle w:val="Table"/>
        <w:tblW w:w="9069" w:type="dxa"/>
        <w:jc w:val="center"/>
        <w:tblLayout w:type="fixed"/>
        <w:tblCellMar>
          <w:left w:w="57" w:type="dxa"/>
          <w:right w:w="57" w:type="dxa"/>
        </w:tblCellMar>
        <w:tblLook w:firstRow="1" w:lastRow="0" w:firstColumn="0" w:lastColumn="0" w:noHBand="0" w:noVBand="0" w:val="0020"/>
        <w:tblCaption w:val="TABLE 4. Counting against testing at the service target level."/>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1" w:name="at-a-service-target"/>
    <w:p>
      <w:pPr>
        <w:pStyle w:val="Heading3"/>
      </w:pPr>
      <w:r>
        <w:t xml:space="preserve">1) At a Service Target</w:t>
      </w:r>
    </w:p>
    <w:p>
      <w:pPr>
        <w:pStyle w:val="FirstParagraph"/>
      </w:pPr>
      <w:r>
        <w:t xml:space="preserve">Table 4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A setting is named by its rule, threshold, and credit; therefore,</w:t>
      </w:r>
      <w:r>
        <w:t xml:space="preserve"> </w:t>
      </w:r>
      <w:r>
        <w:rPr>
          <w:iCs/>
          <w:i/>
        </w:rPr>
        <w:t xml:space="preserve">T</w:t>
      </w:r>
      <w:r>
        <w:t xml:space="preserve">300,</w:t>
      </w:r>
      <w:r>
        <w:t xml:space="preserve"> </w:t>
      </w:r>
      <w:r>
        <w:rPr>
          <w:iCs/>
          <w:i/>
        </w:rPr>
        <w:t xml:space="preserve">c</w:t>
      </w:r>
      <w:r>
        <w:t xml:space="preserve">0 is the test with threshold 300 and no credit; every setting of the grid is listed in</w:t>
      </w:r>
      <w:r>
        <w:t xml:space="preserve"> </w:t>
      </w:r>
      <w:r>
        <w:rPr>
          <w:rStyle w:val="VerbatimChar"/>
        </w:rPr>
        <w:t xml:space="preserve">results/ figure1_key.md</w:t>
      </w:r>
      <w:r>
        <w:t xml:space="preserve">. Paired per seed against the default tests, the selected counter leaked 66 [47, 89] fewer messages against the never-verifying carrier, 428 [340, 515] fewer against the human-like one, and 58 [39, 79] fewer against the challenge buyer, and 6 [3, 7] more against the instant verifier; the sequential setting selected at the tuning target leaked 327 [241, 408] fewer against the human-like carrier and 2 to 7 fewer against the other three; the daily counter leaked 44 [3, 84] fewer against the human-like carrier and 229 to 391 more against the rest.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The selection is not an artifact of the objective: with the full grid and density-specific attacks (E5), and under other objectives on the tuning runs (worst-case leakage, a first-time-loss constraint, each attacker alone, 2,000 random mixes), the rule selects the same counters, except for the instant verifier alone and 3 of the mixes at 200 blocks.</w:t>
      </w:r>
    </w:p>
    <w:p>
      <w:pPr>
        <w:pStyle w:val="TableCaption"/>
      </w:pPr>
      <w:r>
        <w:rPr>
          <w:bCs/>
          <w:b/>
        </w:rPr>
        <w:t xml:space="preserve">TABLE 5.</w:t>
      </w:r>
      <w:r>
        <w:t xml:space="preserve"> </w:t>
      </w:r>
      <w:r>
        <w:t xml:space="preserve">The frozen counter on seeds and workloads that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5. The frozen counter on seeds and workloads that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1"/>
    <w:bookmarkStart w:id="72" w:name="on-held-out-traffic"/>
    <w:p>
      <w:pPr>
        <w:pStyle w:val="Heading3"/>
      </w:pPr>
      <w:r>
        <w:t xml:space="preserve">2) On Held-out Traffic</w:t>
      </w:r>
    </w:p>
    <w:p>
      <w:pPr>
        <w:pStyle w:val="FirstParagraph"/>
      </w:pPr>
      <w:r>
        <w:t xml:space="preserve">Table 5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6.</w:t>
      </w:r>
      <w:r>
        <w:t xml:space="preserve"> </w:t>
      </w:r>
      <w: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6.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5,509 [4,409, 6,567]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1,149 [953, 1,340]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 6 reports E1 at 200 blocks (60-minute attacks, seeds 300–309): a pumper on three blocks real users share. Leakage is summed over the four carriers’ runs of a seed, which can hide a carrier on which a policy loses (per carrier: artifact); harm is net completions lost in points, averaged over the carriers (negative: a gain), with intervals for leakage and the attacked blocks.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Against a poisoner flooding all 200 blocks for an hour on the same seeds, the tests leaked less than the counters but cost users more: of 1,976 messages with no policy,</w:t>
      </w:r>
      <w:r>
        <w:t xml:space="preserve"> </w:t>
      </w:r>
      <w:r>
        <w:rPr>
          <w:iCs/>
          <w:i/>
        </w:rPr>
        <w:t xml:space="preserve">T</w:t>
      </w:r>
      <w:r>
        <w:t xml:space="preserve">300,</w:t>
      </w:r>
      <w:r>
        <w:t xml:space="preserve"> </w:t>
      </w:r>
      <w:r>
        <w:rPr>
          <w:iCs/>
          <w:i/>
        </w:rPr>
        <w:t xml:space="preserve">c</w:t>
      </w:r>
      <w:r>
        <w:t xml:space="preserve">0 leaked 858 at an extra harm to all users of 2.55 [2.04, 3.07] points, the default tests 1,357 at 1.09 [0.59, 1.59] and the counter 1,662 at 0.72 [0.44, 1.02], and the token buckets spared the poisoner’s users only by letting almost everything through. Returning users, all simulated with verified history, lost nothing.</w:t>
      </w:r>
    </w:p>
    <w:bookmarkEnd w:id="72"/>
    <w:bookmarkStart w:id="82" w:name="the-counters-boundary"/>
    <w:p>
      <w:pPr>
        <w:pStyle w:val="Heading3"/>
      </w:pPr>
      <w:r>
        <w:t xml:space="preserve">3) The Counter’s Boundary</w:t>
      </w:r>
    </w:p>
    <w:p>
      <w:pPr>
        <w:pStyle w:val="FirstParagraph"/>
      </w:pPr>
      <w:r>
        <w:t xml:space="preserve">Figs. 6–8 show the counter’s operating boundary (E4, seeds 300–304): each point is a mean over five seeds with its 95% interval, lines join the sampled settings without locating a crossover, and the horizontal axes are logarithmic. Fig. 6 plots the attributable loss of the three hot blocks’ users, in points of completion, against the legitimate rate on those blocks, from one half to eight sends per block per ten minutes, with 70% of users reachable on WhatsApp, attack-free (hollow markers) and with a never-verifying pumper on the same blocks (filled); the dotted line is the counter’s quota of four. Attack-free, the counter costs a block’s users nothing at one send per ten minutes, 2.3 points at four and 5.5 at eight, far below the idealized share beyond the quota (27% at four), since most challenged users complete or switch to WhatsApp; without WhatsApp, eight sends cost 13.2, and a 30-minute launch at three times the normal rate costs 16.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3946421"/>
            <wp:effectExtent b="0" l="0" r="0" t="0"/>
            <wp:docPr descr="" title="" id="74" name="Picture"/>
            <a:graphic>
              <a:graphicData uri="http://schemas.openxmlformats.org/drawingml/2006/picture">
                <pic:pic>
                  <pic:nvPicPr>
                    <pic:cNvPr descr="figures/fig7a_service.png" id="75" name="Picture"/>
                    <pic:cNvPicPr>
                      <a:picLocks noChangeArrowheads="1" noChangeAspect="1"/>
                    </pic:cNvPicPr>
                  </pic:nvPicPr>
                  <pic:blipFill>
                    <a:blip r:embed="rId73"/>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What the counter costs the users of a busy block.</w:t>
      </w:r>
    </w:p>
    <w:p>
      <w:pPr>
        <w:pStyle w:val="BodyText"/>
      </w:pPr>
      <w:r>
        <w:t xml:space="preserve">Figs. 7 and 8 plot the messages a pumper got through against the number of blocks it spread over, 3 to 300. Fig. 7 covers a 20-minute attack under no policy, the default tests and the selected counter, for a pumper at full rate (solid lines) and one paced to the counter’s quota (dashed). At full rate the counter leaked 25 and 81 messages on 3 and 10 blocks where the tests leaked 110 and 144, the two leaked about the same on 30 blocks (235 against 242), and from 100 blocks on both approached the no-policy line of about 700. Paced to the quota, the pumper leaked under the counter what the quota allows, which is what it leaks with no policy (24 messages on three blocks in twenty minutes, 71 in an hour), and a little less under the tests (23).</w:t>
      </w:r>
    </w:p>
    <w:p>
      <w:pPr>
        <w:pStyle w:val="CaptionedFigure"/>
      </w:pPr>
      <w:r>
        <w:drawing>
          <wp:inline>
            <wp:extent cx="5334000" cy="3946421"/>
            <wp:effectExtent b="0" l="0" r="0" t="0"/>
            <wp:docPr descr="" title="" id="77" name="Picture"/>
            <a:graphic>
              <a:graphicData uri="http://schemas.openxmlformats.org/drawingml/2006/picture">
                <pic:pic>
                  <pic:nvPicPr>
                    <pic:cNvPr descr="figures/fig7b_security20.png" id="78" name="Picture"/>
                    <pic:cNvPicPr>
                      <a:picLocks noChangeArrowheads="1" noChangeAspect="1"/>
                    </pic:cNvPicPr>
                  </pic:nvPicPr>
                  <pic:blipFill>
                    <a:blip r:embed="rId76"/>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Leakage in 20 min against the blocks a pumper spreads over.</w:t>
      </w:r>
    </w:p>
    <w:p>
      <w:pPr>
        <w:pStyle w:val="BodyText"/>
      </w:pPr>
      <w:r>
        <w:t xml:space="preserve">Fig. 8 shows the hour-long attack at full rate against the estimates of Section III-G, computed from each run’s offered requests, offered rate, and configured timeouts, nothing fitted: (2) for the tests and (3) and (4) for the counter’s cold- and warm-start bounds, drawn hollow on dotted lines (the 20-minute estimates are in</w:t>
      </w:r>
      <w:r>
        <w:t xml:space="preserve"> </w:t>
      </w:r>
      <w:r>
        <w:rPr>
          <w:rStyle w:val="VerbatimChar"/>
        </w:rPr>
        <w:t xml:space="preserve">results/ condition_check.json</w:t>
      </w:r>
      <w:r>
        <w:t xml:space="preserve">). Over 60 min, the default leaked 110, 144, and 242 messages on 3, 10, and 30 blocks, against 105, 139, and 240 from (2) (</w:t>
      </w:r>
      <m:oMath>
        <m:r>
          <m:t>λ</m:t>
        </m:r>
        <m:r>
          <m:t>τ</m:t>
        </m:r>
        <m:r>
          <m:rPr>
            <m:sty m:val="p"/>
          </m:rPr>
          <m:t>≈</m:t>
        </m:r>
        <m:r>
          <m:t>90</m:t>
        </m:r>
      </m:oMath>
      <w:r>
        <w:t xml:space="preserve">), and the counter 71, 240, and 679 against its cold-start bound of 72, 240, and 720; setting aside the exempt sends to real users’ trusted numbers, no run that started cold exceeded (3) and none exceeded (4). With these unfitted inputs (5) ordered the policies’ mean leakage in 18 of 18 decisive cells (two ties at</w:t>
      </w:r>
      <w:r>
        <w:t xml:space="preserve"> </w:t>
      </w:r>
      <m:oMath>
        <m:r>
          <m:t>N</m:t>
        </m:r>
      </m:oMath>
      <w:r>
        <w:t xml:space="preserve">), and with the warm-start term in 17, missing where the two estimates differ by 0.8 messages (30 blocks, 20 minutes; measured difference 6.6 [−27.2, 42.4]). The algebraic crossing lies near five blocks for an hour and 30 for 20 min, where the nearest measured differences do not exclude zero; it is not a measured switching point.</w:t>
      </w:r>
    </w:p>
    <w:p>
      <w:pPr>
        <w:pStyle w:val="CaptionedFigure"/>
      </w:pPr>
      <w:r>
        <w:drawing>
          <wp:inline>
            <wp:extent cx="5334000" cy="3946421"/>
            <wp:effectExtent b="0" l="0" r="0" t="0"/>
            <wp:docPr descr="" title="" id="80" name="Picture"/>
            <a:graphic>
              <a:graphicData uri="http://schemas.openxmlformats.org/drawingml/2006/picture">
                <pic:pic>
                  <pic:nvPicPr>
                    <pic:cNvPr descr="figures/fig7c_security60.png" id="81" name="Picture"/>
                    <pic:cNvPicPr>
                      <a:picLocks noChangeArrowheads="1" noChangeAspect="1"/>
                    </pic:cNvPicPr>
                  </pic:nvPicPr>
                  <pic:blipFill>
                    <a:blip r:embed="rId79"/>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Leakage in 1 h, measured and estimated from the rules.</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 With caps lifted and no counter, a threshold-aware carrier and a receipt faker leaked 570 each, drawing no verdict, and a datacenter attacker that bought every challenge solution 55; the leakages of these scripted adaptations are not upper bounds.</w:t>
      </w:r>
    </w:p>
    <w:bookmarkEnd w:id="82"/>
    <w:bookmarkEnd w:id="83"/>
    <w:bookmarkStart w:id="84" w:name="g.-the-cost-to-legitimate-users"/>
    <w:p>
      <w:pPr>
        <w:pStyle w:val="Heading2"/>
      </w:pPr>
      <w:r>
        <w:t xml:space="preserve">G. THE COST TO LEGITIMATE USERS</w:t>
      </w:r>
    </w:p>
    <w:p>
      <w:pPr>
        <w:pStyle w:val="FirstParagraph"/>
      </w:pPr>
      <w:r>
        <w:t xml:space="preserve">On one block, 20,000 Monte Carlo trials per cell give the probability of a verdict within 30 legitimate sends: 0.09% [0.06, 0.14] at 80% conversion with 20% autofill, 1.9% at 65% and 19.5% at 50%. Over 24 hours, the default raises 0.5 verdict events per day on 200 busy blocks at 80% conversion and 6.5 at 65%, where they meet 30 of about 28,800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One that stops after ten minutes leaves verdicts meeting 406.5 requests afterwards, an attributable loss of 46.2 [16.9, 79.8]. Grading limits the harm; it caps it neither at the challenge nor at the attack duration.</w:t>
      </w:r>
    </w:p>
    <w:bookmarkEnd w:id="84"/>
    <w:bookmarkStart w:id="85" w:name="h.-economics-and-overhead"/>
    <w:p>
      <w:pPr>
        <w:pStyle w:val="Heading2"/>
      </w:pPr>
      <w:r>
        <w:t xml:space="preserve">H. ECONOMICS AND OVERHEAD</w:t>
      </w:r>
    </w:p>
    <w:p>
      <w:pPr>
        <w:pStyle w:val="FirstParagraph"/>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 On a real Redis (four vCPUs, four workers), sends took 13.8 ms (median) and 21.1 ms (99th percentile), and 133 requests per second passed at concurrency 128 with the 400 ms floor and 50 ms vendor calls; under an adversarial mixture, 81% of sends overran the floor and response-time thresholds separated sends from refusals with 88% balanced accuracy, a separation on that machine, not a deployment accuracy.</w:t>
      </w:r>
    </w:p>
    <w:bookmarkEnd w:id="85"/>
    <w:bookmarkEnd w:id="86"/>
    <w:bookmarkStart w:id="87" w:name="vi.-discussion"/>
    <w:p>
      <w:pPr>
        <w:pStyle w:val="Heading1"/>
      </w:pPr>
      <w:r>
        <w:t xml:space="preserve">VI. 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while over longer campaigns verdicts expire and the tests leak again. Equation (5) summarizes this for pumpers that solve no challenge and hold no exemption; its inputs are in an operator’s logs, whereas the cost of an excess send, competition under attack, and exemption abuse come only from the simulation. Supplementary Table S1 sets the seven designs of Section IV against the nine source-side attackers on the same traffic and seeds, with source caps lifted so that only the behavioral layers act; each design adds one thing to the baseline, and its differences from the v1 and v2 columns of Table 3 say what it bought. Correcting the platform header alone changed only the forged-header attack, from 100% to 99.5%, because that attacker is the farm with a header. The behavioral layers of v2 removed datacenter rotation (69% to 0) and most of the reused profile (99.5% to 22.5%), and the two block tests differ only on the walked numbers (11.5% against 13.3%). No design separates the residential bot (37.2%) or the farm (99.5%); those are held only by the adaptive caps of Table 3, at the price Section V-D reports. On the destination, against the never-verifying pumper v1 leaked 570 messages, the default tests 90 and the selected counter 24, and under the shared-block pumper of Table 6 the counter leaked 403 where the default tests leaked 1,149 and no policy 5,509, neither policy costing all users anything on average.</w:t>
      </w:r>
    </w:p>
    <w:p>
      <w:pPr>
        <w:pStyle w:val="BodyText"/>
      </w:pPr>
      <w:r>
        <w:t xml:space="preserve">The nearest external work, set out in Table 1, can be compared only on what each needs and reports, since none ran on the same traffic. Huh</w:t>
      </w:r>
      <w:r>
        <w:t xml:space="preserve"> </w:t>
      </w:r>
      <w:r>
        <w:rPr>
          <w:iCs/>
          <w:i/>
        </w:rPr>
        <w:t xml:space="preserve">et al.</w:t>
      </w:r>
      <w:r>
        <w:t xml:space="preserve"> </w:t>
      </w:r>
      <w:r>
        <w:t xml:space="preserve">[4] report 89.6% recall at 0.19% false positives for a supervised model on one service’s real logs; the attack it targets, a few requests per identity over many fresh identities, is the farm here, which our layers do not separate and the caps only ration, at 54% of first-time users refused, while what the layers contain without labels are the attacks with a signature in the request and most of the reused profile. Zaliskyi and Odarchenko [8] report that fixed-window prefix counts blocked 95% and 63% of two incidents at the price of 58% of a legitimate campaign; our graded counter is the same family of control, a ten-minute window on a 10,000-number block with a challenge rather than a 24-hour quarantine, and it leaked 24 of about 574 requests from each outcome-reading pumper at an attack-free cost of 0.06 points of completion, on simulated traffic with no campaigns in it, and failed its service claims on blocks the attacker shares. Twilio’s products state claimed false-positive rates and report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p>
      <w:pPr>
        <w:pStyle w:val="BodyText"/>
      </w:pPr>
      <w:r>
        <w:t xml:space="preserve">The limitations follow from the method. We simulated everything and assumed the calibration, and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87"/>
    <w:bookmarkStart w:id="88" w:name="vii.-conclusion"/>
    <w:p>
      <w:pPr>
        <w:pStyle w:val="Heading1"/>
      </w:pPr>
      <w:r>
        <w:t xml:space="preserve">VII. CONCLUSION</w:t>
      </w:r>
    </w:p>
    <w:p>
      <w:pPr>
        <w:pStyle w:val="FirstParagraph"/>
      </w:pPr>
      <w:r>
        <w:t xml:space="preserve">In this work, we asked which of the two label-free destination signals a service that verifies phone numbers by SMS should act on when a pumper is paid at the destination, and we answered it in simulation, inside a twelve-step defense evaluated against a seven-control baseline, five simpler designs, and 25 attacker profiles under two protocols committed before their runs. The design contains the attacks that carry a signature in the request at a low cost to simulated users, while a residential attacker that resembles a person can only be rationed, at a price set by how well the cap tracks the legitimate rate. On the destination, a counter of sends per number block whose quota matches the block’s traffic leaked less than tests of code outcomes against short, concentrated pumping and cost its users less, but it failed its service claims on blocks the attacker shares and lost its advantage against paced or widely spread pumpers; estimates derived from the rules alone ordered the two policies in 18 of 18 decisive cells. Every number describes scripted attackers and simulated users under assumed calibration, and close rankings rest on ten or fewer seeds. Replaying real traffic is the experiment this work most needs; the policies left outside the evaluation, per-client quotas within a block, bounded exemptions, tuned token buckets, and time-uniform statistics, could then be compared under the same protocols.</w:t>
      </w:r>
    </w:p>
    <w:bookmarkEnd w:id="88"/>
    <w:bookmarkStart w:id="89" w:name="acknowledgment"/>
    <w:p>
      <w:pPr>
        <w:pStyle w:val="Heading1"/>
      </w:pPr>
      <w:r>
        <w:t xml:space="preserve">ACKNOWLEDGMENT</w:t>
      </w:r>
    </w:p>
    <w:p>
      <w:pPr>
        <w:pStyle w:val="FirstParagraph"/>
      </w:pPr>
      <w:r>
        <w:t xml:space="preserve">The author used Claude (Anthropic) to help with code review and code evaluation, checked every number against the recorded results and every claim against the code, and takes full responsibility for the content.</w:t>
      </w:r>
    </w:p>
    <w:bookmarkEnd w:id="89"/>
    <w:bookmarkStart w:id="91" w:name="data-availability"/>
    <w:p>
      <w:pPr>
        <w:pStyle w:val="Heading1"/>
      </w:pPr>
      <w:r>
        <w:t xml:space="preserve">DATA AVAILABILITY</w:t>
      </w:r>
    </w:p>
    <w:p>
      <w:pPr>
        <w:pStyle w:val="FirstParagraph"/>
      </w:pPr>
      <w:r>
        <w:t xml:space="preserve">Every run’s configuration and outcome and the sources of headline numbers (</w:t>
      </w:r>
      <w:r>
        <w:rPr>
          <w:rStyle w:val="VerbatimChar"/>
        </w:rPr>
        <w:t xml:space="preserve">results/</w:t>
      </w:r>
      <w:r>
        <w:t xml:space="preserve">) are at</w:t>
      </w:r>
      <w:r>
        <w:t xml:space="preserve"> </w:t>
      </w:r>
      <w:hyperlink r:id="rId90">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1"/>
    <w:bookmarkStart w:id="100"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w:t>
      </w:r>
      <w:r>
        <w:rPr>
          <w:sz w:val="20"/>
          <w:szCs w:val="20"/>
        </w:rPr>
        <w:t xml:space="preserve"> </w:t>
      </w:r>
      <w:r>
        <w:rPr>
          <w:sz w:val="20"/>
          <w:szCs w:val="20"/>
        </w:rPr>
        <w:t xml:space="preserve">“</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w:t>
      </w:r>
      <w:r>
        <w:rPr>
          <w:sz w:val="20"/>
          <w:szCs w:val="20"/>
        </w:rPr>
        <w:t xml:space="preserve"> </w:t>
      </w:r>
      <w:hyperlink r:id="rId92">
        <w:r>
          <w:rPr>
            <w:rStyle w:val="Hyperlink"/>
            <w:sz w:val="20"/>
            <w:szCs w:val="20"/>
          </w:rPr>
          <w:t xml:space="preserve">https://attack.mitre.org/techniques/T1496/003/</w:t>
        </w:r>
      </w:hyperlink>
      <w:r>
        <w:rPr>
          <w:sz w:val="20"/>
          <w:szCs w:val="20"/>
        </w:rPr>
        <w:t xml:space="preserve">, 2026, accessed 2026-10-01.</w:t>
      </w:r>
    </w:p>
    <w:p>
      <w:pPr>
        <w:pStyle w:val="BodyText"/>
        <w:spacing w:line="240" w:lineRule="auto" w:after="60"/>
        <w:ind w:left="454" w:hanging="454"/>
      </w:pPr>
      <w:r>
        <w:rPr>
          <w:sz w:val="20"/>
          <w:szCs w:val="20"/>
        </w:rPr>
        <w:t>[2] M. Sahin, A. Francillon, P. Gupta, and M. Ahamad,</w:t>
      </w:r>
      <w:r>
        <w:rPr>
          <w:sz w:val="20"/>
          <w:szCs w:val="20"/>
        </w:rPr>
        <w:t xml:space="preserve"> </w:t>
      </w:r>
      <w:r>
        <w:rPr>
          <w:sz w:val="20"/>
          <w:szCs w:val="20"/>
        </w:rPr>
        <w:t xml:space="preserve">“</w:t>
      </w:r>
      <w:r>
        <w:rPr>
          <w:sz w:val="20"/>
          <w:szCs w:val="20"/>
        </w:rPr>
        <w:t xml:space="preserve">SoK</w:t>
      </w:r>
      <w:r>
        <w:rPr>
          <w:sz w:val="20"/>
          <w:szCs w:val="20"/>
        </w:rPr>
        <w:t xml:space="preserve">: Fraud in telephony networks,</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2017 IEEE European Symposium on Security and Privacy (EuroS&amp;P)</w:t>
      </w:r>
      <w:r>
        <w:rPr>
          <w:sz w:val="20"/>
          <w:szCs w:val="20"/>
        </w:rPr>
        <w:t xml:space="preserve">. Paris, France: IEEE, 2017, pp. 235–250, doi: 10.1109/EuroSP.2017.40.</w:t>
      </w:r>
    </w:p>
    <w:p>
      <w:pPr>
        <w:pStyle w:val="BodyText"/>
        <w:spacing w:line="240" w:lineRule="auto" w:after="60"/>
        <w:ind w:left="454" w:hanging="454"/>
      </w:pPr>
      <w:r>
        <w:rPr>
          <w:sz w:val="20"/>
          <w:szCs w:val="20"/>
        </w:rPr>
        <w:t>[3]</w:t>
      </w:r>
      <w:r>
        <w:rPr>
          <w:sz w:val="20"/>
          <w:szCs w:val="20"/>
        </w:rPr>
        <w:t xml:space="preserve"> </w:t>
      </w:r>
      <w:r>
        <w:rPr>
          <w:sz w:val="20"/>
          <w:szCs w:val="20"/>
        </w:rPr>
        <w:t xml:space="preserve">Commsrisk</w:t>
      </w:r>
      <w:r>
        <w:rPr>
          <w:sz w:val="20"/>
          <w:szCs w:val="20"/>
        </w:rPr>
        <w:t xml:space="preserve">,</w:t>
      </w:r>
      <w:r>
        <w:rPr>
          <w:sz w:val="20"/>
          <w:szCs w:val="20"/>
        </w:rPr>
        <w:t xml:space="preserve"> </w:t>
      </w:r>
      <w:r>
        <w:rPr>
          <w:sz w:val="20"/>
          <w:szCs w:val="20"/>
        </w:rPr>
        <w:t xml:space="preserve">“</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w:t>
      </w:r>
      <w:r>
        <w:rPr>
          <w:sz w:val="20"/>
          <w:szCs w:val="20"/>
        </w:rPr>
        <w:t xml:space="preserve"> </w:t>
      </w:r>
      <w:hyperlink r:id="rId93">
        <w:r>
          <w:rPr>
            <w:rStyle w:val="Hyperlink"/>
            <w:sz w:val="20"/>
            <w:szCs w:val="20"/>
          </w:rPr>
          <w:t xml:space="preserve">https://commsrisk.com/elon-musk-says-twitter-lost-60mn-a-year-because-390-telcos-used-bot-accounts-to-pump-a2p-sms/</w:t>
        </w:r>
      </w:hyperlink>
      <w:r>
        <w:rPr>
          <w:sz w:val="20"/>
          <w:szCs w:val="20"/>
        </w:rPr>
        <w:t xml:space="preserve">, 2023, trade press; the figure is the company’s own claim.</w:t>
      </w:r>
    </w:p>
    <w:p>
      <w:pPr>
        <w:pStyle w:val="BodyText"/>
        <w:spacing w:line="240" w:lineRule="auto" w:after="60"/>
        <w:ind w:left="454" w:hanging="454"/>
      </w:pPr>
      <w:r>
        <w:rPr>
          <w:sz w:val="20"/>
          <w:szCs w:val="20"/>
        </w:rPr>
        <w:t>[4] J. H. Huh, H. Shin, S. Ahn, H. Yi, J. Cho, T. Kim, M. Lim, and N. Choi,</w:t>
      </w:r>
      <w:r>
        <w:rPr>
          <w:sz w:val="20"/>
          <w:szCs w:val="20"/>
        </w:rPr>
        <w:t xml:space="preserve"> </w:t>
      </w:r>
      <w:r>
        <w:rPr>
          <w:sz w:val="20"/>
          <w:szCs w:val="20"/>
        </w:rPr>
        <w:t xml:space="preserve">“</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34th USENIX Security Symposium</w:t>
      </w:r>
      <w:r>
        <w:rPr>
          <w:sz w:val="20"/>
          <w:szCs w:val="20"/>
        </w:rPr>
        <w:t xml:space="preserve">. Seattle, WA, USA: USENIX Association, 2025.</w:t>
      </w:r>
    </w:p>
    <w:p>
      <w:pPr>
        <w:pStyle w:val="BodyText"/>
        <w:spacing w:line="240" w:lineRule="auto" w:after="60"/>
        <w:ind w:left="454" w:hanging="454"/>
      </w:pPr>
      <w:r>
        <w:rPr>
          <w:sz w:val="20"/>
          <w:szCs w:val="20"/>
        </w:rPr>
        <w:t>[5] S. Wiefling, L. Lo Iacono, and M. D</w:t>
      </w:r>
      <w:r>
        <w:rPr>
          <w:sz w:val="20"/>
          <w:szCs w:val="20"/>
        </w:rPr>
        <w:t xml:space="preserve">ü</w:t>
      </w:r>
      <w:r>
        <w:rPr>
          <w:sz w:val="20"/>
          <w:szCs w:val="20"/>
        </w:rPr>
        <w:t xml:space="preserve">rmuth,</w:t>
      </w:r>
      <w:r>
        <w:rPr>
          <w:sz w:val="20"/>
          <w:szCs w:val="20"/>
        </w:rPr>
        <w:t xml:space="preserve"> </w:t>
      </w:r>
      <w:r>
        <w:rPr>
          <w:sz w:val="20"/>
          <w:szCs w:val="20"/>
        </w:rPr>
        <w:t xml:space="preserve">“</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ICT Systems Security and Privacy Protection (IFIP SEC 2019)</w:t>
      </w:r>
      <w:r>
        <w:rPr>
          <w:sz w:val="20"/>
          <w:szCs w:val="20"/>
        </w:rPr>
        <w:t xml:space="preserve">, ser. IFIP Advances in Information and Communication Technology, vol. 562. Springer, 2019, pp. 134–148, doi: 10.1007/978-3-030-22312-0_10.</w:t>
      </w:r>
    </w:p>
    <w:p>
      <w:pPr>
        <w:pStyle w:val="BodyText"/>
        <w:spacing w:line="240" w:lineRule="auto" w:after="60"/>
        <w:ind w:left="454" w:hanging="454"/>
      </w:pPr>
      <w:r>
        <w:rPr>
          <w:sz w:val="20"/>
          <w:szCs w:val="20"/>
        </w:rPr>
        <w:t>[6]</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 fraud guard,</w:t>
      </w:r>
      <w:r>
        <w:rPr>
          <w:sz w:val="20"/>
          <w:szCs w:val="20"/>
        </w:rPr>
        <w:t xml:space="preserve">”</w:t>
      </w:r>
      <w:r>
        <w:rPr>
          <w:sz w:val="20"/>
          <w:szCs w:val="20"/>
        </w:rPr>
        <w:t xml:space="preserve"> </w:t>
      </w:r>
      <w:hyperlink r:id="rId94">
        <w:r>
          <w:rPr>
            <w:rStyle w:val="Hyperlink"/>
            <w:sz w:val="20"/>
            <w:szCs w:val="20"/>
          </w:rPr>
          <w:t xml:space="preserve">https://www.twilio.com/docs/verify/preventing-toll-fraud/sms-fraud-guard</w:t>
        </w:r>
      </w:hyperlink>
      <w:r>
        <w:rPr>
          <w:sz w:val="20"/>
          <w:szCs w:val="20"/>
        </w:rPr>
        <w:t xml:space="preserve">, 2026, accessed 2026-10-01.</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95">
        <w:r>
          <w:rPr>
            <w:rStyle w:val="Hyperlink"/>
            <w:sz w:val="20"/>
            <w:szCs w:val="20"/>
          </w:rPr>
          <w:t xml:space="preserve">https://www.twilio.com/docs/lookup/v2-api/sms-pumping-risk</w:t>
        </w:r>
      </w:hyperlink>
      <w:r>
        <w:rPr>
          <w:sz w:val="20"/>
          <w:szCs w:val="20"/>
        </w:rPr>
        <w:t xml:space="preserve">, 2026, accessed 2026-10-01.</w:t>
      </w:r>
    </w:p>
    <w:p>
      <w:pPr>
        <w:pStyle w:val="BodyText"/>
        <w:spacing w:line="240" w:lineRule="auto" w:after="60"/>
        <w:ind w:left="454" w:hanging="454"/>
      </w:pPr>
      <w:r>
        <w:rPr>
          <w:sz w:val="20"/>
          <w:szCs w:val="20"/>
        </w:rPr>
        <w:t>[8] M. Zaliskyi and M. Odarchenko,</w:t>
      </w:r>
      <w:r>
        <w:rPr>
          <w:sz w:val="20"/>
          <w:szCs w:val="20"/>
        </w:rPr>
        <w:t xml:space="preserve"> </w:t>
      </w:r>
      <w:r>
        <w:rPr>
          <w:sz w:val="20"/>
          <w:szCs w:val="20"/>
        </w:rPr>
        <w:t xml:space="preserve">“</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iCs/>
          <w:i/>
          <w:sz w:val="20"/>
          <w:szCs w:val="20"/>
        </w:rPr>
        <w:t xml:space="preserve">Science-Based Technologies</w:t>
      </w:r>
      <w:r>
        <w:rPr>
          <w:sz w:val="20"/>
          <w:szCs w:val="20"/>
        </w:rPr>
        <w:t xml:space="preserve">, vol. 69, no. 1, pp. 89–98, 2026, doi: 10.18372/2310-5461.69.20735.</w:t>
      </w:r>
    </w:p>
    <w:p>
      <w:pPr>
        <w:pStyle w:val="BodyText"/>
        <w:spacing w:line="240" w:lineRule="auto" w:after="60"/>
        <w:ind w:left="454" w:hanging="454"/>
      </w:pPr>
      <w:r>
        <w:rPr>
          <w:sz w:val="20"/>
          <w:szCs w:val="20"/>
        </w:rPr>
        <w:t>[9] J. R. Douceur,</w:t>
      </w:r>
      <w:r>
        <w:rPr>
          <w:sz w:val="20"/>
          <w:szCs w:val="20"/>
        </w:rPr>
        <w:t xml:space="preserve"> </w:t>
      </w:r>
      <w:r>
        <w:rPr>
          <w:sz w:val="20"/>
          <w:szCs w:val="20"/>
        </w:rPr>
        <w:t xml:space="preserve">“</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Peer-to-Peer Systems (IPTPS 2002)</w:t>
      </w:r>
      <w:r>
        <w:rPr>
          <w:sz w:val="20"/>
          <w:szCs w:val="20"/>
        </w:rPr>
        <w:t xml:space="preserve">, ser. LNCS, vol. 2429. Springer, 2002, pp. 251–260, doi: 10.1007/3-540-45748-8_24.</w:t>
      </w:r>
    </w:p>
    <w:p>
      <w:pPr>
        <w:pStyle w:val="BodyText"/>
        <w:spacing w:line="240" w:lineRule="auto" w:after="60"/>
        <w:ind w:left="454" w:hanging="454"/>
      </w:pPr>
      <w:r>
        <w:rPr>
          <w:sz w:val="20"/>
          <w:szCs w:val="20"/>
        </w:rPr>
        <w:t>[10] X. Mi, X. Feng, X. Liao, B. Liu, X. Wang, F. Qian, Z. Li, S. Alrwais, L. Sun, and Y. Liu,</w:t>
      </w:r>
      <w:r>
        <w:rPr>
          <w:sz w:val="20"/>
          <w:szCs w:val="20"/>
        </w:rPr>
        <w:t xml:space="preserve"> </w:t>
      </w:r>
      <w:r>
        <w:rPr>
          <w:sz w:val="20"/>
          <w:szCs w:val="20"/>
        </w:rPr>
        <w:t xml:space="preserve">“</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2019 IEEE Symposium on Security and Privacy (S&amp;P)</w:t>
      </w:r>
      <w:r>
        <w:rPr>
          <w:sz w:val="20"/>
          <w:szCs w:val="20"/>
        </w:rPr>
        <w:t xml:space="preserve">. San Francisco, CA, USA: IEEE, 2019, doi: 10.1109/SP.2019.00011.</w:t>
      </w:r>
    </w:p>
    <w:p>
      <w:pPr>
        <w:pStyle w:val="BodyText"/>
        <w:spacing w:line="240" w:lineRule="auto" w:after="60"/>
        <w:ind w:left="454" w:hanging="454"/>
      </w:pPr>
      <w:r>
        <w:rPr>
          <w:sz w:val="20"/>
          <w:szCs w:val="20"/>
        </w:rPr>
        <w:t>[11] P. Richter, F. Wohlfart, N. Vallina-Rodriguez, M. Allman, R. Bush, A. Feldmann, C. Kreibich, N. Weaver, and V. Paxson,</w:t>
      </w:r>
      <w:r>
        <w:rPr>
          <w:sz w:val="20"/>
          <w:szCs w:val="20"/>
        </w:rPr>
        <w:t xml:space="preserve"> </w:t>
      </w:r>
      <w:r>
        <w:rPr>
          <w:sz w:val="20"/>
          <w:szCs w:val="20"/>
        </w:rPr>
        <w:t xml:space="preserve">“</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Proceedings of the 2016 ACM Internet Measurement Conference (IMC)</w:t>
      </w:r>
      <w:r>
        <w:rPr>
          <w:sz w:val="20"/>
          <w:szCs w:val="20"/>
        </w:rPr>
        <w:t xml:space="preserve">. Santa Monica, CA, USA: ACM, 2016, pp. 215–229, doi: 10.1145/2987443.2987474.</w:t>
      </w:r>
    </w:p>
    <w:p>
      <w:pPr>
        <w:pStyle w:val="BodyText"/>
        <w:spacing w:line="240" w:lineRule="auto" w:after="60"/>
        <w:ind w:left="454" w:hanging="454"/>
      </w:pPr>
      <w:r>
        <w:rPr>
          <w:sz w:val="20"/>
          <w:szCs w:val="20"/>
        </w:rPr>
        <w:t>[12] M. Motoyama, K. Levchenko, C. Kanich, D. McCoy, G. M. Voelker, and S. Savage,</w:t>
      </w:r>
      <w:r>
        <w:rPr>
          <w:sz w:val="20"/>
          <w:szCs w:val="20"/>
        </w:rPr>
        <w:t xml:space="preserve"> </w:t>
      </w:r>
      <w:r>
        <w:rPr>
          <w:sz w:val="20"/>
          <w:szCs w:val="20"/>
        </w:rPr>
        <w:t xml:space="preserve">“</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19th USENIX Security Symposium</w:t>
      </w:r>
      <w:r>
        <w:rPr>
          <w:sz w:val="20"/>
          <w:szCs w:val="20"/>
        </w:rPr>
        <w:t xml:space="preserve">. Washington, DC, USA: USENIX Association, 2010.</w:t>
      </w:r>
    </w:p>
    <w:p>
      <w:pPr>
        <w:pStyle w:val="BodyText"/>
        <w:spacing w:line="240" w:lineRule="auto" w:after="60"/>
        <w:ind w:left="454" w:hanging="454"/>
      </w:pPr>
      <w:r>
        <w:rPr>
          <w:sz w:val="20"/>
          <w:szCs w:val="20"/>
        </w:rPr>
        <w:t>[13] N. Ahmed,</w:t>
      </w:r>
      <w:r>
        <w:rPr>
          <w:sz w:val="20"/>
          <w:szCs w:val="20"/>
        </w:rPr>
        <w:t xml:space="preserve"> </w:t>
      </w:r>
      <w:r>
        <w:rPr>
          <w:sz w:val="20"/>
          <w:szCs w:val="20"/>
        </w:rPr>
        <w:t xml:space="preserve">“</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0">
        <w:r>
          <w:rPr>
            <w:rStyle w:val="Hyperlink"/>
            <w:sz w:val="20"/>
            <w:szCs w:val="20"/>
          </w:rPr>
          <w:t xml:space="preserve">https://github.com/nahmedpsu/OTP-DDOS</w:t>
        </w:r>
      </w:hyperlink>
      <w:r>
        <w:rPr>
          <w:sz w:val="20"/>
          <w:szCs w:val="20"/>
        </w:rPr>
        <w:t xml:space="preserve">, tag v2.9.1, 2026, results produced by 2.9.0 (commit 9af3100), whose executable code 2.9.1 keeps; 2.8.0 results (commit 1c277a0) in results/historical_2.8.</w:t>
      </w:r>
    </w:p>
    <w:p>
      <w:pPr>
        <w:pStyle w:val="BodyText"/>
        <w:spacing w:line="240" w:lineRule="auto" w:after="60"/>
        <w:ind w:left="454" w:hanging="454"/>
      </w:pPr>
      <w:r>
        <w:rPr>
          <w:sz w:val="20"/>
          <w:szCs w:val="20"/>
        </w:rPr>
        <w:t>[14] A. Dionysiou and E. Athanasopoulos,</w:t>
      </w:r>
      <w:r>
        <w:rPr>
          <w:sz w:val="20"/>
          <w:szCs w:val="20"/>
        </w:rPr>
        <w:t xml:space="preserve"> </w:t>
      </w:r>
      <w:r>
        <w:rPr>
          <w:sz w:val="20"/>
          <w:szCs w:val="20"/>
        </w:rPr>
        <w:t xml:space="preserve">“</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97, p. 101947, 2020, doi: 10.1016/j.cose.2020.101947.</w:t>
      </w:r>
    </w:p>
    <w:p>
      <w:pPr>
        <w:pStyle w:val="BodyText"/>
        <w:spacing w:line="240" w:lineRule="auto" w:after="60"/>
        <w:ind w:left="454" w:hanging="454"/>
      </w:pPr>
      <w:r>
        <w:rPr>
          <w:sz w:val="20"/>
          <w:szCs w:val="20"/>
        </w:rPr>
        <w:t>[15] M. Sahin and A. Francillon,</w:t>
      </w:r>
      <w:r>
        <w:rPr>
          <w:sz w:val="20"/>
          <w:szCs w:val="20"/>
        </w:rPr>
        <w:t xml:space="preserve"> </w:t>
      </w:r>
      <w:r>
        <w:rPr>
          <w:sz w:val="20"/>
          <w:szCs w:val="20"/>
        </w:rPr>
        <w:t xml:space="preserve">“</w:t>
      </w:r>
      <w:r>
        <w:rPr>
          <w:sz w:val="20"/>
          <w:szCs w:val="20"/>
        </w:rPr>
        <w:t xml:space="preserve">Understanding and detecting international revenue share fraud,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Network and Distributed System Security Symposium (NDSS)</w:t>
      </w:r>
      <w:r>
        <w:rPr>
          <w:sz w:val="20"/>
          <w:szCs w:val="20"/>
        </w:rPr>
        <w:t xml:space="preserve">. Virtual: Internet Society, 2021, doi: 10.14722/ndss.2021.24051.</w:t>
      </w:r>
    </w:p>
    <w:p>
      <w:pPr>
        <w:pStyle w:val="BodyText"/>
        <w:spacing w:line="240" w:lineRule="auto" w:after="60"/>
        <w:ind w:left="454" w:hanging="454"/>
      </w:pPr>
      <w:r>
        <w:rPr>
          <w:sz w:val="20"/>
          <w:szCs w:val="20"/>
        </w:rPr>
        <w:t>[16] D. Dean and A. Stubblefield,</w:t>
      </w:r>
      <w:r>
        <w:rPr>
          <w:sz w:val="20"/>
          <w:szCs w:val="20"/>
        </w:rPr>
        <w:t xml:space="preserve"> </w:t>
      </w:r>
      <w:r>
        <w:rPr>
          <w:sz w:val="20"/>
          <w:szCs w:val="20"/>
        </w:rPr>
        <w:t xml:space="preserve">“</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10th USENIX Security Symposium</w:t>
      </w:r>
      <w:r>
        <w:rPr>
          <w:sz w:val="20"/>
          <w:szCs w:val="20"/>
        </w:rPr>
        <w:t xml:space="preserve">. Washington, DC, USA: USENIX Association, 2001.</w:t>
      </w:r>
    </w:p>
    <w:p>
      <w:pPr>
        <w:pStyle w:val="BodyText"/>
        <w:spacing w:line="240" w:lineRule="auto" w:after="60"/>
        <w:ind w:left="454" w:hanging="454"/>
      </w:pPr>
      <w:r>
        <w:rPr>
          <w:sz w:val="20"/>
          <w:szCs w:val="20"/>
        </w:rPr>
        <w:t>[17] A. Wald,</w:t>
      </w:r>
      <w:r>
        <w:rPr>
          <w:sz w:val="20"/>
          <w:szCs w:val="20"/>
        </w:rPr>
        <w:t xml:space="preserve"> </w:t>
      </w:r>
      <w:r>
        <w:rPr>
          <w:sz w:val="20"/>
          <w:szCs w:val="20"/>
        </w:rPr>
        <w:t xml:space="preserve">“</w:t>
      </w:r>
      <w:r>
        <w:rPr>
          <w:sz w:val="20"/>
          <w:szCs w:val="20"/>
        </w:rPr>
        <w:t xml:space="preserve">Sequential tests of statistical hypotheses,</w:t>
      </w:r>
      <w:r>
        <w:rPr>
          <w:sz w:val="20"/>
          <w:szCs w:val="20"/>
        </w:rPr>
        <w:t xml:space="preserve">”</w:t>
      </w:r>
      <w:r>
        <w:rPr>
          <w:sz w:val="20"/>
          <w:szCs w:val="20"/>
        </w:rPr>
        <w:t xml:space="preserve"> </w:t>
      </w:r>
      <w:r>
        <w:rPr>
          <w:iCs/>
          <w:i/>
          <w:sz w:val="20"/>
          <w:szCs w:val="20"/>
        </w:rPr>
        <w:t xml:space="preserve">The Annals of Mathematical Statistics</w:t>
      </w:r>
      <w:r>
        <w:rPr>
          <w:sz w:val="20"/>
          <w:szCs w:val="20"/>
        </w:rPr>
        <w:t xml:space="preserve">, vol. 16, no. 2, pp. 117–186, 1945, doi: 10.1214/aoms/1177731118.</w:t>
      </w:r>
    </w:p>
    <w:p>
      <w:pPr>
        <w:pStyle w:val="BodyText"/>
        <w:spacing w:line="240" w:lineRule="auto" w:after="60"/>
        <w:ind w:left="454" w:hanging="454"/>
      </w:pPr>
      <w:r>
        <w:rPr>
          <w:sz w:val="20"/>
          <w:szCs w:val="20"/>
        </w:rPr>
        <w:t>[18] E. S. Page,</w:t>
      </w:r>
      <w:r>
        <w:rPr>
          <w:sz w:val="20"/>
          <w:szCs w:val="20"/>
        </w:rPr>
        <w:t xml:space="preserve"> </w:t>
      </w:r>
      <w:r>
        <w:rPr>
          <w:sz w:val="20"/>
          <w:szCs w:val="20"/>
        </w:rPr>
        <w:t xml:space="preserve">“</w:t>
      </w:r>
      <w:r>
        <w:rPr>
          <w:sz w:val="20"/>
          <w:szCs w:val="20"/>
        </w:rPr>
        <w:t xml:space="preserve">Continuous inspection schemes,</w:t>
      </w:r>
      <w:r>
        <w:rPr>
          <w:sz w:val="20"/>
          <w:szCs w:val="20"/>
        </w:rPr>
        <w:t xml:space="preserve">”</w:t>
      </w:r>
      <w:r>
        <w:rPr>
          <w:sz w:val="20"/>
          <w:szCs w:val="20"/>
        </w:rPr>
        <w:t xml:space="preserve"> </w:t>
      </w:r>
      <w:r>
        <w:rPr>
          <w:iCs/>
          <w:i/>
          <w:sz w:val="20"/>
          <w:szCs w:val="20"/>
        </w:rPr>
        <w:t xml:space="preserve">Biometrika</w:t>
      </w:r>
      <w:r>
        <w:rPr>
          <w:sz w:val="20"/>
          <w:szCs w:val="20"/>
        </w:rPr>
        <w:t xml:space="preserve">, vol. 41, no. 1/2, pp. 100–115, 1954, doi: 10.2307/2333009.</w:t>
      </w:r>
    </w:p>
    <w:p>
      <w:pPr>
        <w:pStyle w:val="BodyText"/>
        <w:spacing w:line="240" w:lineRule="auto" w:after="60"/>
        <w:ind w:left="454" w:hanging="454"/>
      </w:pPr>
      <w:r>
        <w:rPr>
          <w:sz w:val="20"/>
          <w:szCs w:val="20"/>
        </w:rPr>
        <w:t>[19] V. V. Veeravalli and T. Banerjee,</w:t>
      </w:r>
      <w:r>
        <w:rPr>
          <w:sz w:val="20"/>
          <w:szCs w:val="20"/>
        </w:rPr>
        <w:t xml:space="preserve"> </w:t>
      </w:r>
      <w:r>
        <w:rPr>
          <w:sz w:val="20"/>
          <w:szCs w:val="20"/>
        </w:rPr>
        <w:t xml:space="preserve">“</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 2012.</w:t>
      </w:r>
    </w:p>
    <w:p>
      <w:pPr>
        <w:pStyle w:val="BodyText"/>
        <w:spacing w:line="240" w:lineRule="auto" w:after="60"/>
        <w:ind w:left="454" w:hanging="454"/>
      </w:pPr>
      <w:r>
        <w:rPr>
          <w:sz w:val="20"/>
          <w:szCs w:val="20"/>
        </w:rPr>
        <w:t>[20]</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96">
        <w:r>
          <w:rPr>
            <w:rStyle w:val="Hyperlink"/>
            <w:sz w:val="20"/>
            <w:szCs w:val="20"/>
          </w:rPr>
          <w:t xml:space="preserve">https://www.itl.nist.gov/div898/handbook/pmc/section3/pmc323.htm</w:t>
        </w:r>
      </w:hyperlink>
      <w:r>
        <w:rPr>
          <w:sz w:val="20"/>
          <w:szCs w:val="20"/>
        </w:rPr>
        <w:t xml:space="preserve">, 2026, accessed 2026-10-02.</w:t>
      </w:r>
    </w:p>
    <w:p>
      <w:pPr>
        <w:pStyle w:val="BodyText"/>
        <w:spacing w:line="240" w:lineRule="auto" w:after="60"/>
        <w:ind w:left="454" w:hanging="454"/>
      </w:pPr>
      <w:r>
        <w:rPr>
          <w:sz w:val="20"/>
          <w:szCs w:val="20"/>
        </w:rPr>
        <w:t>[21] S. R. Howard, A. Ramdas, J. McAuliffe, and J. Sekhon,</w:t>
      </w:r>
      <w:r>
        <w:rPr>
          <w:sz w:val="20"/>
          <w:szCs w:val="20"/>
        </w:rPr>
        <w:t xml:space="preserve"> </w:t>
      </w:r>
      <w:r>
        <w:rPr>
          <w:sz w:val="20"/>
          <w:szCs w:val="20"/>
        </w:rPr>
        <w:t xml:space="preserve">“</w:t>
      </w:r>
      <w:r>
        <w:rPr>
          <w:sz w:val="20"/>
          <w:szCs w:val="20"/>
        </w:rPr>
        <w:t xml:space="preserve">Time-uniform, nonparametric, nonasymptotic confidence sequences,</w:t>
      </w:r>
      <w:r>
        <w:rPr>
          <w:sz w:val="20"/>
          <w:szCs w:val="20"/>
        </w:rPr>
        <w:t xml:space="preserve">”</w:t>
      </w:r>
      <w:r>
        <w:rPr>
          <w:sz w:val="20"/>
          <w:szCs w:val="20"/>
        </w:rPr>
        <w:t xml:space="preserve"> </w:t>
      </w:r>
      <w:r>
        <w:rPr>
          <w:iCs/>
          <w:i/>
          <w:sz w:val="20"/>
          <w:szCs w:val="20"/>
        </w:rPr>
        <w:t xml:space="preserve">The Annals of Statistics</w:t>
      </w:r>
      <w:r>
        <w:rPr>
          <w:sz w:val="20"/>
          <w:szCs w:val="20"/>
        </w:rPr>
        <w:t xml:space="preserve">, vol. 49, no. 2, pp. 1055–1080, 2021, doi: 10.1214/20-AOS1991.</w:t>
      </w:r>
    </w:p>
    <w:p>
      <w:pPr>
        <w:pStyle w:val="BodyText"/>
        <w:spacing w:line="240" w:lineRule="auto" w:after="60"/>
        <w:ind w:left="454" w:hanging="454"/>
      </w:pPr>
      <w:r>
        <w:rPr>
          <w:sz w:val="20"/>
          <w:szCs w:val="20"/>
        </w:rPr>
        <w:t>[22] C. Mulliner, R. Borgaonkar, P. Stewin, and J.-P. Seifert,</w:t>
      </w:r>
      <w:r>
        <w:rPr>
          <w:sz w:val="20"/>
          <w:szCs w:val="20"/>
        </w:rPr>
        <w:t xml:space="preserve"> </w:t>
      </w:r>
      <w:r>
        <w:rPr>
          <w:sz w:val="20"/>
          <w:szCs w:val="20"/>
        </w:rPr>
        <w:t xml:space="preserve">“</w:t>
      </w:r>
      <w:r>
        <w:rPr>
          <w:sz w:val="20"/>
          <w:szCs w:val="20"/>
        </w:rPr>
        <w:t xml:space="preserve">SMS</w:t>
      </w:r>
      <w:r>
        <w:rPr>
          <w:sz w:val="20"/>
          <w:szCs w:val="20"/>
        </w:rPr>
        <w:t xml:space="preserve">-based one-time passwords: Attacks and defense,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Detection of Intrusions and Malware, and Vulnerability Assessment (DIMVA 2013)</w:t>
      </w:r>
      <w:r>
        <w:rPr>
          <w:sz w:val="20"/>
          <w:szCs w:val="20"/>
        </w:rPr>
        <w:t xml:space="preserve">, ser. LNCS, vol. 7967. Springer, 2013, pp. 150–159, doi: 10.1007/978-3-642-39235-1_9.</w:t>
      </w:r>
    </w:p>
    <w:p>
      <w:pPr>
        <w:pStyle w:val="BodyText"/>
        <w:spacing w:line="240" w:lineRule="auto" w:after="60"/>
        <w:ind w:left="454" w:hanging="454"/>
      </w:pPr>
      <w:r>
        <w:rPr>
          <w:sz w:val="20"/>
          <w:szCs w:val="20"/>
        </w:rPr>
        <w:t>[23] H. Siadati, T. Nguyen, P. Gupta, M. Jakobsson, and N. Memon,</w:t>
      </w:r>
      <w:r>
        <w:rPr>
          <w:sz w:val="20"/>
          <w:szCs w:val="20"/>
        </w:rPr>
        <w:t xml:space="preserve"> </w:t>
      </w:r>
      <w:r>
        <w:rPr>
          <w:sz w:val="20"/>
          <w:szCs w:val="20"/>
        </w:rPr>
        <w:t xml:space="preserve">“</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65, pp. 14–28, 2017, doi: 10.1016/j.cose.2016.09.009.</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97">
        <w:r>
          <w:rPr>
            <w:rStyle w:val="Hyperlink"/>
            <w:sz w:val="20"/>
            <w:szCs w:val="20"/>
          </w:rPr>
          <w:t xml:space="preserve">https://developers.google.com/identity/sms-retriever/overview</w:t>
        </w:r>
      </w:hyperlink>
      <w:r>
        <w:rPr>
          <w:sz w:val="20"/>
          <w:szCs w:val="20"/>
        </w:rPr>
        <w:t xml:space="preserve">, 2026,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t>
      </w:r>
      <w:r>
        <w:rPr>
          <w:sz w:val="20"/>
          <w:szCs w:val="20"/>
        </w:rPr>
        <w:t xml:space="preserve">WebOTP API</w:t>
      </w:r>
      <w:r>
        <w:rPr>
          <w:sz w:val="20"/>
          <w:szCs w:val="20"/>
        </w:rPr>
        <w:t xml:space="preserve">,</w:t>
      </w:r>
      <w:r>
        <w:rPr>
          <w:sz w:val="20"/>
          <w:szCs w:val="20"/>
        </w:rPr>
        <w:t xml:space="preserve">”</w:t>
      </w:r>
      <w:r>
        <w:rPr>
          <w:sz w:val="20"/>
          <w:szCs w:val="20"/>
        </w:rPr>
        <w:t xml:space="preserve"> </w:t>
      </w:r>
      <w:hyperlink r:id="rId98">
        <w:r>
          <w:rPr>
            <w:rStyle w:val="Hyperlink"/>
            <w:sz w:val="20"/>
            <w:szCs w:val="20"/>
          </w:rPr>
          <w:t xml:space="preserve">https://github.com/WICG/WebOTP</w:t>
        </w:r>
      </w:hyperlink>
      <w:r>
        <w:rPr>
          <w:sz w:val="20"/>
          <w:szCs w:val="20"/>
        </w:rPr>
        <w:t xml:space="preserve">, 2026, accessed 2026-10-01.</w:t>
      </w:r>
    </w:p>
    <w:p>
      <w:pPr>
        <w:pStyle w:val="BodyText"/>
        <w:spacing w:line="240" w:lineRule="auto" w:after="60"/>
        <w:ind w:left="454" w:hanging="454"/>
      </w:pPr>
      <w:r>
        <w:rPr>
          <w:sz w:val="20"/>
          <w:szCs w:val="20"/>
        </w:rPr>
        <w:t>[26] J. Heinanen and R. Guerin,</w:t>
      </w:r>
      <w:r>
        <w:rPr>
          <w:sz w:val="20"/>
          <w:szCs w:val="20"/>
        </w:rPr>
        <w:t xml:space="preserve"> </w:t>
      </w:r>
      <w:r>
        <w:rPr>
          <w:sz w:val="20"/>
          <w:szCs w:val="20"/>
        </w:rPr>
        <w:t xml:space="preserve">“</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 1999, doi: 10.17487/RFC2697.</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w:t>
      </w:r>
      <w:r>
        <w:rPr>
          <w:sz w:val="20"/>
          <w:szCs w:val="20"/>
        </w:rPr>
        <w:t xml:space="preserve"> </w:t>
      </w:r>
      <w:hyperlink r:id="rId99">
        <w:r>
          <w:rPr>
            <w:rStyle w:val="Hyperlink"/>
            <w:sz w:val="20"/>
            <w:szCs w:val="20"/>
          </w:rPr>
          <w:t xml:space="preserve">https://www.twilio.com/en-us/user-authentication-identity/verify</w:t>
        </w:r>
      </w:hyperlink>
      <w:r>
        <w:rPr>
          <w:sz w:val="20"/>
          <w:szCs w:val="20"/>
        </w:rPr>
        <w:t xml:space="preserve">, 2026, accessed 2026-10-03.</w:t>
      </w:r>
    </w:p>
    <w:p>
      <w:pPr>
        <w:pStyle w:val="BodyText"/>
      </w:pPr>
      <w:r>
        <w:rPr>
          <w:bCs/>
          <w:b/>
        </w:rPr>
        <w:t xml:space="preserve">NAVEED AHMED</w:t>
      </w:r>
      <w:r>
        <w:t xml:space="preserve"> </w:t>
      </w:r>
      <w:r>
        <w:t xml:space="preserve">is with the College of Computer and Information Science, Prince Sultan University, Riyadh, Saudi Arabia (e-mail: nahmed@psu.edu.sa).</w:t>
      </w:r>
    </w:p>
    <w:bookmarkEnd w:id="100"/>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44" Type="http://schemas.openxmlformats.org/officeDocument/2006/relationships/image" Target="media/rId44.png"/><Relationship Id="rId59" Type="http://schemas.openxmlformats.org/officeDocument/2006/relationships/image" Target="media/rId59.png"/><Relationship Id="rId41" Type="http://schemas.openxmlformats.org/officeDocument/2006/relationships/image" Target="media/rId41.png"/><Relationship Id="rId55" Type="http://schemas.openxmlformats.org/officeDocument/2006/relationships/image" Target="media/rId55.png"/><Relationship Id="rId38" Type="http://schemas.openxmlformats.org/officeDocument/2006/relationships/image" Target="media/rId38.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21" Type="http://schemas.openxmlformats.org/officeDocument/2006/relationships/image" Target="media/rId21.png"/><Relationship Id="rId34" Type="http://schemas.openxmlformats.org/officeDocument/2006/relationships/image" Target="media/rId34.png"/><Relationship Id="rId92" Type="http://schemas.openxmlformats.org/officeDocument/2006/relationships/hyperlink" Target="https://attack.mitre.org/techniques/T1496/003/" TargetMode="External"/><Relationship Id="rId93" Type="http://schemas.openxmlformats.org/officeDocument/2006/relationships/hyperlink" Target="https://commsrisk.com/elon-musk-says-twitter-lost-60mn-a-year-because-390-telcos-used-bot-accounts-to-pump-a2p-sms/" TargetMode="External"/><Relationship Id="rId97" Type="http://schemas.openxmlformats.org/officeDocument/2006/relationships/hyperlink" Target="https://developers.google.com/identity/sms-retriever/overview" TargetMode="External"/><Relationship Id="rId98" Type="http://schemas.openxmlformats.org/officeDocument/2006/relationships/hyperlink" Target="https://github.com/WICG/WebOTP" TargetMode="External"/><Relationship Id="rId90" Type="http://schemas.openxmlformats.org/officeDocument/2006/relationships/hyperlink" Target="https://github.com/nahmedpsu/OTP-DDOS" TargetMode="External"/><Relationship Id="rId96" Type="http://schemas.openxmlformats.org/officeDocument/2006/relationships/hyperlink" Target="https://www.itl.nist.gov/div898/handbook/pmc/section3/pmc323.htm" TargetMode="External"/><Relationship Id="rId95" Type="http://schemas.openxmlformats.org/officeDocument/2006/relationships/hyperlink" Target="https://www.twilio.com/docs/lookup/v2-api/sms-pumping-risk" TargetMode="External"/><Relationship Id="rId94" Type="http://schemas.openxmlformats.org/officeDocument/2006/relationships/hyperlink" Target="https://www.twilio.com/docs/verify/preventing-toll-fraud/sms-fraud-guard" TargetMode="External"/><Relationship Id="rId99"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attack.mitre.org/techniques/T1496/003/" TargetMode="External"/><Relationship Id="rId93" Type="http://schemas.openxmlformats.org/officeDocument/2006/relationships/hyperlink" Target="https://commsrisk.com/elon-musk-says-twitter-lost-60mn-a-year-because-390-telcos-used-bot-accounts-to-pump-a2p-sms/" TargetMode="External"/><Relationship Id="rId97" Type="http://schemas.openxmlformats.org/officeDocument/2006/relationships/hyperlink" Target="https://developers.google.com/identity/sms-retriever/overview" TargetMode="External"/><Relationship Id="rId98" Type="http://schemas.openxmlformats.org/officeDocument/2006/relationships/hyperlink" Target="https://github.com/WICG/WebOTP" TargetMode="External"/><Relationship Id="rId90" Type="http://schemas.openxmlformats.org/officeDocument/2006/relationships/hyperlink" Target="https://github.com/nahmedpsu/OTP-DDOS" TargetMode="External"/><Relationship Id="rId96" Type="http://schemas.openxmlformats.org/officeDocument/2006/relationships/hyperlink" Target="https://www.itl.nist.gov/div898/handbook/pmc/section3/pmc323.htm" TargetMode="External"/><Relationship Id="rId95" Type="http://schemas.openxmlformats.org/officeDocument/2006/relationships/hyperlink" Target="https://www.twilio.com/docs/lookup/v2-api/sms-pumping-risk" TargetMode="External"/><Relationship Id="rId94" Type="http://schemas.openxmlformats.org/officeDocument/2006/relationships/hyperlink" Target="https://www.twilio.com/docs/verify/preventing-toll-fraud/sms-fraud-guard" TargetMode="External"/><Relationship Id="rId99"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2026-10-30T09:46:17Z</dcterms:created>
  <dcterms:modified xsi:type="dcterms:W3CDTF">2026-10-30T09:46:17Z</dcterms:modified>
</cp:coreProperties>
</file>

<file path=docProps/custom.xml><?xml version="1.0" encoding="utf-8"?>
<Properties xmlns="http://schemas.openxmlformats.org/officeDocument/2006/custom-properties" xmlns:vt="http://schemas.openxmlformats.org/officeDocument/2006/docPropsVTypes"/>
</file>