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6 and the attacked-service table are reworked. The incident narrative is removed.</w:t>
      </w:r>
    </w:p>
    <w:p>
      <w:pPr>
        <w:spacing w:after="120"/>
      </w:pPr>
      <w:r>
        <w:rPr>
          <w:b/>
          <w:bCs/>
        </w:rPr>
        <w:t xml:space="preserve">Manuscript.</w:t>
      </w:r>
      <w:r>
        <w:t xml:space="preserve"> Revision 8 has 13,214 words from the title to the references inclusive (13,216 by a whitespace count) and 17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twelve steps are drawn as a block diagram (Figure 3) and given as Algorithm 2 as implemented;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6, Tables 7 and 8 and the Figure 4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3, a block diagram, and the threat model has its own figure, Figure 2. Revision 7's Tables 4 to 8 are therefore Tables 2 to 6, and revision 7's Table 9 is split into Tables 7 (pumper on shared blocks) and 8 (poisoner); revision 7's Figures 1 and 2 are Figures 4 and 5, and revision 7's Figure 3 is split into Figures 6 to 8, one per panel. Algorithm 2 gives the v2 pipeline and its feedback loop as implemented (Section 3.3),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10, 10, 11, 11, 12, 13, 14 and 15, Figures 1 to 8 on pages 3, 6, 7, 11, 12, 13, 14 and 14, and Algorithms 1 and 2 on pages 5 and 7, each on the page of its first mention or the page after, which we checked page by page.</w:t>
      </w:r>
    </w:p>
    <w:p>
      <w:pPr>
        <w:pStyle w:val="ListParagraph"/>
        <w:numPr>
          <w:ilvl w:val="0"/>
          <w:numId w:val="2"/>
        </w:numPr>
        <w:spacing w:after="60"/>
      </w:pPr>
      <w:r>
        <w:rPr>
          <w:b/>
          <w:bCs/>
        </w:rPr>
        <w:t xml:space="preserve">Figures 6 to 8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6, 'both axes are logarithmic' for Figures 7 and 8).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 4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13 and runs onto page 14 with no float inside the text; the two tables, introduced on page 12, are set on pages 13 and 14, and Figures 6 to 8 are set beside the paragraphs that discuss them on pages 13 and 14.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4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4's interval construction, Figure 5's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2026-10-06T09:53:32.358Z</dcterms:created>
  <dcterms:modified xsi:type="dcterms:W3CDTF">2026-10-06T09:53:32.366Z</dcterms:modified>
</cp:coreProperties>
</file>

<file path=docProps/custom.xml><?xml version="1.0" encoding="utf-8"?>
<Properties xmlns="http://schemas.openxmlformats.org/officeDocument/2006/custom-properties" xmlns:vt="http://schemas.openxmlformats.org/officeDocument/2006/docPropsVTypes"/>
</file>