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This study evaluates in simulation a twelve-step defense for a registration flow, which draws trust from app attestation, signed sessions and verification outcomes, against a seven-control baseline, five simpler designs and 25 attacker profiles, and compares those two label-free destination policies under two protocols committed before their runs.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This paper makes that comparison in simulation, inside a complete defense for a registration flow. We start from a baseline of seven controls, v1, and show how an attacker within a stated threat model breaks each of eight assumptions behind them. The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on the destination it offers two label-free policies keyed on the 8-digit number block, a short-window counter of sends and sequential tests of code outcomes. Seven designs and 25 scripted attacker profiles, from a single address to pumpers that enter codes, fake delivery receipts or buy challenge solutions, run over simulated users on a simulated clock. Two protocols were committed before their runs: the first selects destination settings on tuning seeds at a benign service target, and the second, written after that selection, freezes the selected counter and tests five claims on seeds and workloads held out from selection. The implementation, the protocols and every run’s configuration and outcome are public (Ahmed, 2026). Everything is simulated: three behavioral parameters have published counterparts and the rest are assumptions, so the results describe this generator rather than real traffic.</w:t>
      </w:r>
    </w:p>
    <w:p>
      <w:pPr>
        <w:pStyle w:val="BodyText"/>
      </w:pPr>
      <w:r>
        <w:t xml:space="preserve">We ask which attacks the design contains against simpler designs, and at what cost in completed registrations (RQ1); which layer is responsible (RQ2); when outcome-based reputation separates an attacker from simulated users (RQ3); what rationing costs when it does not (RQ4); and what destination policies cost legitimate users, with and without an attack (RQ5). This paper makes the following contributions:</w:t>
      </w:r>
    </w:p>
    <w:p>
      <w:pPr>
        <w:numPr>
          <w:ilvl w:val="0"/>
          <w:numId w:val="1001"/>
        </w:numPr>
      </w:pPr>
      <w:r>
        <w:t xml:space="preserve">an analysis of eight gaps in a seven-control baseline, a twelve-step design that closes them, and an open implementation with a regression test for each of the replay and concurrency defects found on the way;</w:t>
      </w:r>
    </w:p>
    <w:p>
      <w:pPr>
        <w:numPr>
          <w:ilvl w:val="0"/>
          <w:numId w:val="1001"/>
        </w:numPr>
      </w:pPr>
      <w:r>
        <w:t xml:space="preserve">measurements of where outcome-based reputation stops separating an attacker from the users whose keys it shares, and of what rationing then costs and depends on;</w:t>
      </w:r>
    </w:p>
    <w:p>
      <w:pPr>
        <w:numPr>
          <w:ilvl w:val="0"/>
          <w:numId w:val="1001"/>
        </w:numPr>
      </w:pPr>
      <w:r>
        <w:t xml:space="preserve">two predeclared comparisons of destination policies, a send counter against sequential tests of code outcomes, selected at a stated service target and charged with their failures and with their collateral damage to users who share a block with the attacker;</w:t>
      </w:r>
    </w:p>
    <w:p>
      <w:pPr>
        <w:numPr>
          <w:ilvl w:val="0"/>
          <w:numId w:val="1001"/>
        </w:numPr>
      </w:pPr>
      <w:r>
        <w:t xml:space="preserve">unfitted estimates of when counting leaks less than testing, derived from the rules and the attack rate alone and checked against the measurements over attacks of up to an hour.</w:t>
      </w:r>
    </w:p>
    <w:p>
      <w:pPr>
        <w:pStyle w:val="FirstParagraph"/>
      </w:pPr>
      <w:r>
        <w:t xml:space="preserve">Section 2 reviews related work; Sections 3–5 give the baseline and threat model, the design with its leakage estimates, and the methodology; Section 6 reports the results; Sections 7–9 discuss them, state the limitations, and conclude.</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(Figure 1), and close with the gap this study addresses (Table 1).</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Xdc4f4927748c3842e74dd54c57f02ecb9c6dc2c"/>
    <w:p>
      <w:pPr>
        <w:pStyle w:val="Heading2"/>
      </w:pPr>
      <w:r>
        <w:rPr>
          <w:rStyle w:val="SectionNumber"/>
        </w:rPr>
        <w:t xml:space="preserve">2.1</w:t>
      </w:r>
      <w:r>
        <w:tab/>
      </w:r>
      <w:r>
        <w:t xml:space="preserve">Revenue-share fraud and the destination as the attacker’s asset</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4.3 are keyed on the 8-digit block and use only those two quantities.</w:t>
      </w:r>
    </w:p>
    <w:bookmarkEnd w:id="24"/>
    <w:bookmarkStart w:id="25" w:name="X54ece4fa9c9178e0a892a2fb454b0c3ae29bfd2"/>
    <w:p>
      <w:pPr>
        <w:pStyle w:val="Heading2"/>
      </w:pPr>
      <w:r>
        <w:rPr>
          <w:rStyle w:val="SectionNumber"/>
        </w:rPr>
        <w:t xml:space="preserve">2.2</w:t>
      </w:r>
      <w:r>
        <w:tab/>
      </w:r>
      <w:r>
        <w:t xml:space="preserve">Detecting artificially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Theirs was not reproduced, so the two are not ranked.</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no product was benchmarked.</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6.5–6.7, and the attackers that enter codes, fake receipts and build trust (Table 4) are modeled on the counter-move above.</w:t>
      </w:r>
    </w:p>
    <w:bookmarkEnd w:id="25"/>
    <w:bookmarkStart w:id="26" w:name="Xacd34ca2899e26b07c0be49a94f9c27ea97f1a2"/>
    <w:p>
      <w:pPr>
        <w:pStyle w:val="Heading2"/>
      </w:pPr>
      <w:r>
        <w:rPr>
          <w:rStyle w:val="SectionNumber"/>
        </w:rPr>
        <w:t xml:space="preserve">2.3</w:t>
      </w:r>
      <w:r>
        <w:tab/>
      </w:r>
      <w:r>
        <w:t xml:space="preserve">Source-side controls and the attacker’s market</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they were not evaluated.</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RQ3 and RQ4 measure that in this design.</w:t>
      </w:r>
    </w:p>
    <w:bookmarkEnd w:id="26"/>
    <w:bookmarkStart w:id="27" w:name="sequential-tests-and-change-detection"/>
    <w:p>
      <w:pPr>
        <w:pStyle w:val="Heading2"/>
      </w:pPr>
      <w:r>
        <w:rPr>
          <w:rStyle w:val="SectionNumber"/>
        </w:rPr>
        <w:t xml:space="preserve">2.4</w:t>
      </w:r>
      <w:r>
        <w:tab/>
      </w:r>
      <w:r>
        <w:t xml:space="preserve">Sequential tests and change detection</w:t>
      </w:r>
    </w:p>
    <w:p>
      <w:pPr>
        <w:pStyle w:val="FirstParagraph"/>
      </w:pPr>
      <w:r>
        <w:t xml:space="preserve">Our block tests are Wald’s sequential tests (Wald, 1945) run as Page’s cumulative sums (Page, 1954), with a floor parameter that selects between the two (Section 4.3).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were not evaluated, so</w:t>
      </w:r>
      <w:r>
        <w:t xml:space="preserve"> </w:t>
      </w:r>
      <w:r>
        <w:t xml:space="preserve">‘</w:t>
      </w:r>
      <w:r>
        <w:t xml:space="preserve">testing</w:t>
      </w:r>
      <w:r>
        <w:t xml:space="preserve">’</w:t>
      </w:r>
      <w:r>
        <w:t xml:space="preserve"> </w:t>
      </w:r>
      <w:r>
        <w:t xml:space="preserve">below means our conversion and speed tests only, and their error rates are reported empirically rather than derived.</w:t>
      </w:r>
    </w:p>
    <w:bookmarkEnd w:id="27"/>
    <w:bookmarkStart w:id="28" w:name="attacks-on-the-code-once-sent"/>
    <w:p>
      <w:pPr>
        <w:pStyle w:val="Heading2"/>
      </w:pPr>
      <w:r>
        <w:rPr>
          <w:rStyle w:val="SectionNumber"/>
        </w:rPr>
        <w:t xml:space="preserve">2.5</w:t>
      </w:r>
      <w:r>
        <w:tab/>
      </w:r>
      <w:r>
        <w:t xml:space="preserve">Attacks on the code once sent</w:t>
      </w:r>
    </w:p>
    <w:p>
      <w:pPr>
        <w:pStyle w:val="FirstParagraph"/>
      </w:pPr>
      <w:r>
        <w:t xml:space="preserve">Malware on the handset or a social-engineering call can take a code after it is delivered (Mulliner et al., 2013; Siadati et al., 2017). Those attacks begin where this paper stops: it asks whether a message should be sent at all, and leaves the protection of a delivered code aside.</w:t>
      </w:r>
    </w:p>
    <w:bookmarkEnd w:id="28"/>
    <w:bookmarkStart w:id="29" w:name="summary-of-the-gap"/>
    <w:p>
      <w:pPr>
        <w:pStyle w:val="Heading2"/>
      </w:pPr>
      <w:r>
        <w:rPr>
          <w:rStyle w:val="SectionNumber"/>
        </w:rPr>
        <w:t xml:space="preserve">2.6</w:t>
      </w:r>
      <w:r>
        <w:tab/>
      </w:r>
      <w:r>
        <w:t xml:space="preserve">Summary of the gap</w:t>
      </w:r>
    </w:p>
    <w:p>
      <w:pPr>
        <w:pStyle w:val="FirstParagraph"/>
      </w:pPr>
      <w:r>
        <w:t xml:space="preserve">Table 1 compares the works closest to this study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This study supplies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33" w:name="baseline-and-threat-model"/>
    <w:p>
      <w:pPr>
        <w:pStyle w:val="Heading1"/>
      </w:pPr>
      <w:r>
        <w:rPr>
          <w:rStyle w:val="SectionNumber"/>
        </w:rPr>
        <w:t xml:space="preserve">3</w:t>
      </w:r>
      <w:r>
        <w:tab/>
      </w:r>
      <w:r>
        <w:t xml:space="preserve">Baseline and threat model</w:t>
      </w:r>
    </w:p>
    <w:bookmarkStart w:id="31" w:name="the-v1-baseline"/>
    <w:p>
      <w:pPr>
        <w:pStyle w:val="Heading2"/>
      </w:pPr>
      <w:r>
        <w:rPr>
          <w:rStyle w:val="SectionNumber"/>
        </w:rPr>
        <w:t xml:space="preserve">3.1</w:t>
      </w:r>
      <w:r>
        <w:tab/>
      </w:r>
      <w:r>
        <w:t xml:space="preserve">The v1 baseline</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2 lists eight assumptions behind these rules and how an attacker within the threat model breaks each; the gaps follow from the rules, not observed abuse.</w:t>
      </w:r>
    </w:p>
    <w:p>
      <w:pPr>
        <w:pStyle w:val="TableCaption"/>
      </w:pPr>
      <w:r>
        <w:rPr>
          <w:bCs/>
          <w:b/>
        </w:rPr>
        <w:t xml:space="preserve">Table 2</w:t>
      </w:r>
      <w:r>
        <w:t xml:space="preserve"> </w:t>
      </w:r>
      <w:r>
        <w:b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bookmarkEnd w:id="31"/>
    <w:bookmarkStart w:id="32" w:name="threat-model"/>
    <w:p>
      <w:pPr>
        <w:pStyle w:val="Heading2"/>
      </w:pPr>
      <w:r>
        <w:rPr>
          <w:rStyle w:val="SectionNumber"/>
        </w:rPr>
        <w:t xml:space="preserve">3.2</w:t>
      </w:r>
      <w:r>
        <w:tab/>
      </w:r>
      <w:r>
        <w:t xml:space="preserve">Threat model</w:t>
      </w:r>
    </w:p>
    <w:p>
      <w:pPr>
        <w:pStyle w:val="FirstParagraph"/>
      </w:pP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32"/>
    <w:bookmarkEnd w:id="33"/>
    <w:bookmarkStart w:id="41"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6.8).</w:t>
      </w:r>
    </w:p>
    <w:bookmarkStart w:id="34"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3, which lists in brackets the gaps of Table 2 each step addresses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5).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3</w:t>
      </w:r>
      <w:r>
        <w:t xml:space="preserve"> </w:t>
      </w:r>
      <w:r>
        <w:br/>
        <w:t xml:space="preserve">Twelve Steps and the v1 Gaps They Address.</w:t>
      </w:r>
    </w:p>
    <w:tbl>
      <w:tblPr>
        <w:tblStyle w:val="Table"/>
        <w:tblW w:w="9072" w:type="dxa"/>
        <w:jc w:val="center"/>
        <w:tblLayout w:type="fixed"/>
        <w:tblCellMar>
          <w:left w:w="57" w:type="dxa"/>
          <w:right w:w="57" w:type="dxa"/>
        </w:tblCellMar>
        <w:tblLook w:firstRow="1" w:lastRow="0" w:firstColumn="0" w:lastColumn="0" w:noHBand="0" w:noVBand="0" w:val="0020"/>
        <w:tblCaption w:val="Table 3 TBLBRK Twelve Steps and the v1 Gaps They Address."/>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34"/>
    <w:bookmarkStart w:id="35"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35"/>
    <w:bookmarkStart w:id="38"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36" w:name="sequential-tests"/>
    <w:p>
      <w:pPr>
        <w:pStyle w:val="Heading3"/>
      </w:pPr>
      <w:r>
        <w:rPr>
          <w:rStyle w:val="SectionNumber"/>
        </w:rPr>
        <w:t xml:space="preserve">4.3.1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36"/>
    <w:bookmarkStart w:id="37" w:name="counters"/>
    <w:p>
      <w:pPr>
        <w:pStyle w:val="Heading3"/>
      </w:pPr>
      <w:r>
        <w:rPr>
          <w:rStyle w:val="SectionNumber"/>
        </w:rPr>
        <w:t xml:space="preserve">4.3.2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37"/>
    <w:bookmarkEnd w:id="38"/>
    <w:bookmarkStart w:id="39"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39"/>
    <w:bookmarkStart w:id="40" w:name="Xf0c979229eb29cff3cf30892b5e34effc1bec32"/>
    <w:p>
      <w:pPr>
        <w:pStyle w:val="Heading2"/>
      </w:pPr>
      <w:r>
        <w:rPr>
          <w:rStyle w:val="SectionNumber"/>
        </w:rPr>
        <w:t xml:space="preserve">4.5</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40"/>
    <w:bookmarkEnd w:id="41"/>
    <w:bookmarkStart w:id="46" w:name="methodology"/>
    <w:p>
      <w:pPr>
        <w:pStyle w:val="Heading1"/>
      </w:pPr>
      <w:r>
        <w:rPr>
          <w:rStyle w:val="SectionNumber"/>
        </w:rPr>
        <w:t xml:space="preserve">5</w:t>
      </w:r>
      <w:r>
        <w:tab/>
      </w:r>
      <w:r>
        <w:t xml:space="preserve">Methodology</w:t>
      </w:r>
    </w:p>
    <w:bookmarkStart w:id="42" w:name="implementation"/>
    <w:p>
      <w:pPr>
        <w:pStyle w:val="Heading2"/>
      </w:pPr>
      <w:r>
        <w:rPr>
          <w:rStyle w:val="SectionNumber"/>
        </w:rPr>
        <w:t xml:space="preserve">5.1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42"/>
    <w:bookmarkStart w:id="43" w:name="simulation"/>
    <w:p>
      <w:pPr>
        <w:pStyle w:val="Heading2"/>
      </w:pPr>
      <w:r>
        <w:rPr>
          <w:rStyle w:val="SectionNumber"/>
        </w:rPr>
        <w:t xml:space="preserve">5.2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4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43"/>
    <w:bookmarkStart w:id="44" w:name="two-protocols-and-their-chronology"/>
    <w:p>
      <w:pPr>
        <w:pStyle w:val="Heading2"/>
      </w:pPr>
      <w:r>
        <w:rPr>
          <w:rStyle w:val="SectionNumber"/>
        </w:rPr>
        <w:t xml:space="preserve">5.3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44"/>
    <w:bookmarkStart w:id="45" w:name="designs-and-metrics"/>
    <w:p>
      <w:pPr>
        <w:pStyle w:val="Heading2"/>
      </w:pPr>
      <w:r>
        <w:rPr>
          <w:rStyle w:val="SectionNumber"/>
        </w:rPr>
        <w:t xml:space="preserve">5.4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4</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4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45"/>
    <w:bookmarkEnd w:id="46"/>
    <w:bookmarkStart w:id="67" w:name="results"/>
    <w:p>
      <w:pPr>
        <w:pStyle w:val="Heading1"/>
      </w:pPr>
      <w:r>
        <w:rPr>
          <w:rStyle w:val="SectionNumber"/>
        </w:rPr>
        <w:t xml:space="preserve">6</w:t>
      </w:r>
      <w:r>
        <w:tab/>
      </w:r>
      <w:r>
        <w:t xml:space="preserve">Results</w:t>
      </w:r>
    </w:p>
    <w:bookmarkStart w:id="47" w:name="rq1-what-is-contained-and-at-what-cost"/>
    <w:p>
      <w:pPr>
        <w:pStyle w:val="Heading2"/>
      </w:pPr>
      <w:r>
        <w:rPr>
          <w:rStyle w:val="SectionNumber"/>
        </w:rPr>
        <w:t xml:space="preserve">6.1</w:t>
      </w:r>
      <w:r>
        <w:tab/>
      </w:r>
      <w:r>
        <w:t xml:space="preserve">RQ1: what is contained, and at what cost</w:t>
      </w:r>
    </w:p>
    <w:p>
      <w:pPr>
        <w:pStyle w:val="TableCaption"/>
      </w:pPr>
      <w:r>
        <w:rPr>
          <w:bCs/>
          <w:b/>
        </w:rPr>
        <w:t xml:space="preserve">Table 5</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5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5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5);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47"/>
    <w:bookmarkStart w:id="48" w:name="rq2-conditional-effects-of-each-layer"/>
    <w:p>
      <w:pPr>
        <w:pStyle w:val="Heading2"/>
      </w:pPr>
      <w:r>
        <w:rPr>
          <w:rStyle w:val="SectionNumber"/>
        </w:rPr>
        <w:t xml:space="preserve">6.2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48"/>
    <w:bookmarkStart w:id="49" w:name="rq3-where-reputation-stops-separating"/>
    <w:p>
      <w:pPr>
        <w:pStyle w:val="Heading2"/>
      </w:pPr>
      <w:r>
        <w:rPr>
          <w:rStyle w:val="SectionNumber"/>
        </w:rPr>
        <w:t xml:space="preserve">6.3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49"/>
    <w:bookmarkStart w:id="50" w:name="Xc07daa08c7787c54feae400d5f00a63594cbc0c"/>
    <w:p>
      <w:pPr>
        <w:pStyle w:val="Heading2"/>
      </w:pPr>
      <w:r>
        <w:rPr>
          <w:rStyle w:val="SectionNumber"/>
        </w:rPr>
        <w:t xml:space="preserve">6.4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50"/>
    <w:bookmarkStart w:id="51" w:name="pumping-against-the-sequential-tests"/>
    <w:p>
      <w:pPr>
        <w:pStyle w:val="Heading2"/>
      </w:pPr>
      <w:r>
        <w:rPr>
          <w:rStyle w:val="SectionNumber"/>
        </w:rPr>
        <w:t xml:space="preserve">6.5</w:t>
      </w:r>
      <w:r>
        <w:tab/>
      </w:r>
      <w:r>
        <w:t xml:space="preserve">Pumping against the sequential tests</w:t>
      </w:r>
    </w:p>
    <w:p>
      <w:pPr>
        <w:pStyle w:val="TableCaption"/>
      </w:pPr>
      <w:r>
        <w:rPr>
          <w:bCs/>
          <w:b/>
        </w:rPr>
        <w:t xml:space="preserve">Table 6</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6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6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51"/>
    <w:bookmarkStart w:id="64" w:name="Xc3b3a0ae0d7ddd12dca67a47167dca0c845034c"/>
    <w:p>
      <w:pPr>
        <w:pStyle w:val="Heading2"/>
      </w:pPr>
      <w:r>
        <w:rPr>
          <w:rStyle w:val="SectionNumber"/>
        </w:rPr>
        <w:t xml:space="preserve">6.6</w:t>
      </w:r>
      <w:r>
        <w:tab/>
      </w:r>
      <w:r>
        <w:t xml:space="preserve">Destination policies: where the counter wins, and where it fails</w:t>
      </w:r>
    </w:p>
    <w:p>
      <w:pPr>
        <w:pStyle w:val="TableCaption"/>
      </w:pPr>
      <w:r>
        <w:rPr>
          <w:bCs/>
          <w:b/>
        </w:rPr>
        <w:t xml:space="preserve">Table 7</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7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58" w:name="at-a-benign-service-target"/>
    <w:p>
      <w:pPr>
        <w:pStyle w:val="Heading3"/>
      </w:pPr>
      <w:r>
        <w:rPr>
          <w:rStyle w:val="SectionNumber"/>
        </w:rPr>
        <w:t xml:space="preserve">6.6.1</w:t>
      </w:r>
      <w:r>
        <w:tab/>
      </w:r>
      <w:r>
        <w:t xml:space="preserve">At a benign service target</w:t>
      </w:r>
    </w:p>
    <w:p>
      <w:pPr>
        <w:pStyle w:val="FirstParagraph"/>
      </w:pPr>
      <w:r>
        <w:t xml:space="preserve">Table 7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2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3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53" name="Picture"/>
            <a:graphic>
              <a:graphicData uri="http://schemas.openxmlformats.org/drawingml/2006/picture">
                <pic:pic>
                  <pic:nvPicPr>
                    <pic:cNvPr descr="figures/fig6_matched_a.png" id="54" name="Picture"/>
                    <pic:cNvPicPr>
                      <a:picLocks noChangeArrowheads="1" noChangeAspect="1"/>
                    </pic:cNvPicPr>
                  </pic:nvPicPr>
                  <pic:blipFill>
                    <a:blip r:embed="rId52"/>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Leakage vs. Legitimate-User Completion Across Settings.</w:t>
      </w:r>
    </w:p>
    <w:p>
      <w:pPr>
        <w:pStyle w:val="CaptionedFigure"/>
      </w:pPr>
      <w:r>
        <w:drawing>
          <wp:inline>
            <wp:extent cx="5334000" cy="4341627"/>
            <wp:effectExtent b="0" l="0" r="0" t="0"/>
            <wp:docPr descr="" title="" id="56" name="Picture"/>
            <a:graphic>
              <a:graphicData uri="http://schemas.openxmlformats.org/drawingml/2006/picture">
                <pic:pic>
                  <pic:nvPicPr>
                    <pic:cNvPr descr="figures/fig6_matched_b.png" id="57" name="Picture"/>
                    <pic:cNvPicPr>
                      <a:picLocks noChangeArrowheads="1" noChangeAspect="1"/>
                    </pic:cNvPicPr>
                  </pic:nvPicPr>
                  <pic:blipFill>
                    <a:blip r:embed="rId55"/>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Leakage Difference from the Default Across Attack Types.</w:t>
      </w:r>
    </w:p>
    <w:p>
      <w:pPr>
        <w:pStyle w:val="TableCaption"/>
      </w:pPr>
      <w:r>
        <w:rPr>
          <w:bCs/>
          <w:b/>
        </w:rPr>
        <w:t xml:space="preserve">Table 8</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8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58"/>
    <w:bookmarkStart w:id="59" w:name="under-a-second-protocol"/>
    <w:p>
      <w:pPr>
        <w:pStyle w:val="Heading3"/>
      </w:pPr>
      <w:r>
        <w:rPr>
          <w:rStyle w:val="SectionNumber"/>
        </w:rPr>
        <w:t xml:space="preserve">6.6.2</w:t>
      </w:r>
      <w:r>
        <w:tab/>
      </w:r>
      <w:r>
        <w:t xml:space="preserve">Under a second protocol</w:t>
      </w:r>
    </w:p>
    <w:p>
      <w:pPr>
        <w:pStyle w:val="FirstParagraph"/>
      </w:pPr>
      <w:r>
        <w:t xml:space="preserve">Table 8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9</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9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10</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10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9 and 10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9 and for all users’ extra harm in Table 10. In Table 9,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10)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59"/>
    <w:bookmarkStart w:id="63" w:name="X30d161eb055c3bdd60ae2ef3ca5d49f7d5c43cc"/>
    <w:p>
      <w:pPr>
        <w:pStyle w:val="Heading3"/>
      </w:pPr>
      <w:r>
        <w:rPr>
          <w:rStyle w:val="SectionNumber"/>
        </w:rPr>
        <w:t xml:space="preserve">6.6.3</w:t>
      </w:r>
      <w:r>
        <w:tab/>
      </w:r>
      <w:r>
        <w:t xml:space="preserve">The operating boundary and adaptive attackers</w:t>
      </w:r>
    </w:p>
    <w:p>
      <w:pPr>
        <w:pStyle w:val="FirstParagraph"/>
      </w:pPr>
      <w:r>
        <w:t xml:space="preserve">Figure 4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4c)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61" name="Picture"/>
            <a:graphic>
              <a:graphicData uri="http://schemas.openxmlformats.org/drawingml/2006/picture">
                <pic:pic>
                  <pic:nvPicPr>
                    <pic:cNvPr descr="figures/fig7_counter_boundary.png" id="62" name="Picture"/>
                    <pic:cNvPicPr>
                      <a:picLocks noChangeArrowheads="1" noChangeAspect="1"/>
                    </pic:cNvPicPr>
                  </pic:nvPicPr>
                  <pic:blipFill>
                    <a:blip r:embed="rId60"/>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63"/>
    <w:bookmarkEnd w:id="64"/>
    <w:bookmarkStart w:id="65" w:name="X1b098a1626e628988816138c90f067235f9035a"/>
    <w:p>
      <w:pPr>
        <w:pStyle w:val="Heading2"/>
      </w:pPr>
      <w:r>
        <w:rPr>
          <w:rStyle w:val="SectionNumber"/>
        </w:rPr>
        <w:t xml:space="preserve">6.7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65"/>
    <w:bookmarkStart w:id="66" w:name="X40c2940f2aaabd24aefaeec784f20c9ca681264"/>
    <w:p>
      <w:pPr>
        <w:pStyle w:val="Heading2"/>
      </w:pPr>
      <w:r>
        <w:rPr>
          <w:rStyle w:val="SectionNumber"/>
        </w:rPr>
        <w:t xml:space="preserve">6.8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66"/>
    <w:bookmarkEnd w:id="67"/>
    <w:bookmarkStart w:id="68" w:name="discussion"/>
    <w:p>
      <w:pPr>
        <w:pStyle w:val="Heading1"/>
      </w:pPr>
      <w:r>
        <w:rPr>
          <w:rStyle w:val="SectionNumber"/>
        </w:rPr>
        <w:t xml:space="preserve">7</w:t>
      </w:r>
      <w:r>
        <w:tab/>
      </w:r>
      <w:r>
        <w:t xml:space="preserve">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68"/>
    <w:bookmarkStart w:id="69" w:name="limitations"/>
    <w:p>
      <w:pPr>
        <w:pStyle w:val="Heading1"/>
      </w:pPr>
      <w:r>
        <w:rPr>
          <w:rStyle w:val="SectionNumber"/>
        </w:rPr>
        <w:t xml:space="preserve">8</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69"/>
    <w:bookmarkStart w:id="70" w:name="conclusions-and-future-work"/>
    <w:p>
      <w:pPr>
        <w:pStyle w:val="Heading1"/>
      </w:pPr>
      <w:r>
        <w:rPr>
          <w:rStyle w:val="SectionNumber"/>
        </w:rPr>
        <w:t xml:space="preserve">9</w:t>
      </w:r>
      <w:r>
        <w:tab/>
      </w:r>
      <w:r>
        <w:t xml:space="preserve">Conclusions and future work</w:t>
      </w:r>
    </w:p>
    <w:p>
      <w:pPr>
        <w:pStyle w:val="FirstParagraph"/>
      </w:pPr>
      <w:r>
        <w:t xml:space="preserve">This study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a twelve-step redesign of a seven-control baseline ran against 25 scripted attacker profiles and six other designs, and the two destination policies were compared under two protocols committed before their runs, with the cost to legitimate users made part of the result.</w:t>
      </w:r>
    </w:p>
    <w:p>
      <w:pPr>
        <w:pStyle w:val="BodyText"/>
      </w:pPr>
      <w:r>
        <w:t xml:space="preserve">On the source side, the design contains the attacks that carry a signature in the request, a single address, a datacenter range, a premium prefix, a walked number sequence or a forged header, at a low cost to simulated users, and the ablation attributes that containment to the adaptive caps, the risk engine, the feedback loop and the block key (RQ1, RQ2). Against a residential attacker that resembles a person, outcome-based reputation stops separating once its failures land on keys that legitimate users share; in the settings run, it separated an attacker only on keys its sends dominated (RQ3). What remains is rationing, whose cost depends on how well the cap tracks the legitimate rate: the deployed job leaked 193 messages with a clean three-week profile and 340 more on a cold start, while the default cap refused 41% of legitimate users (RQ4).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 (RQ5).</w:t>
      </w:r>
    </w:p>
    <w:p>
      <w:pPr>
        <w:pStyle w:val="BodyText"/>
      </w:pPr>
      <w:r>
        <w:t xml:space="preserve">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this paper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70"/>
    <w:bookmarkStart w:id="71"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71"/>
    <w:bookmarkStart w:id="72"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72"/>
    <w:bookmarkStart w:id="73"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73"/>
    <w:bookmarkStart w:id="75"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74">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75"/>
    <w:bookmarkStart w:id="84"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74">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76">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77">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78">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79">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80">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81">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82">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83">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84"/>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2" Type="http://schemas.openxmlformats.org/officeDocument/2006/relationships/image" Target="media/rId52.png"/><Relationship Id="rId55" Type="http://schemas.openxmlformats.org/officeDocument/2006/relationships/image" Target="media/rId55.png"/><Relationship Id="rId60" Type="http://schemas.openxmlformats.org/officeDocument/2006/relationships/image" Target="media/rId60.png"/><Relationship Id="rId21" Type="http://schemas.openxmlformats.org/officeDocument/2006/relationships/image" Target="media/rId21.png"/><Relationship Id="rId78" Type="http://schemas.openxmlformats.org/officeDocument/2006/relationships/hyperlink" Target="https://attack.mitre.org/techniques/T1496/003/" TargetMode="External"/><Relationship Id="rId76" Type="http://schemas.openxmlformats.org/officeDocument/2006/relationships/hyperlink" Target="https://commsrisk.com/elon-musk-says-twitter-lost-60mn-a-year-because-390-telcos-used-bot-accounts-to-pump-a2p-sms/" TargetMode="External"/><Relationship Id="rId77" Type="http://schemas.openxmlformats.org/officeDocument/2006/relationships/hyperlink" Target="https://developers.google.com/identity/sms-retriever/overview" TargetMode="External"/><Relationship Id="rId83" Type="http://schemas.openxmlformats.org/officeDocument/2006/relationships/hyperlink" Target="https://github.com/WICG/WebOTP" TargetMode="External"/><Relationship Id="rId74" Type="http://schemas.openxmlformats.org/officeDocument/2006/relationships/hyperlink" Target="https://github.com/nahmedpsu/OTP-DDOS" TargetMode="External"/><Relationship Id="rId79" Type="http://schemas.openxmlformats.org/officeDocument/2006/relationships/hyperlink" Target="https://www.itl.nist.gov/div898/handbook/pmc/section3/pmc323.htm" TargetMode="External"/><Relationship Id="rId80" Type="http://schemas.openxmlformats.org/officeDocument/2006/relationships/hyperlink" Target="https://www.twilio.com/docs/lookup/v2-api/sms-pumping-risk" TargetMode="External"/><Relationship Id="rId82" Type="http://schemas.openxmlformats.org/officeDocument/2006/relationships/hyperlink" Target="https://www.twilio.com/docs/verify/preventing-toll-fraud/sms-fraud-guard" TargetMode="External"/><Relationship Id="rId81"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78" Type="http://schemas.openxmlformats.org/officeDocument/2006/relationships/hyperlink" Target="https://attack.mitre.org/techniques/T1496/003/" TargetMode="External"/><Relationship Id="rId76" Type="http://schemas.openxmlformats.org/officeDocument/2006/relationships/hyperlink" Target="https://commsrisk.com/elon-musk-says-twitter-lost-60mn-a-year-because-390-telcos-used-bot-accounts-to-pump-a2p-sms/" TargetMode="External"/><Relationship Id="rId77" Type="http://schemas.openxmlformats.org/officeDocument/2006/relationships/hyperlink" Target="https://developers.google.com/identity/sms-retriever/overview" TargetMode="External"/><Relationship Id="rId83" Type="http://schemas.openxmlformats.org/officeDocument/2006/relationships/hyperlink" Target="https://github.com/WICG/WebOTP" TargetMode="External"/><Relationship Id="rId74" Type="http://schemas.openxmlformats.org/officeDocument/2006/relationships/hyperlink" Target="https://github.com/nahmedpsu/OTP-DDOS" TargetMode="External"/><Relationship Id="rId79" Type="http://schemas.openxmlformats.org/officeDocument/2006/relationships/hyperlink" Target="https://www.itl.nist.gov/div898/handbook/pmc/section3/pmc323.htm" TargetMode="External"/><Relationship Id="rId80" Type="http://schemas.openxmlformats.org/officeDocument/2006/relationships/hyperlink" Target="https://www.twilio.com/docs/lookup/v2-api/sms-pumping-risk" TargetMode="External"/><Relationship Id="rId82" Type="http://schemas.openxmlformats.org/officeDocument/2006/relationships/hyperlink" Target="https://www.twilio.com/docs/verify/preventing-toll-fraud/sms-fraud-guard" TargetMode="External"/><Relationship Id="rId81"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2026-10-06T08:20:19Z</dcterms:created>
  <dcterms:modified xsi:type="dcterms:W3CDTF">2026-10-06T08:20:19Z</dcterms:modified>
</cp:coreProperties>
</file>

<file path=docProps/custom.xml><?xml version="1.0" encoding="utf-8"?>
<Properties xmlns="http://schemas.openxmlformats.org/officeDocument/2006/custom-properties" xmlns:vt="http://schemas.openxmlformats.org/officeDocument/2006/docPropsVTypes"/>
</file>