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4 and the attacked-service table are reworked. The incident narrative is removed.</w:t>
      </w:r>
    </w:p>
    <w:p>
      <w:pPr>
        <w:spacing w:after="120"/>
      </w:pPr>
      <w:r>
        <w:rPr>
          <w:b/>
          <w:bCs/>
        </w:rPr>
        <w:t xml:space="preserve">Manuscript.</w:t>
      </w:r>
      <w:r>
        <w:t xml:space="preserve"> Revision 8 has 10,832 words from the title to the references inclusive (10,785 by a whitespace count) and 15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conclusions answer the research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4, Tables 9 and 10 and the Figure 2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7).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6.6 and the conclusion now tell this qualified story, and the paper presents the twelve-step architecture as context for the destination comparison (Sections 6.1–6.4).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6.6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6.6 and 9.</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5.2: results for returning users 'describe trusted identities only'). Section 6.1 gives the model rule behind each contained attack (the datacenter attacker 'scores in the challenge tier and declines challenges'; 'Step 5 refuses the premium range'). The limitations list the generator's favourable assumptions, and Section 7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5.2, 6.1, 7 and 8.</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5.3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5.3.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6.6: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6.6 ('against every attacker but the instant verifier (25, against 15 and 16)').</w:t>
      </w:r>
    </w:p>
    <w:p>
      <w:pPr>
        <w:spacing w:after="200"/>
      </w:pPr>
      <w:r>
        <w:rPr>
          <w:i/>
          <w:iCs/>
        </w:rPr>
        <w:t xml:space="preserve">Where:</w:t>
      </w:r>
      <w:r>
        <w:t xml:space="preserve"> Manuscript Sections 6.6 and 8.</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6.6 draws from the four-carrier table against the per-carrier values (results/round5_analyses.md). Two needed qualifying. Counter and tests together leak least in the sum, but against the instant verifier the tuned sequential setting leaks less (22 against 28); Section 6.6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9)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6.6 (the text introducing Table 9), Section 8;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4.2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4.2;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5.1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5.1.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6.8), 'break-even shares for scripted attackers under assumed prices, not bounds or criminal profit', and the heuristic limited to 'pumpers that solve no challenge and hold no exemption' (Section 7). No attack profile was added.</w:t>
      </w:r>
    </w:p>
    <w:p>
      <w:pPr>
        <w:spacing w:after="200"/>
      </w:pPr>
      <w:r>
        <w:rPr>
          <w:i/>
          <w:iCs/>
        </w:rPr>
        <w:t xml:space="preserve">Where:</w:t>
      </w:r>
      <w:r>
        <w:t xml:space="preserve"> Manuscript Sections 6.8 and 7.</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6.6 ('we ranked only the implemented policies'), and Section 8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6.6 and 8.</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is now 'Baseline and threat model'. It describes v1 by its seven controls and its bulk and test paths, and Table 2, without a Source column, 'lists eight assumptions behind these rules and how an attacker within the threat model breaks each; the gaps follow from the rules, not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Table 2,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2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9 vs Section 6.6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6.5 vs revision 7's Table 6 (now Table 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7)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7.6).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8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5.3; supplementary Table S1 is unchanged. A comparison of related work is new Table 1 and a figure of the request path is new Figure 1, both in Section 2. Revision 7's Tables 1 and 2 are therefore Tables 2 and 3, revision 7's Tables 4 to 8 are Tables 4 to 8, and revision 7's Table 9 is split into Tables 9 (pumper on shared blocks) and 10 (poisoner); revision 7's Figures 1 to 3 are Figures 2 to 4. Equation numbers are unchanged. The sections now follow the journal's article structure: Introduction (1, with the contributions and an outline), Related work (2, in thematic subsections with a comparison table and a figure), Baseline and threat model (3), Design (4, which absorbs revision 7's Section 5, the leakage estimates, as Section 4.5), Methodology (5, revision 7's Section 6), Results (6, revision 7's Section 7), Discussion (7), Limitations (8) and Conclusions and future work (9);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4) was a fixed-position float; it is now a top float like its neighbours. In the compiled PDF, Tables 1 to 10 appear in order on pages 5, 6, 7, 8, 8, 9, 9, 9, 10 and 11, and Figures 1 to 4 on pages 3, 10, 11 and 12, which we checked page by page.</w:t>
      </w:r>
    </w:p>
    <w:p>
      <w:pPr>
        <w:pStyle w:val="ListParagraph"/>
        <w:numPr>
          <w:ilvl w:val="0"/>
          <w:numId w:val="2"/>
        </w:numPr>
        <w:spacing w:after="60"/>
      </w:pPr>
      <w:r>
        <w:rPr>
          <w:b/>
          <w:bCs/>
        </w:rPr>
        <w:t xml:space="preserve">Figure 4 (revision 7's Figure 3).</w:t>
      </w:r>
      <w:r>
        <w:t xml:space="preserve"> Redrawn to print at the full text width with larger text (8 to 9 pt as printed). Measurements have filled markers and solid or dashed lines; the estimates (Equations 2, 3 and 4) have hollow markers and dotted or dash-dot lines. The figure has two separate legends, one for measurements ('mean over five seeds, 95 % interval') and one for estimates, and every axis label says when the scale is logarithmic. The text that introduces the figure adds 'All horizontal axes and the vertical axes of (b, c) are logarithmic'. The warm-start curve is kept.</w:t>
      </w:r>
    </w:p>
    <w:p>
      <w:pPr>
        <w:pStyle w:val="ListParagraph"/>
        <w:numPr>
          <w:ilvl w:val="0"/>
          <w:numId w:val="2"/>
        </w:numPr>
        <w:spacing w:after="60"/>
      </w:pPr>
      <w:r>
        <w:rPr>
          <w:b/>
          <w:bCs/>
        </w:rPr>
        <w:t xml:space="preserve">Table 9 (now Tables 9 and 10).</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9 each interval sits under its mean; Table 10 has one interval column. The paragraph that introduces both tables says which entries carry intervals: in Table 9, leakage and the attacked blocks; in Table 10, all users' extra harm.</w:t>
      </w:r>
    </w:p>
    <w:p>
      <w:pPr>
        <w:pStyle w:val="ListParagraph"/>
        <w:numPr>
          <w:ilvl w:val="0"/>
          <w:numId w:val="2"/>
        </w:numPr>
        <w:spacing w:after="60"/>
      </w:pPr>
      <w:r>
        <w:rPr>
          <w:b/>
          <w:bCs/>
        </w:rPr>
        <w:t xml:space="preserve">Figure 2 (revision 7's 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6 (Q6).</w:t>
      </w:r>
    </w:p>
    <w:p>
      <w:pPr>
        <w:pStyle w:val="ListParagraph"/>
        <w:numPr>
          <w:ilvl w:val="0"/>
          <w:numId w:val="2"/>
        </w:numPr>
        <w:spacing w:after="60"/>
      </w:pPr>
      <w:r>
        <w:rPr>
          <w:b/>
          <w:bCs/>
        </w:rPr>
        <w:t xml:space="preserve">The boundary narrative.</w:t>
      </w:r>
      <w:r>
        <w:t xml:space="preserve"> Tables 9 and 10 are now introduced and discussed before the boundary discussion, which has its own heading (Section 6.6.3). The boundary paragraph, including the 18/18 and 17/18 results, the near-tie qualification and the algebraic-crossing statement, starts on page 10 and runs onto page 11 with no float inside it; the two tables, introduced on page 9, are set at the foot of page 10 and the head of page 11, and Figure 4 follows on page 12.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2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2's interval construction, Figure 3's description (now stated in the text), the attacker row of revision 7's Table 5 (now Table 5)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2026-10-06T08:18:58.015Z</dcterms:created>
  <dcterms:modified xsi:type="dcterms:W3CDTF">2026-10-06T08:18:58.022Z</dcterms:modified>
</cp:coreProperties>
</file>

<file path=docProps/custom.xml><?xml version="1.0" encoding="utf-8"?>
<Properties xmlns="http://schemas.openxmlformats.org/officeDocument/2006/custom-properties" xmlns:vt="http://schemas.openxmlformats.org/officeDocument/2006/docPropsVTypes"/>
</file>