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40"/>
      <w:footerReference w:type="default" r:id="rId41"/>
      <w:pgSz w:w="11906" w:h="16838"/>
      <w:pgMar w:top="1417" w:right="1417" w:bottom="1417" w:left="1417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rPr>
        <w:sz w:val="16"/>
        <w:color w:val="666666"/>
      </w:rPr>
    </w:pPr>
    <w:r>
      <w:rPr>
        <w:sz w:val="16"/>
        <w:color w:val="666666"/>
      </w:rPr>
      <w:t xml:space="preserve">Becaye Sane &amp; Nahoume Diouf — Page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>
  <w:p>
    <w:pPr>
      <w:jc w:val="center"/>
      <w:rPr>
        <w:i/>
        <w:sz w:val="16"/>
        <w:color w:val="666666"/>
      </w:rPr>
    </w:pPr>
    <w:r>
      <w:rPr>
        <w:i/>
        <w:sz w:val="16"/>
        <w:color w:val="666666"/>
      </w:rPr>
      <w:t>L'e-gouvernance et la digitalisation des services administratifs — UCAO Saint Michel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2563EB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563EB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563EB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563EB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2563EB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2563EB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2563EB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2563EB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563EB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2563EB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2563EB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1D4ED8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40" Target="header1.xml" /><Relationship Type="http://schemas.openxmlformats.org/officeDocument/2006/relationships/footer" Id="rId4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