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  <w:jc w:val="center"/>
      </w:pPr>
      <w:r>
        <w:rPr>
          <w:rFonts w:ascii="Arial" w:hAnsi="Arial"/>
          <w:b/>
          <w:color w:val="0B2545"/>
          <w:sz w:val="44"/>
        </w:rPr>
        <w:t>Gestor de Torneos</w:t>
      </w:r>
    </w:p>
    <w:p>
      <w:pPr>
        <w:spacing w:after="120" w:line="269" w:lineRule="auto"/>
        <w:jc w:val="center"/>
      </w:pPr>
      <w:r>
        <w:rPr>
          <w:rFonts w:ascii="Arial" w:hAnsi="Arial"/>
          <w:color w:val="334155"/>
          <w:sz w:val="26"/>
        </w:rPr>
        <w:t>Generador de torneos y configuracion de playoffs</w:t>
      </w:r>
    </w:p>
    <w:p>
      <w:pPr>
        <w:spacing w:after="120" w:line="269" w:lineRule="auto"/>
        <w:jc w:val="center"/>
      </w:pPr>
      <w:r>
        <w:rPr>
          <w:rFonts w:ascii="Arial" w:hAnsi="Arial"/>
          <w:i/>
          <w:color w:val="64748B"/>
          <w:sz w:val="20"/>
        </w:rPr>
        <w:t>Documento de comunicacion para asociaciones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E8F1FF"/>
            <w:tcBorders>
              <w:top w:val="single" w:sz="6" w:space="0" w:color="BFD7FF"/>
              <w:left w:val="single" w:sz="6" w:space="0" w:color="BFD7FF"/>
              <w:bottom w:val="single" w:sz="6" w:space="0" w:color="BFD7FF"/>
              <w:right w:val="single" w:sz="6" w:space="0" w:color="BFD7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B2545"/>
                <w:sz w:val="21"/>
              </w:rPr>
              <w:t>La herramienta permite planificar y simular torneos antes de publicarlos, sin modificar fixtures ni resultados existentes.</w:t>
            </w:r>
          </w:p>
        </w:tc>
      </w:tr>
    </w:tbl>
    <w:p>
      <w:pPr>
        <w:spacing w:after="120" w:line="269" w:lineRule="auto"/>
      </w:pPr>
    </w:p>
    <w:p>
      <w:pPr>
        <w:pStyle w:val="Heading1"/>
        <w:spacing w:after="120" w:line="269" w:lineRule="auto"/>
      </w:pPr>
      <w:r>
        <w:t>1. Objetivo</w:t>
      </w:r>
    </w:p>
    <w:p>
      <w:pPr>
        <w:spacing w:after="120" w:line="269" w:lineRule="auto"/>
      </w:pPr>
      <w:r>
        <w:t>El modulo de generacion de torneos busca ordenar la planificacion deportiva de cada competencia: equipos participantes, ruedas, calendario, fechas bloqueadas, formato de playoffs, cantidad de partidos por ronda y reglas de ascenso, descenso o repechaje cuando correspondan.</w:t>
      </w:r>
    </w:p>
    <w:p>
      <w:pPr>
        <w:spacing w:after="120" w:line="269" w:lineRule="auto"/>
      </w:pPr>
      <w:r>
        <w:t>La premisa operativa es trabajar primero en modo simulacion. La asociacion puede revisar alternativas, detectar conflictos de calendario y comunicar el formato antes de publicar oficialmente el fixture.</w:t>
      </w:r>
    </w:p>
    <w:p>
      <w:pPr>
        <w:pStyle w:val="Heading1"/>
        <w:spacing w:after="120" w:line="269" w:lineRule="auto"/>
      </w:pPr>
      <w:r>
        <w:t>2. Configuracion flexible por torneo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Categoria o competencia a organizar.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Cantidad de ruedas de fase regular.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Dia habitual de juego, fecha de inicio y fecha limite.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Fechas bloqueadas por feriados, eventos, recesos o disponibilidad de canchas.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Formato de playoffs: Top 4, Top 6, Top 8 o sin playoffs.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Cantidad de partidos por llave en cuartos/repechaje, semifinales y final.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Fechas manuales para cada instancia de playoff.</w:t>
      </w:r>
    </w:p>
    <w:p>
      <w:pPr>
        <w:spacing w:after="120" w:line="269" w:lineRule="auto"/>
        <w:ind w:left="360" w:hanging="216"/>
      </w:pPr>
      <w:r>
        <w:rPr>
          <w:b/>
        </w:rPr>
        <w:t xml:space="preserve">- </w:t>
      </w:r>
      <w:r>
        <w:t>Reglas especiales de ascenso, descenso y promocion cuando aplique.</w:t>
      </w:r>
    </w:p>
    <w:p>
      <w:pPr>
        <w:pStyle w:val="Heading1"/>
        <w:spacing w:after="120" w:line="269" w:lineRule="auto"/>
      </w:pPr>
      <w:r>
        <w:t>3. Playoffs configurables</w:t>
      </w:r>
    </w:p>
    <w:p>
      <w:pPr>
        <w:spacing w:after="120" w:line="269" w:lineRule="auto"/>
      </w:pPr>
      <w:r>
        <w:t>Los playoffs no quedan predeterminados por categoria. Cada torneo puede definir su propio formato y la cantidad de partidos por ronda, de acuerdo con lo que resuelva la organizacion.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DEBFF"/>
          </w:tcPr>
          <w:p>
            <w:r>
              <w:rPr>
                <w:rFonts w:ascii="Arial" w:hAnsi="Arial"/>
                <w:b/>
              </w:rPr>
              <w:t>Ronda</w:t>
            </w:r>
          </w:p>
        </w:tc>
        <w:tc>
          <w:tcPr>
            <w:tcW w:type="dxa" w:w="3264"/>
            <w:shd w:fill="DDEBFF"/>
          </w:tcPr>
          <w:p>
            <w:r>
              <w:rPr>
                <w:rFonts w:ascii="Arial" w:hAnsi="Arial"/>
                <w:b/>
              </w:rPr>
              <w:t>Configuracion posible</w:t>
            </w:r>
          </w:p>
        </w:tc>
        <w:tc>
          <w:tcPr>
            <w:tcW w:type="dxa" w:w="3264"/>
            <w:shd w:fill="DDEBFF"/>
          </w:tcPr>
          <w:p>
            <w:r>
              <w:rPr>
                <w:rFonts w:ascii="Arial" w:hAnsi="Arial"/>
                <w:b/>
              </w:rPr>
              <w:t>Uso esperado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Cuartos / repechaje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1, 2 o 3 partidos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Definir cruces iniciales o reclasificacion.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Semifinales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1, 2 o 3 partidos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Permitir series simples o ida/vuelta.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Final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1 partido, 2 partidos o mejor de 3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9"/>
              </w:rPr>
              <w:t>Adaptar la definicion a calendario y reglamento.</w:t>
            </w:r>
          </w:p>
        </w:tc>
      </w:tr>
    </w:tbl>
    <w:p>
      <w:pPr>
        <w:pStyle w:val="Heading1"/>
        <w:spacing w:after="120" w:line="269" w:lineRule="auto"/>
      </w:pPr>
      <w:r>
        <w:t>4. Simulacion antes de publicar</w:t>
      </w:r>
    </w:p>
    <w:p>
      <w:pPr>
        <w:spacing w:after="120" w:line="269" w:lineRule="auto"/>
      </w:pPr>
      <w:r>
        <w:t>El generador muestra una vista previa de fixture y una llave base de playoffs segun la configuracion elegida. Esta vista es informativa: no crea partidos oficiales ni altera la base online hasta que se implemente y autorice la etapa de publicacion.</w:t>
      </w:r>
    </w:p>
    <w:p>
      <w:pPr>
        <w:pStyle w:val="Heading1"/>
        <w:spacing w:after="120" w:line="269" w:lineRule="auto"/>
      </w:pPr>
      <w:r>
        <w:t>5. Criterio operativo recomendado</w:t>
      </w:r>
    </w:p>
    <w:p>
      <w:pPr>
        <w:spacing w:after="120" w:line="269" w:lineRule="auto"/>
        <w:ind w:left="360"/>
      </w:pPr>
      <w:r>
        <w:rPr>
          <w:b/>
        </w:rPr>
        <w:t xml:space="preserve">1. </w:t>
      </w:r>
      <w:r>
        <w:t>Definir participantes y formato de fase regular.</w:t>
      </w:r>
    </w:p>
    <w:p>
      <w:pPr>
        <w:spacing w:after="120" w:line="269" w:lineRule="auto"/>
        <w:ind w:left="360"/>
      </w:pPr>
      <w:r>
        <w:rPr>
          <w:b/>
        </w:rPr>
        <w:t xml:space="preserve">2. </w:t>
      </w:r>
      <w:r>
        <w:t>Cargar fechas bloqueadas y fecha limite del torneo.</w:t>
      </w:r>
    </w:p>
    <w:p>
      <w:pPr>
        <w:spacing w:after="120" w:line="269" w:lineRule="auto"/>
        <w:ind w:left="360"/>
      </w:pPr>
      <w:r>
        <w:rPr>
          <w:b/>
        </w:rPr>
        <w:t xml:space="preserve">3. </w:t>
      </w:r>
      <w:r>
        <w:t>Elegir formato de playoffs y cantidad de partidos por ronda.</w:t>
      </w:r>
    </w:p>
    <w:p>
      <w:pPr>
        <w:spacing w:after="120" w:line="269" w:lineRule="auto"/>
        <w:ind w:left="360"/>
      </w:pPr>
      <w:r>
        <w:rPr>
          <w:b/>
        </w:rPr>
        <w:t xml:space="preserve">4. </w:t>
      </w:r>
      <w:r>
        <w:t>Simular el torneo y revisar conflictos o margen calendario.</w:t>
      </w:r>
    </w:p>
    <w:p>
      <w:pPr>
        <w:spacing w:after="120" w:line="269" w:lineRule="auto"/>
        <w:ind w:left="360"/>
      </w:pPr>
      <w:r>
        <w:rPr>
          <w:b/>
        </w:rPr>
        <w:t xml:space="preserve">5. </w:t>
      </w:r>
      <w:r>
        <w:t>Comunicar el formato aprobado a delegados y asociacion.</w:t>
      </w:r>
    </w:p>
    <w:p>
      <w:pPr>
        <w:spacing w:after="120" w:line="269" w:lineRule="auto"/>
        <w:ind w:left="360"/>
      </w:pPr>
      <w:r>
        <w:rPr>
          <w:b/>
        </w:rPr>
        <w:t xml:space="preserve">6. </w:t>
      </w:r>
      <w:r>
        <w:t>Reci?n luego publicar o crear fixture oficial.</w:t>
      </w:r>
    </w:p>
    <w:p>
      <w:pPr>
        <w:pStyle w:val="Heading1"/>
        <w:spacing w:after="120" w:line="269" w:lineRule="auto"/>
      </w:pPr>
      <w:r>
        <w:t>6. Alcance actual y proximo paso</w:t>
      </w:r>
    </w:p>
    <w:p>
      <w:pPr>
        <w:spacing w:after="120" w:line="269" w:lineRule="auto"/>
      </w:pPr>
      <w:r>
        <w:t>Estado actual: simulacion configurable, lectura de equipos existentes, diagnostico de calendario, vista previa de fixture y playoffs. No modifica datos reales.</w:t>
      </w:r>
    </w:p>
    <w:p>
      <w:pPr>
        <w:spacing w:after="120" w:line="269" w:lineRule="auto"/>
      </w:pPr>
      <w:r>
        <w:t>Proximo paso sugerido: incorporar una instancia de revision y aprobacion para convertir una simulacion validada en fixture oficial, con confirmacion administrativa antes de escribir en la base de datos.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Gestor de Torneos -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