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¡BUENAS PRÁCTICAS DE PROGRAMACIÓN EN TYPESCRIPT A TENER EN CUENTA!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b w:val="1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92929"/>
          <w:sz w:val="32"/>
          <w:szCs w:val="32"/>
          <w:highlight w:val="white"/>
          <w:rtl w:val="0"/>
        </w:rPr>
        <w:t xml:space="preserve">“Deja el código mejor de cómo lo encontraste”</w:t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b w:val="1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  <w:b w:val="1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292929"/>
          <w:sz w:val="32"/>
          <w:szCs w:val="32"/>
          <w:highlight w:val="white"/>
          <w:rtl w:val="0"/>
        </w:rPr>
        <w:t xml:space="preserve">“El código se escribe una vez y se lee cientos de veces”</w:t>
      </w:r>
    </w:p>
    <w:p w:rsidR="00000000" w:rsidDel="00000000" w:rsidP="00000000" w:rsidRDefault="00000000" w:rsidRPr="00000000" w14:paraId="00000008">
      <w:pPr>
        <w:jc w:val="center"/>
        <w:rPr>
          <w:rFonts w:ascii="Georgia" w:cs="Georgia" w:eastAsia="Georgia" w:hAnsi="Georgia"/>
          <w:b w:val="1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Georgia" w:cs="Georgia" w:eastAsia="Georgia" w:hAnsi="Georgia"/>
          <w:b w:val="1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b w:val="1"/>
          <w:i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 xml:space="preserve">Es importante respetar buenas prácticas de programación para lograr un “código limpio” que facilite la interpretación, extensión y mejora del mismo. Para que esto sea posible deben seguirse ciertas reglas, convenciones y patrones.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  <w:rtl w:val="0"/>
        </w:rPr>
        <w:tab/>
        <w:t xml:space="preserve">Para introducirse en el tema, recomendamos leer la siguiente publicación a modo de introducción: </w:t>
      </w:r>
    </w:p>
    <w:p w:rsidR="00000000" w:rsidDel="00000000" w:rsidP="00000000" w:rsidRDefault="00000000" w:rsidRPr="00000000" w14:paraId="00000010">
      <w:pPr>
        <w:ind w:firstLine="720"/>
        <w:rPr>
          <w:rFonts w:ascii="Georgia" w:cs="Georgia" w:eastAsia="Georgia" w:hAnsi="Georgia"/>
          <w:sz w:val="28"/>
          <w:szCs w:val="28"/>
          <w:highlight w:val="white"/>
          <w:u w:val="single"/>
        </w:rPr>
      </w:pPr>
      <w:hyperlink r:id="rId6">
        <w:r w:rsidDel="00000000" w:rsidR="00000000" w:rsidRPr="00000000">
          <w:rPr>
            <w:rFonts w:ascii="Georgia" w:cs="Georgia" w:eastAsia="Georgia" w:hAnsi="Georgia"/>
            <w:sz w:val="28"/>
            <w:szCs w:val="28"/>
            <w:highlight w:val="white"/>
            <w:u w:val="single"/>
            <w:rtl w:val="0"/>
          </w:rPr>
          <w:t xml:space="preserve">https://medium.com/@davidenq/gu%C3%ADa-de-estilo-convenciones-y-buenas-pr%C3%A1cticas-de-desarrollo-con-javascript-d2e9ef80d63b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Para un estudio más extenso recomendamos leer el libro “Clean Code” del reconocido ingeniero de software Robert C. Martin, coautor también del manifiesto ágil.</w:t>
      </w:r>
    </w:p>
    <w:p w:rsidR="00000000" w:rsidDel="00000000" w:rsidP="00000000" w:rsidRDefault="00000000" w:rsidRPr="00000000" w14:paraId="00000013">
      <w:pPr>
        <w:ind w:firstLine="72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 xml:space="preserve">Finalmente para facilitar el control de buenas prácticas se utiliza un analizador de código estático muy utilizado llamado TSLint. Este software es fácilmente instalable y configurable, además se integra con una amplia gama de IDEs y ya viene con varias configuraciones disponibles que cumplen con las convenciones y reglas antes mencionadas.</w:t>
      </w:r>
    </w:p>
    <w:p w:rsidR="00000000" w:rsidDel="00000000" w:rsidP="00000000" w:rsidRDefault="00000000" w:rsidRPr="00000000" w14:paraId="00000015">
      <w:pPr>
        <w:ind w:firstLine="72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highlight w:val="white"/>
          <w:rtl w:val="0"/>
        </w:rPr>
        <w:tab/>
        <w:t xml:space="preserve">Para más información acerca de TSLint revisar su propia web y documentación: </w:t>
      </w:r>
    </w:p>
    <w:p w:rsidR="00000000" w:rsidDel="00000000" w:rsidP="00000000" w:rsidRDefault="00000000" w:rsidRPr="00000000" w14:paraId="00000017">
      <w:pPr>
        <w:ind w:left="0" w:firstLine="720"/>
        <w:rPr>
          <w:rFonts w:ascii="Georgia" w:cs="Georgia" w:eastAsia="Georgia" w:hAnsi="Georgia"/>
          <w:sz w:val="28"/>
          <w:szCs w:val="28"/>
          <w:highlight w:val="white"/>
        </w:rPr>
      </w:pPr>
      <w:hyperlink r:id="rId7">
        <w:r w:rsidDel="00000000" w:rsidR="00000000" w:rsidRPr="00000000">
          <w:rPr>
            <w:rFonts w:ascii="Georgia" w:cs="Georgia" w:eastAsia="Georgia" w:hAnsi="Georgia"/>
            <w:sz w:val="28"/>
            <w:szCs w:val="28"/>
            <w:highlight w:val="white"/>
            <w:u w:val="single"/>
            <w:rtl w:val="0"/>
          </w:rPr>
          <w:t xml:space="preserve">https://palantir.github.io/tslint/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Georgia" w:cs="Georgia" w:eastAsia="Georgia" w:hAnsi="Georgi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davidenq/gu%C3%ADa-de-estilo-convenciones-y-buenas-pr%C3%A1cticas-de-desarrollo-con-javascript-d2e9ef80d63b" TargetMode="External"/><Relationship Id="rId7" Type="http://schemas.openxmlformats.org/officeDocument/2006/relationships/hyperlink" Target="https://palantir.github.io/tsli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