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9250" w14:textId="77777777" w:rsidR="00E02BA0" w:rsidRDefault="00E02BA0">
      <w:pPr>
        <w:spacing w:before="600"/>
      </w:pPr>
    </w:p>
    <w:p w14:paraId="514FDFB4" w14:textId="77777777" w:rsidR="00E02BA0" w:rsidRDefault="00000000">
      <w:pPr>
        <w:spacing w:after="60"/>
        <w:jc w:val="center"/>
      </w:pPr>
      <w:r>
        <w:rPr>
          <w:b/>
          <w:bCs/>
          <w:caps/>
          <w:color w:val="1E2761"/>
          <w:sz w:val="44"/>
          <w:szCs w:val="44"/>
        </w:rPr>
        <w:t>BIG DATA Y MACHINE LEARNING</w:t>
      </w:r>
    </w:p>
    <w:p w14:paraId="521114DE" w14:textId="77777777" w:rsidR="00E02BA0" w:rsidRDefault="00000000">
      <w:pPr>
        <w:spacing w:before="80" w:after="30"/>
        <w:jc w:val="center"/>
      </w:pPr>
      <w:r>
        <w:rPr>
          <w:b/>
          <w:bCs/>
          <w:sz w:val="32"/>
          <w:szCs w:val="32"/>
        </w:rPr>
        <w:t>Trabajo Práctico 1</w:t>
      </w:r>
    </w:p>
    <w:p w14:paraId="594CB75F" w14:textId="77777777" w:rsidR="00207A39" w:rsidRDefault="00207A39">
      <w:pPr>
        <w:spacing w:after="80"/>
        <w:jc w:val="center"/>
        <w:rPr>
          <w:i/>
          <w:iCs/>
          <w:color w:val="1E2761"/>
          <w:sz w:val="27"/>
          <w:szCs w:val="27"/>
        </w:rPr>
      </w:pPr>
    </w:p>
    <w:p w14:paraId="745A74C0" w14:textId="7212E0F3" w:rsidR="00E02BA0" w:rsidRDefault="00000000">
      <w:pPr>
        <w:spacing w:after="80"/>
        <w:jc w:val="center"/>
      </w:pPr>
      <w:r>
        <w:rPr>
          <w:i/>
          <w:iCs/>
          <w:color w:val="1E2761"/>
          <w:sz w:val="27"/>
          <w:szCs w:val="27"/>
        </w:rPr>
        <w:t xml:space="preserve">Jugando con </w:t>
      </w:r>
      <w:proofErr w:type="spellStart"/>
      <w:r>
        <w:rPr>
          <w:i/>
          <w:iCs/>
          <w:color w:val="1E2761"/>
          <w:sz w:val="27"/>
          <w:szCs w:val="27"/>
        </w:rPr>
        <w:t>APIs</w:t>
      </w:r>
      <w:proofErr w:type="spellEnd"/>
      <w:r>
        <w:rPr>
          <w:i/>
          <w:iCs/>
          <w:color w:val="1E2761"/>
          <w:sz w:val="27"/>
          <w:szCs w:val="27"/>
        </w:rPr>
        <w:t xml:space="preserve"> y Web </w:t>
      </w:r>
      <w:proofErr w:type="spellStart"/>
      <w:r>
        <w:rPr>
          <w:i/>
          <w:iCs/>
          <w:color w:val="1E2761"/>
          <w:sz w:val="27"/>
          <w:szCs w:val="27"/>
        </w:rPr>
        <w:t>Scraping</w:t>
      </w:r>
      <w:proofErr w:type="spellEnd"/>
    </w:p>
    <w:p w14:paraId="4D3DCF94" w14:textId="77777777" w:rsidR="00E02BA0" w:rsidRDefault="00E02BA0">
      <w:pPr>
        <w:spacing w:before="300"/>
      </w:pPr>
    </w:p>
    <w:p w14:paraId="6167A7CF" w14:textId="373939F7" w:rsidR="00E02BA0" w:rsidRDefault="00000000">
      <w:pPr>
        <w:jc w:val="center"/>
        <w:rPr>
          <w:i/>
          <w:iCs/>
          <w:color w:val="64748B"/>
        </w:rPr>
      </w:pPr>
      <w:r>
        <w:rPr>
          <w:i/>
          <w:iCs/>
          <w:color w:val="64748B"/>
        </w:rPr>
        <w:t xml:space="preserve">Repositorio GitHub: </w:t>
      </w:r>
      <w:hyperlink r:id="rId5" w:history="1">
        <w:r w:rsidR="00207A39" w:rsidRPr="005368AE">
          <w:rPr>
            <w:rStyle w:val="Hipervnculo"/>
            <w:i/>
            <w:iCs/>
          </w:rPr>
          <w:t>https://github.com/nahuelvp/BigDataUba-Grupo-1.git</w:t>
        </w:r>
      </w:hyperlink>
    </w:p>
    <w:p w14:paraId="1A87A4E7" w14:textId="77777777" w:rsidR="00207A39" w:rsidRDefault="00207A39">
      <w:pPr>
        <w:jc w:val="center"/>
        <w:rPr>
          <w:i/>
          <w:iCs/>
          <w:color w:val="64748B"/>
        </w:rPr>
      </w:pPr>
    </w:p>
    <w:p w14:paraId="5CDE62C6" w14:textId="77777777" w:rsidR="00207A39" w:rsidRDefault="00207A39">
      <w:pPr>
        <w:jc w:val="center"/>
        <w:rPr>
          <w:i/>
          <w:iCs/>
          <w:color w:val="64748B"/>
        </w:rPr>
      </w:pPr>
      <w:r>
        <w:rPr>
          <w:i/>
          <w:iCs/>
          <w:color w:val="64748B"/>
        </w:rPr>
        <w:t xml:space="preserve">Integrantes: </w:t>
      </w:r>
    </w:p>
    <w:p w14:paraId="2775C554" w14:textId="4CF5B9AD" w:rsidR="00207A39" w:rsidRDefault="00207A39">
      <w:pPr>
        <w:jc w:val="center"/>
        <w:rPr>
          <w:i/>
          <w:iCs/>
          <w:color w:val="64748B"/>
        </w:rPr>
      </w:pPr>
      <w:r>
        <w:rPr>
          <w:i/>
          <w:iCs/>
          <w:color w:val="64748B"/>
        </w:rPr>
        <w:t xml:space="preserve">Juan </w:t>
      </w:r>
      <w:r w:rsidR="007119EC">
        <w:rPr>
          <w:i/>
          <w:iCs/>
          <w:color w:val="64748B"/>
        </w:rPr>
        <w:t>Cruz Pombo</w:t>
      </w:r>
    </w:p>
    <w:p w14:paraId="6F8CB25D" w14:textId="09AE7816" w:rsidR="00207A39" w:rsidRDefault="00207A39">
      <w:pPr>
        <w:jc w:val="center"/>
      </w:pPr>
      <w:r>
        <w:rPr>
          <w:i/>
          <w:iCs/>
          <w:color w:val="64748B"/>
        </w:rPr>
        <w:t xml:space="preserve">Nahuel Vasquez </w:t>
      </w:r>
    </w:p>
    <w:p w14:paraId="609D8FE2" w14:textId="77777777" w:rsidR="00E02BA0" w:rsidRDefault="00000000">
      <w:r>
        <w:br w:type="page"/>
      </w:r>
    </w:p>
    <w:p w14:paraId="0C972D9D" w14:textId="5526CF1F" w:rsidR="00E02BA0" w:rsidRDefault="00000000" w:rsidP="00207A39">
      <w:pPr>
        <w:pStyle w:val="Ttulo1"/>
      </w:pPr>
      <w:r>
        <w:lastRenderedPageBreak/>
        <w:t xml:space="preserve">PARTE A </w:t>
      </w:r>
      <w:r w:rsidR="00207A39">
        <w:t>:</w:t>
      </w:r>
      <w:r>
        <w:t xml:space="preserve"> </w:t>
      </w:r>
      <w:proofErr w:type="spellStart"/>
      <w:r>
        <w:t>APIs</w:t>
      </w:r>
      <w:proofErr w:type="spellEnd"/>
      <w:r>
        <w:t xml:space="preserve"> y Visualización</w:t>
      </w:r>
    </w:p>
    <w:p w14:paraId="1EBDA5A5" w14:textId="27F1322F" w:rsidR="00E02BA0" w:rsidRDefault="00000000">
      <w:pPr>
        <w:pStyle w:val="Ttulo2"/>
      </w:pPr>
      <w:r>
        <w:t>Ejercicio 1</w:t>
      </w:r>
      <w:r w:rsidR="00207A39">
        <w:t xml:space="preserve">: </w:t>
      </w:r>
      <w:r>
        <w:t xml:space="preserve">Jugando con </w:t>
      </w:r>
      <w:proofErr w:type="spellStart"/>
      <w:r>
        <w:t>APIs</w:t>
      </w:r>
      <w:proofErr w:type="spellEnd"/>
    </w:p>
    <w:p w14:paraId="4AE22F45" w14:textId="522B7B6F" w:rsidR="00E02BA0" w:rsidRDefault="004429B3">
      <w:pPr>
        <w:spacing w:before="60"/>
      </w:pPr>
      <w:r>
        <w:t>Se utilizó la API de series de Tiempo de la República Argentina (</w:t>
      </w:r>
      <w:r w:rsidRPr="004429B3">
        <w:t>apis.datos.gob.ar/series)</w:t>
      </w:r>
      <w:r>
        <w:t xml:space="preserve"> para obtener dos series anuales del Ministerio de Justicia y Derechos Humamos de la Nación. Las series seleccionadas pertenecen al sistema penitenciario federal y permiten analizar conjuntamente la evolución del encarcelamiento y la situación procesal de la población detenida:</w:t>
      </w:r>
    </w:p>
    <w:p w14:paraId="623C464D" w14:textId="77777777" w:rsidR="00E02BA0" w:rsidRDefault="00000000">
      <w:pPr>
        <w:pStyle w:val="Prrafodelista"/>
        <w:numPr>
          <w:ilvl w:val="0"/>
          <w:numId w:val="2"/>
        </w:numPr>
        <w:spacing w:before="40" w:after="40"/>
      </w:pPr>
      <w:r>
        <w:rPr>
          <w:b/>
          <w:bCs/>
        </w:rPr>
        <w:t>Población privada de libertad</w:t>
      </w:r>
      <w:r>
        <w:t>: cantidad de personas internadas en unidades penitenciarias del SPF (serie anual).</w:t>
      </w:r>
    </w:p>
    <w:p w14:paraId="702D6287" w14:textId="071A63FA" w:rsidR="00E02BA0" w:rsidRDefault="00000000" w:rsidP="004429B3">
      <w:pPr>
        <w:pStyle w:val="Prrafodelista"/>
        <w:numPr>
          <w:ilvl w:val="0"/>
          <w:numId w:val="2"/>
        </w:numPr>
        <w:spacing w:before="60" w:after="40"/>
      </w:pPr>
      <w:r w:rsidRPr="004429B3">
        <w:rPr>
          <w:b/>
          <w:bCs/>
        </w:rPr>
        <w:t>P</w:t>
      </w:r>
      <w:r w:rsidR="004429B3">
        <w:rPr>
          <w:b/>
          <w:bCs/>
        </w:rPr>
        <w:t xml:space="preserve">rocesados/as sin condena: </w:t>
      </w:r>
      <w:r w:rsidR="004429B3" w:rsidRPr="004429B3">
        <w:t>ca</w:t>
      </w:r>
      <w:r w:rsidR="004429B3">
        <w:t>ntidad de personas detenidas en el SPF que aún no cuentan con condena firme (serie anual)</w:t>
      </w:r>
    </w:p>
    <w:p w14:paraId="17F502EA" w14:textId="37EA4B72" w:rsidR="00E02BA0" w:rsidRDefault="004429B3">
      <w:pPr>
        <w:spacing w:before="140"/>
      </w:pPr>
      <w:r>
        <w:t xml:space="preserve">La solicitud se realizó mediante el </w:t>
      </w:r>
      <w:proofErr w:type="spellStart"/>
      <w:r>
        <w:t>endpoint</w:t>
      </w:r>
      <w:proofErr w:type="spellEnd"/>
      <w:r>
        <w:t xml:space="preserve"> /</w:t>
      </w:r>
      <w:r w:rsidR="000970B5">
        <w:t xml:space="preserve">series/ de la API, especificando los </w:t>
      </w:r>
      <w:proofErr w:type="spellStart"/>
      <w:r w:rsidR="000970B5">
        <w:t>IDs</w:t>
      </w:r>
      <w:proofErr w:type="spellEnd"/>
      <w:r w:rsidR="000970B5">
        <w:t xml:space="preserve"> de ambas series separados por coma y utilizando los parámetros </w:t>
      </w:r>
      <w:proofErr w:type="spellStart"/>
      <w:r w:rsidR="000970B5">
        <w:t>collapse</w:t>
      </w:r>
      <w:proofErr w:type="spellEnd"/>
      <w:r w:rsidR="000970B5">
        <w:t>=</w:t>
      </w:r>
      <w:proofErr w:type="spellStart"/>
      <w:r w:rsidR="000970B5">
        <w:t>year</w:t>
      </w:r>
      <w:proofErr w:type="spellEnd"/>
      <w:r w:rsidR="000970B5">
        <w:t xml:space="preserve"> y </w:t>
      </w:r>
      <w:proofErr w:type="spellStart"/>
      <w:r w:rsidR="000970B5" w:rsidRPr="000970B5">
        <w:t>collapse_aggregation</w:t>
      </w:r>
      <w:proofErr w:type="spellEnd"/>
      <w:r w:rsidR="000970B5" w:rsidRPr="000970B5">
        <w:t>=</w:t>
      </w:r>
      <w:proofErr w:type="spellStart"/>
      <w:r w:rsidR="000970B5" w:rsidRPr="000970B5">
        <w:t>avg</w:t>
      </w:r>
      <w:proofErr w:type="spellEnd"/>
      <w:r w:rsidR="000970B5" w:rsidRPr="000970B5">
        <w:t xml:space="preserve"> para construir valores anuales promediados. Los identificadores de las series fueron obtenidos a partir del explorador de series disponible en datos.gob.ar, filtrando por organismo y temática</w:t>
      </w:r>
    </w:p>
    <w:p w14:paraId="2D7D8FCB" w14:textId="5DDBEB9F" w:rsidR="00E02BA0" w:rsidRDefault="00000000">
      <w:pPr>
        <w:pStyle w:val="Ttulo2"/>
      </w:pPr>
      <w:r>
        <w:t>Ejercicio 2</w:t>
      </w:r>
      <w:r w:rsidR="00207A39">
        <w:t>:</w:t>
      </w:r>
      <w:r>
        <w:t xml:space="preserve"> Estadística Descriptiva</w:t>
      </w:r>
    </w:p>
    <w:p w14:paraId="45022ED8" w14:textId="77777777" w:rsidR="00E02BA0" w:rsidRDefault="00000000">
      <w:pPr>
        <w:spacing w:before="60" w:after="60" w:line="280" w:lineRule="auto"/>
        <w:jc w:val="both"/>
      </w:pPr>
      <w:r>
        <w:t>La Tabla 1 presenta las estadísticas descriptivas de las dos series anuales del Ministerio de Justicia y Derechos Humanos de la Nación, calculadas con el método .describe() de pandas sobre el período completo disponible en la API.</w:t>
      </w:r>
    </w:p>
    <w:p w14:paraId="7FCBF4F9" w14:textId="77777777" w:rsidR="00E02BA0" w:rsidRDefault="00E02BA0">
      <w:pPr>
        <w:spacing w:before="80"/>
      </w:pPr>
    </w:p>
    <w:p w14:paraId="4E81F2DC" w14:textId="77777777" w:rsidR="00E02BA0" w:rsidRDefault="00000000">
      <w:pPr>
        <w:spacing w:before="40" w:after="20"/>
        <w:jc w:val="center"/>
      </w:pPr>
      <w:r>
        <w:rPr>
          <w:b/>
          <w:bCs/>
          <w:color w:val="1E2761"/>
          <w:sz w:val="20"/>
          <w:szCs w:val="20"/>
        </w:rPr>
        <w:t>Tabla 1: Estadísticas Descriptivas — Ministerio de Justicia y DDHH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E02BA0" w14:paraId="27B52B18"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E2761"/>
            <w:tcMar>
              <w:top w:w="100" w:type="dxa"/>
              <w:left w:w="130" w:type="dxa"/>
              <w:bottom w:w="100" w:type="dxa"/>
              <w:right w:w="130" w:type="dxa"/>
            </w:tcMar>
          </w:tcPr>
          <w:p w14:paraId="6A4ECC3E" w14:textId="77777777" w:rsidR="00E02BA0" w:rsidRDefault="00000000">
            <w:pPr>
              <w:jc w:val="center"/>
            </w:pPr>
            <w:r>
              <w:rPr>
                <w:b/>
                <w:bCs/>
                <w:color w:val="FFFFFF"/>
                <w:sz w:val="20"/>
                <w:szCs w:val="20"/>
              </w:rPr>
              <w:t>Estadístico</w:t>
            </w:r>
          </w:p>
        </w:tc>
        <w:tc>
          <w:tcPr>
            <w:tcW w:w="3400" w:type="dxa"/>
            <w:tcBorders>
              <w:top w:val="single" w:sz="1" w:space="0" w:color="CBD5E1"/>
              <w:left w:val="single" w:sz="1" w:space="0" w:color="CBD5E1"/>
              <w:bottom w:val="single" w:sz="1" w:space="0" w:color="CBD5E1"/>
              <w:right w:val="single" w:sz="1" w:space="0" w:color="CBD5E1"/>
            </w:tcBorders>
            <w:shd w:val="clear" w:color="auto" w:fill="1E2761"/>
            <w:tcMar>
              <w:top w:w="100" w:type="dxa"/>
              <w:left w:w="130" w:type="dxa"/>
              <w:bottom w:w="100" w:type="dxa"/>
              <w:right w:w="130" w:type="dxa"/>
            </w:tcMar>
          </w:tcPr>
          <w:p w14:paraId="6BFE5D0F" w14:textId="77777777" w:rsidR="00E02BA0" w:rsidRDefault="00000000">
            <w:pPr>
              <w:jc w:val="center"/>
            </w:pPr>
            <w:proofErr w:type="spellStart"/>
            <w:r>
              <w:rPr>
                <w:b/>
                <w:bCs/>
                <w:color w:val="FFFFFF"/>
                <w:sz w:val="20"/>
                <w:szCs w:val="20"/>
              </w:rPr>
              <w:t>Pob</w:t>
            </w:r>
            <w:proofErr w:type="spellEnd"/>
            <w:r>
              <w:rPr>
                <w:b/>
                <w:bCs/>
                <w:color w:val="FFFFFF"/>
                <w:sz w:val="20"/>
                <w:szCs w:val="20"/>
              </w:rPr>
              <w:t>. Privada de Libertad</w:t>
            </w:r>
          </w:p>
        </w:tc>
        <w:tc>
          <w:tcPr>
            <w:tcW w:w="3400" w:type="dxa"/>
            <w:tcBorders>
              <w:top w:val="single" w:sz="1" w:space="0" w:color="CBD5E1"/>
              <w:left w:val="single" w:sz="1" w:space="0" w:color="CBD5E1"/>
              <w:bottom w:val="single" w:sz="1" w:space="0" w:color="CBD5E1"/>
              <w:right w:val="single" w:sz="1" w:space="0" w:color="CBD5E1"/>
            </w:tcBorders>
            <w:shd w:val="clear" w:color="auto" w:fill="1E2761"/>
            <w:tcMar>
              <w:top w:w="100" w:type="dxa"/>
              <w:left w:w="130" w:type="dxa"/>
              <w:bottom w:w="100" w:type="dxa"/>
              <w:right w:w="130" w:type="dxa"/>
            </w:tcMar>
          </w:tcPr>
          <w:p w14:paraId="1844EFEE" w14:textId="39295C0F" w:rsidR="00E02BA0" w:rsidRDefault="00000000">
            <w:pPr>
              <w:jc w:val="center"/>
            </w:pPr>
            <w:r>
              <w:rPr>
                <w:b/>
                <w:bCs/>
                <w:color w:val="FFFFFF"/>
                <w:sz w:val="20"/>
                <w:szCs w:val="20"/>
              </w:rPr>
              <w:t>P</w:t>
            </w:r>
            <w:r w:rsidR="000970B5">
              <w:rPr>
                <w:b/>
                <w:bCs/>
                <w:color w:val="FFFFFF"/>
                <w:sz w:val="20"/>
                <w:szCs w:val="20"/>
              </w:rPr>
              <w:t>rocesados/as sin condena</w:t>
            </w:r>
          </w:p>
        </w:tc>
      </w:tr>
      <w:tr w:rsidR="00E02BA0" w14:paraId="02F313BA"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6C4302F2" w14:textId="77777777" w:rsidR="00E02BA0" w:rsidRDefault="00000000">
            <w:r>
              <w:rPr>
                <w:b/>
                <w:bCs/>
                <w:color w:val="1E2761"/>
                <w:sz w:val="20"/>
                <w:szCs w:val="20"/>
              </w:rPr>
              <w:t>N (observaciones)</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61D4E5D6" w14:textId="6745FB7C" w:rsidR="00E02BA0" w:rsidRDefault="000970B5">
            <w:pPr>
              <w:jc w:val="center"/>
            </w:pPr>
            <w:r>
              <w:t>23</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3F82408C" w14:textId="1DBB9099" w:rsidR="00E02BA0" w:rsidRDefault="000970B5">
            <w:pPr>
              <w:jc w:val="center"/>
            </w:pPr>
            <w:r>
              <w:rPr>
                <w:sz w:val="20"/>
                <w:szCs w:val="20"/>
              </w:rPr>
              <w:t>23</w:t>
            </w:r>
          </w:p>
        </w:tc>
      </w:tr>
      <w:tr w:rsidR="00E02BA0" w14:paraId="3B43C256"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42488A61" w14:textId="77777777" w:rsidR="00E02BA0" w:rsidRDefault="00000000">
            <w:r>
              <w:rPr>
                <w:b/>
                <w:bCs/>
                <w:color w:val="1E2761"/>
                <w:sz w:val="20"/>
                <w:szCs w:val="20"/>
              </w:rPr>
              <w:t>Media</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73F193D6" w14:textId="2A012E0B" w:rsidR="00E02BA0" w:rsidRDefault="000970B5">
            <w:pPr>
              <w:jc w:val="center"/>
            </w:pPr>
            <w:r>
              <w:t>10499.5</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15C17F77" w14:textId="5C2FD6F0" w:rsidR="00E02BA0" w:rsidRDefault="000970B5">
            <w:pPr>
              <w:jc w:val="center"/>
            </w:pPr>
            <w:r>
              <w:rPr>
                <w:sz w:val="20"/>
                <w:szCs w:val="20"/>
              </w:rPr>
              <w:t>862.9</w:t>
            </w:r>
          </w:p>
        </w:tc>
      </w:tr>
      <w:tr w:rsidR="00E02BA0" w14:paraId="578761E7"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3183295F" w14:textId="77777777" w:rsidR="00E02BA0" w:rsidRDefault="00000000">
            <w:r>
              <w:rPr>
                <w:b/>
                <w:bCs/>
                <w:color w:val="1E2761"/>
                <w:sz w:val="20"/>
                <w:szCs w:val="20"/>
              </w:rPr>
              <w:t>Desvío Estándar</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0FD6E9F8" w14:textId="300DD287" w:rsidR="00E02BA0" w:rsidRDefault="000970B5">
            <w:pPr>
              <w:jc w:val="center"/>
            </w:pPr>
            <w:r>
              <w:rPr>
                <w:sz w:val="20"/>
                <w:szCs w:val="20"/>
              </w:rPr>
              <w:t>1351.2</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42DA9B5F" w14:textId="72539D61" w:rsidR="00E02BA0" w:rsidRDefault="000970B5">
            <w:pPr>
              <w:jc w:val="center"/>
            </w:pPr>
            <w:r>
              <w:rPr>
                <w:sz w:val="20"/>
                <w:szCs w:val="20"/>
              </w:rPr>
              <w:t>139.3</w:t>
            </w:r>
          </w:p>
        </w:tc>
      </w:tr>
      <w:tr w:rsidR="00E02BA0" w14:paraId="27017013"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7FC3C550" w14:textId="77777777" w:rsidR="00E02BA0" w:rsidRDefault="00000000">
            <w:r>
              <w:rPr>
                <w:b/>
                <w:bCs/>
                <w:color w:val="1E2761"/>
                <w:sz w:val="20"/>
                <w:szCs w:val="20"/>
              </w:rPr>
              <w:t>Mínimo</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14758B92" w14:textId="3A9AE60E" w:rsidR="00E02BA0" w:rsidRDefault="000970B5">
            <w:pPr>
              <w:jc w:val="center"/>
            </w:pPr>
            <w:r>
              <w:rPr>
                <w:sz w:val="20"/>
                <w:szCs w:val="20"/>
              </w:rPr>
              <w:t>8952.0</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7C781D1A" w14:textId="78015742" w:rsidR="00E02BA0" w:rsidRDefault="000970B5">
            <w:pPr>
              <w:jc w:val="center"/>
            </w:pPr>
            <w:r>
              <w:rPr>
                <w:sz w:val="20"/>
                <w:szCs w:val="20"/>
              </w:rPr>
              <w:t>650.0</w:t>
            </w:r>
          </w:p>
        </w:tc>
      </w:tr>
      <w:tr w:rsidR="00E02BA0" w14:paraId="41B46A4F"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7D354584" w14:textId="77777777" w:rsidR="00E02BA0" w:rsidRDefault="00000000">
            <w:r>
              <w:rPr>
                <w:b/>
                <w:bCs/>
                <w:color w:val="1E2761"/>
                <w:sz w:val="20"/>
                <w:szCs w:val="20"/>
              </w:rPr>
              <w:t>P25</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7FB8D721" w14:textId="0B9D6E35" w:rsidR="00E02BA0" w:rsidRDefault="000970B5">
            <w:pPr>
              <w:jc w:val="center"/>
            </w:pPr>
            <w:r>
              <w:rPr>
                <w:sz w:val="20"/>
                <w:szCs w:val="20"/>
              </w:rPr>
              <w:t>9574.0</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712208B1" w14:textId="4B42BD1E" w:rsidR="00E02BA0" w:rsidRDefault="000970B5">
            <w:pPr>
              <w:jc w:val="center"/>
            </w:pPr>
            <w:r>
              <w:rPr>
                <w:sz w:val="20"/>
                <w:szCs w:val="20"/>
              </w:rPr>
              <w:t>763.5</w:t>
            </w:r>
          </w:p>
        </w:tc>
      </w:tr>
      <w:tr w:rsidR="00E02BA0" w14:paraId="15D5A0A2"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415F23DA" w14:textId="77777777" w:rsidR="00E02BA0" w:rsidRDefault="00000000">
            <w:r>
              <w:rPr>
                <w:b/>
                <w:bCs/>
                <w:color w:val="1E2761"/>
                <w:sz w:val="20"/>
                <w:szCs w:val="20"/>
              </w:rPr>
              <w:t>Mediana (P50)</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79EF4326" w14:textId="54F5882E" w:rsidR="00E02BA0" w:rsidRDefault="000970B5">
            <w:pPr>
              <w:jc w:val="center"/>
            </w:pPr>
            <w:r>
              <w:rPr>
                <w:sz w:val="20"/>
                <w:szCs w:val="20"/>
              </w:rPr>
              <w:t>9807.0</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6AF00AA7" w14:textId="7288E527" w:rsidR="00E02BA0" w:rsidRDefault="000970B5">
            <w:pPr>
              <w:jc w:val="center"/>
            </w:pPr>
            <w:r>
              <w:rPr>
                <w:sz w:val="20"/>
                <w:szCs w:val="20"/>
              </w:rPr>
              <w:t>817.0</w:t>
            </w:r>
          </w:p>
        </w:tc>
      </w:tr>
      <w:tr w:rsidR="00E02BA0" w14:paraId="0844AB60"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3F8012FC" w14:textId="77777777" w:rsidR="00E02BA0" w:rsidRDefault="00000000">
            <w:r>
              <w:rPr>
                <w:b/>
                <w:bCs/>
                <w:color w:val="1E2761"/>
                <w:sz w:val="20"/>
                <w:szCs w:val="20"/>
              </w:rPr>
              <w:t>P75</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2F6526DD" w14:textId="61ADCD32" w:rsidR="00E02BA0" w:rsidRDefault="000970B5">
            <w:pPr>
              <w:jc w:val="center"/>
            </w:pPr>
            <w:r>
              <w:rPr>
                <w:sz w:val="20"/>
                <w:szCs w:val="20"/>
              </w:rPr>
              <w:t>11329.0</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14:paraId="5690B38A" w14:textId="4FFD938C" w:rsidR="00E02BA0" w:rsidRDefault="000970B5">
            <w:pPr>
              <w:jc w:val="center"/>
            </w:pPr>
            <w:r>
              <w:rPr>
                <w:sz w:val="20"/>
                <w:szCs w:val="20"/>
              </w:rPr>
              <w:t>965.5</w:t>
            </w:r>
          </w:p>
        </w:tc>
      </w:tr>
      <w:tr w:rsidR="00E02BA0" w14:paraId="79920FD4" w14:textId="77777777">
        <w:tc>
          <w:tcPr>
            <w:tcW w:w="2400" w:type="dxa"/>
            <w:tcBorders>
              <w:top w:val="single" w:sz="1" w:space="0" w:color="CBD5E1"/>
              <w:left w:val="single" w:sz="1" w:space="0" w:color="CBD5E1"/>
              <w:bottom w:val="single" w:sz="1" w:space="0" w:color="CBD5E1"/>
              <w:right w:val="single" w:sz="1" w:space="0" w:color="CBD5E1"/>
            </w:tcBorders>
            <w:shd w:val="clear" w:color="auto" w:fill="CADCFC"/>
            <w:tcMar>
              <w:top w:w="100" w:type="dxa"/>
              <w:left w:w="130" w:type="dxa"/>
              <w:bottom w:w="100" w:type="dxa"/>
              <w:right w:w="130" w:type="dxa"/>
            </w:tcMar>
          </w:tcPr>
          <w:p w14:paraId="4D6F271D" w14:textId="77777777" w:rsidR="00E02BA0" w:rsidRDefault="00000000">
            <w:r>
              <w:rPr>
                <w:b/>
                <w:bCs/>
                <w:color w:val="1E2761"/>
                <w:sz w:val="20"/>
                <w:szCs w:val="20"/>
              </w:rPr>
              <w:t>Máximo</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3C3C67F1" w14:textId="58D9032B" w:rsidR="00E02BA0" w:rsidRDefault="000970B5">
            <w:pPr>
              <w:jc w:val="center"/>
            </w:pPr>
            <w:r>
              <w:rPr>
                <w:sz w:val="20"/>
                <w:szCs w:val="20"/>
              </w:rPr>
              <w:t>13883.0</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14:paraId="746C4B4F" w14:textId="473BF7A9" w:rsidR="00E02BA0" w:rsidRDefault="000970B5">
            <w:pPr>
              <w:jc w:val="center"/>
            </w:pPr>
            <w:r>
              <w:rPr>
                <w:sz w:val="20"/>
                <w:szCs w:val="20"/>
              </w:rPr>
              <w:t>1106.0</w:t>
            </w:r>
          </w:p>
        </w:tc>
      </w:tr>
    </w:tbl>
    <w:p w14:paraId="19C4C92E" w14:textId="77777777" w:rsidR="00E02BA0" w:rsidRDefault="00E02BA0">
      <w:pPr>
        <w:spacing w:before="80"/>
      </w:pPr>
    </w:p>
    <w:p w14:paraId="3270D407" w14:textId="77777777" w:rsidR="00207A39" w:rsidRDefault="00207A39">
      <w:pPr>
        <w:spacing w:before="60" w:after="60" w:line="280" w:lineRule="auto"/>
        <w:jc w:val="both"/>
        <w:rPr>
          <w:b/>
          <w:bCs/>
        </w:rPr>
      </w:pPr>
    </w:p>
    <w:p w14:paraId="008253BA" w14:textId="77777777" w:rsidR="00207A39" w:rsidRDefault="00207A39">
      <w:pPr>
        <w:spacing w:before="60" w:after="60" w:line="280" w:lineRule="auto"/>
        <w:jc w:val="both"/>
        <w:rPr>
          <w:b/>
          <w:bCs/>
        </w:rPr>
      </w:pPr>
    </w:p>
    <w:p w14:paraId="0AD8FD49" w14:textId="77777777" w:rsidR="00207A39" w:rsidRDefault="00207A39">
      <w:pPr>
        <w:spacing w:before="60" w:after="60" w:line="280" w:lineRule="auto"/>
        <w:jc w:val="both"/>
        <w:rPr>
          <w:b/>
          <w:bCs/>
        </w:rPr>
      </w:pPr>
    </w:p>
    <w:p w14:paraId="2D66A0A3" w14:textId="22D2C4EA" w:rsidR="00E02BA0" w:rsidRDefault="00000000">
      <w:pPr>
        <w:spacing w:before="60" w:after="60" w:line="280" w:lineRule="auto"/>
        <w:jc w:val="both"/>
      </w:pPr>
      <w:r>
        <w:rPr>
          <w:b/>
          <w:bCs/>
        </w:rPr>
        <w:lastRenderedPageBreak/>
        <w:t xml:space="preserve">Comentario: </w:t>
      </w:r>
      <w:r>
        <w:t xml:space="preserve">La serie de </w:t>
      </w:r>
      <w:r>
        <w:rPr>
          <w:i/>
          <w:iCs/>
        </w:rPr>
        <w:t>Población privada de libertad</w:t>
      </w:r>
      <w:r>
        <w:t xml:space="preserve"> refleja la cantidad de personas detenidas en unidades federales a lo largo del período. El desvío estándar indica las oscilaciones interanuales, mientras que la diferencia entre el mínimo y el máximo permite identificar el rango histórico del encarcelamiento federal. La serie de </w:t>
      </w:r>
      <w:r w:rsidR="000970B5">
        <w:rPr>
          <w:i/>
          <w:iCs/>
        </w:rPr>
        <w:t>Procesados/as muestra la cantidad de personas privadas de libertad que no cuentan con condena firme en el mismo periodo. El análisis</w:t>
      </w:r>
      <w:r w:rsidR="00E7027A">
        <w:rPr>
          <w:i/>
          <w:iCs/>
        </w:rPr>
        <w:t xml:space="preserve"> conjunto de ambas series permite observar no solo la evolución de encarcelamiento total, sino también la importancia relativa de la población sin condena dentro del sistema penitenciario federal. </w:t>
      </w:r>
    </w:p>
    <w:p w14:paraId="552D4629" w14:textId="77777777" w:rsidR="00E02BA0" w:rsidRDefault="00E02BA0">
      <w:pPr>
        <w:spacing w:before="140"/>
      </w:pPr>
    </w:p>
    <w:p w14:paraId="44E96E88" w14:textId="739A4910" w:rsidR="00E02BA0" w:rsidRDefault="00000000">
      <w:pPr>
        <w:pStyle w:val="Ttulo2"/>
      </w:pPr>
      <w:r>
        <w:t>Ejercicio 3</w:t>
      </w:r>
      <w:r w:rsidR="00207A39">
        <w:t>:</w:t>
      </w:r>
      <w:r>
        <w:t xml:space="preserve"> Gráficos de Tendencia con </w:t>
      </w:r>
      <w:proofErr w:type="spellStart"/>
      <w:r>
        <w:t>Matplotlib</w:t>
      </w:r>
      <w:proofErr w:type="spellEnd"/>
    </w:p>
    <w:p w14:paraId="693FA5DB" w14:textId="291C2A27" w:rsidR="00E02BA0" w:rsidRDefault="00000000" w:rsidP="00207A39">
      <w:pPr>
        <w:spacing w:before="60" w:after="60" w:line="280" w:lineRule="auto"/>
        <w:jc w:val="both"/>
      </w:pPr>
      <w:r>
        <w:t xml:space="preserve">Se construyeron dos gráficos de tendencia temporal con las series del Ministerio de Justicia. Cada gráfico ilustra un estilo de programación distinto dentro de </w:t>
      </w:r>
      <w:proofErr w:type="spellStart"/>
      <w:r>
        <w:t>Matplotlib</w:t>
      </w:r>
      <w:proofErr w:type="spellEnd"/>
      <w:r>
        <w:t>.</w:t>
      </w:r>
    </w:p>
    <w:p w14:paraId="3E8BB10B" w14:textId="77777777" w:rsidR="00207A39" w:rsidRDefault="00207A39">
      <w:pPr>
        <w:pStyle w:val="Ttulo3"/>
      </w:pPr>
    </w:p>
    <w:p w14:paraId="49CAC023" w14:textId="1013C891" w:rsidR="00E02BA0" w:rsidRDefault="00000000">
      <w:pPr>
        <w:pStyle w:val="Ttulo3"/>
      </w:pPr>
      <w:r>
        <w:t xml:space="preserve">Estilo </w:t>
      </w:r>
      <w:proofErr w:type="spellStart"/>
      <w:r>
        <w:t>pyplot</w:t>
      </w:r>
      <w:proofErr w:type="spellEnd"/>
      <w:r>
        <w:t xml:space="preserve"> </w:t>
      </w:r>
    </w:p>
    <w:p w14:paraId="0239E90B" w14:textId="77777777" w:rsidR="00E02BA0" w:rsidRDefault="00000000">
      <w:pPr>
        <w:spacing w:before="60" w:after="60" w:line="280" w:lineRule="auto"/>
        <w:jc w:val="both"/>
      </w:pPr>
      <w:r>
        <w:t xml:space="preserve">El estilo </w:t>
      </w:r>
      <w:proofErr w:type="spellStart"/>
      <w:r>
        <w:t>pyplot</w:t>
      </w:r>
      <w:proofErr w:type="spellEnd"/>
      <w:r>
        <w:t xml:space="preserve"> aplica instrucciones sobre la figura activa mediante funciones </w:t>
      </w:r>
      <w:proofErr w:type="spellStart"/>
      <w:r>
        <w:t>plt.xxx</w:t>
      </w:r>
      <w:proofErr w:type="spellEnd"/>
      <w:r>
        <w:t>() sin crear explícitamente objetos. Es el enfoque más directo y apropiado para gráficos simples de una sola serie.</w:t>
      </w:r>
    </w:p>
    <w:p w14:paraId="66956A50" w14:textId="441A6357" w:rsidR="00E02BA0" w:rsidRDefault="00E02BA0" w:rsidP="00207A39">
      <w:pPr>
        <w:spacing w:before="40" w:after="20"/>
      </w:pPr>
    </w:p>
    <w:p w14:paraId="4AA9E57A" w14:textId="577EE5B1" w:rsidR="00E02BA0" w:rsidRDefault="00207A39">
      <w:pPr>
        <w:spacing w:before="60"/>
        <w:rPr>
          <w:i/>
          <w:iCs/>
          <w:color w:val="64748B"/>
          <w:sz w:val="18"/>
          <w:szCs w:val="18"/>
        </w:rPr>
      </w:pPr>
      <w:r>
        <w:rPr>
          <w:noProof/>
        </w:rPr>
        <w:drawing>
          <wp:anchor distT="0" distB="0" distL="114300" distR="114300" simplePos="0" relativeHeight="251663360" behindDoc="1" locked="0" layoutInCell="1" allowOverlap="1" wp14:anchorId="7AB9518D" wp14:editId="16C5AAC3">
            <wp:simplePos x="0" y="0"/>
            <wp:positionH relativeFrom="column">
              <wp:posOffset>-208249</wp:posOffset>
            </wp:positionH>
            <wp:positionV relativeFrom="paragraph">
              <wp:posOffset>252730</wp:posOffset>
            </wp:positionV>
            <wp:extent cx="6448425" cy="3485515"/>
            <wp:effectExtent l="0" t="0" r="3175" b="0"/>
            <wp:wrapTight wrapText="bothSides">
              <wp:wrapPolygon edited="0">
                <wp:start x="0" y="0"/>
                <wp:lineTo x="0" y="21486"/>
                <wp:lineTo x="21568" y="21486"/>
                <wp:lineTo x="21568" y="0"/>
                <wp:lineTo x="0" y="0"/>
              </wp:wrapPolygon>
            </wp:wrapTight>
            <wp:docPr id="6007048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4876" name="Imagen 600704876"/>
                    <pic:cNvPicPr/>
                  </pic:nvPicPr>
                  <pic:blipFill>
                    <a:blip r:embed="rId6">
                      <a:extLst>
                        <a:ext uri="{28A0092B-C50C-407E-A947-70E740481C1C}">
                          <a14:useLocalDpi xmlns:a14="http://schemas.microsoft.com/office/drawing/2010/main" val="0"/>
                        </a:ext>
                      </a:extLst>
                    </a:blip>
                    <a:stretch>
                      <a:fillRect/>
                    </a:stretch>
                  </pic:blipFill>
                  <pic:spPr>
                    <a:xfrm>
                      <a:off x="0" y="0"/>
                      <a:ext cx="6448425" cy="3485515"/>
                    </a:xfrm>
                    <a:prstGeom prst="rect">
                      <a:avLst/>
                    </a:prstGeom>
                  </pic:spPr>
                </pic:pic>
              </a:graphicData>
            </a:graphic>
            <wp14:sizeRelH relativeFrom="page">
              <wp14:pctWidth>0</wp14:pctWidth>
            </wp14:sizeRelH>
            <wp14:sizeRelV relativeFrom="page">
              <wp14:pctHeight>0</wp14:pctHeight>
            </wp14:sizeRelV>
          </wp:anchor>
        </w:drawing>
      </w:r>
    </w:p>
    <w:p w14:paraId="5C997643" w14:textId="77777777" w:rsidR="00207A39" w:rsidRDefault="00207A39">
      <w:pPr>
        <w:spacing w:before="60" w:after="60" w:line="280" w:lineRule="auto"/>
        <w:jc w:val="both"/>
        <w:rPr>
          <w:b/>
          <w:bCs/>
        </w:rPr>
      </w:pPr>
    </w:p>
    <w:p w14:paraId="72D547EB" w14:textId="6D407370" w:rsidR="00E02BA0" w:rsidRDefault="00000000">
      <w:pPr>
        <w:spacing w:before="60" w:after="60" w:line="280" w:lineRule="auto"/>
        <w:jc w:val="both"/>
      </w:pPr>
      <w:r>
        <w:rPr>
          <w:b/>
          <w:bCs/>
        </w:rPr>
        <w:lastRenderedPageBreak/>
        <w:t xml:space="preserve">Comentario: </w:t>
      </w:r>
      <w:r w:rsidR="00E7027A" w:rsidRPr="00E7027A">
        <w:t xml:space="preserve">El gráfico muestra la tendencia de largo plazo de la población carcelaria federal argentina entre 2002 y 2024. La línea permite observar con claridad la evolución de la serie a lo largo del tiempo, destacando tanto los períodos de aumento como las caídas más marcadas. Siguiendo los principios de visualización de </w:t>
      </w:r>
      <w:proofErr w:type="spellStart"/>
      <w:r w:rsidR="00E7027A" w:rsidRPr="00E7027A">
        <w:t>Schwabish</w:t>
      </w:r>
      <w:proofErr w:type="spellEnd"/>
      <w:r w:rsidR="00E7027A" w:rsidRPr="00E7027A">
        <w:t>, se eliminaron los bordes superior y derecho y se aplicó una grilla horizontal suave, reduciendo elementos distractores y enfocando la atención en la evolución de los datos.</w:t>
      </w:r>
    </w:p>
    <w:p w14:paraId="7B34F0F6" w14:textId="77777777" w:rsidR="00E02BA0" w:rsidRDefault="00E02BA0">
      <w:pPr>
        <w:spacing w:before="100"/>
      </w:pPr>
    </w:p>
    <w:p w14:paraId="390D1177" w14:textId="1A127070" w:rsidR="00E02BA0" w:rsidRDefault="00000000">
      <w:pPr>
        <w:pStyle w:val="Ttulo3"/>
      </w:pPr>
      <w:r>
        <w:t xml:space="preserve">Estilo Orientado a Objetos </w:t>
      </w:r>
    </w:p>
    <w:p w14:paraId="4563E510" w14:textId="7BD51255" w:rsidR="00E02BA0" w:rsidRDefault="00000000">
      <w:pPr>
        <w:spacing w:before="60" w:after="60" w:line="280" w:lineRule="auto"/>
        <w:jc w:val="both"/>
      </w:pPr>
      <w:r>
        <w:t xml:space="preserve">El estilo orientado a objetos crea explícitamente los objetos </w:t>
      </w:r>
      <w:proofErr w:type="spellStart"/>
      <w:r>
        <w:t>fig</w:t>
      </w:r>
      <w:proofErr w:type="spellEnd"/>
      <w:r>
        <w:t xml:space="preserve"> y </w:t>
      </w:r>
      <w:proofErr w:type="spellStart"/>
      <w:r>
        <w:t>ax</w:t>
      </w:r>
      <w:proofErr w:type="spellEnd"/>
      <w:r>
        <w:t xml:space="preserve"> y opera sobre ellos. Este enfoque es más flexible y se recomienda para figuras complejas con múltiples ejes, </w:t>
      </w:r>
      <w:proofErr w:type="spellStart"/>
      <w:r>
        <w:t>subplots</w:t>
      </w:r>
      <w:proofErr w:type="spellEnd"/>
      <w:r>
        <w:t xml:space="preserve"> o personalizaciones avanzadas. Se aprovechó para construir un gráfico de doble eje Y que presenta ambas series en simultáneo.</w:t>
      </w:r>
    </w:p>
    <w:p w14:paraId="472543E3" w14:textId="5C2B167E" w:rsidR="00E02BA0" w:rsidRDefault="00E02BA0" w:rsidP="00207A39">
      <w:pPr>
        <w:spacing w:before="40" w:after="20"/>
      </w:pPr>
    </w:p>
    <w:p w14:paraId="74791868" w14:textId="7C0AB590" w:rsidR="00E02BA0" w:rsidRDefault="00207A39">
      <w:pPr>
        <w:spacing w:before="60"/>
      </w:pPr>
      <w:r>
        <w:rPr>
          <w:i/>
          <w:iCs/>
          <w:noProof/>
          <w:color w:val="64748B"/>
          <w:sz w:val="21"/>
          <w:szCs w:val="21"/>
        </w:rPr>
        <w:drawing>
          <wp:anchor distT="0" distB="0" distL="114300" distR="114300" simplePos="0" relativeHeight="251662336" behindDoc="1" locked="0" layoutInCell="1" allowOverlap="1" wp14:anchorId="2EAB8C2D" wp14:editId="79CE22BD">
            <wp:simplePos x="0" y="0"/>
            <wp:positionH relativeFrom="column">
              <wp:posOffset>-108950</wp:posOffset>
            </wp:positionH>
            <wp:positionV relativeFrom="paragraph">
              <wp:posOffset>246292</wp:posOffset>
            </wp:positionV>
            <wp:extent cx="6402070" cy="3122930"/>
            <wp:effectExtent l="0" t="0" r="0" b="1270"/>
            <wp:wrapTight wrapText="bothSides">
              <wp:wrapPolygon edited="0">
                <wp:start x="0" y="0"/>
                <wp:lineTo x="0" y="21521"/>
                <wp:lineTo x="21553" y="21521"/>
                <wp:lineTo x="21553" y="0"/>
                <wp:lineTo x="0" y="0"/>
              </wp:wrapPolygon>
            </wp:wrapTight>
            <wp:docPr id="15798360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36052" name="Imagen 15798360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2070" cy="3122930"/>
                    </a:xfrm>
                    <a:prstGeom prst="rect">
                      <a:avLst/>
                    </a:prstGeom>
                  </pic:spPr>
                </pic:pic>
              </a:graphicData>
            </a:graphic>
            <wp14:sizeRelH relativeFrom="page">
              <wp14:pctWidth>0</wp14:pctWidth>
            </wp14:sizeRelH>
            <wp14:sizeRelV relativeFrom="page">
              <wp14:pctHeight>0</wp14:pctHeight>
            </wp14:sizeRelV>
          </wp:anchor>
        </w:drawing>
      </w:r>
    </w:p>
    <w:p w14:paraId="66AF4427" w14:textId="77777777" w:rsidR="00207A39" w:rsidRDefault="00207A39">
      <w:pPr>
        <w:spacing w:before="60" w:after="60" w:line="280" w:lineRule="auto"/>
        <w:jc w:val="both"/>
        <w:rPr>
          <w:b/>
          <w:bCs/>
        </w:rPr>
      </w:pPr>
    </w:p>
    <w:p w14:paraId="79841BD7" w14:textId="77777777" w:rsidR="00207A39" w:rsidRDefault="00207A39">
      <w:pPr>
        <w:spacing w:before="60" w:after="60" w:line="280" w:lineRule="auto"/>
        <w:jc w:val="both"/>
        <w:rPr>
          <w:b/>
          <w:bCs/>
        </w:rPr>
      </w:pPr>
    </w:p>
    <w:p w14:paraId="64AA418B" w14:textId="6CD66F98" w:rsidR="00E02BA0" w:rsidRDefault="00000000">
      <w:pPr>
        <w:spacing w:before="60" w:after="60" w:line="280" w:lineRule="auto"/>
        <w:jc w:val="both"/>
      </w:pPr>
      <w:r>
        <w:rPr>
          <w:b/>
          <w:bCs/>
        </w:rPr>
        <w:t xml:space="preserve">Comentario: </w:t>
      </w:r>
      <w:r>
        <w:rPr>
          <w:i/>
          <w:iCs/>
        </w:rPr>
        <w:t>El gráfico de doble eje Y permite comparar directamente la evolución de la población carcelaria (eje izquierdo, línea roja continua) y de</w:t>
      </w:r>
      <w:r w:rsidR="00E7027A">
        <w:rPr>
          <w:i/>
          <w:iCs/>
        </w:rPr>
        <w:t xml:space="preserve"> los procesados sin condena</w:t>
      </w:r>
      <w:r>
        <w:rPr>
          <w:i/>
          <w:iCs/>
        </w:rPr>
        <w:t xml:space="preserve"> (eje derecho, línea azul punteada). La diferenciación por color y tipo de marcador facilita la lectura. El separador de miles en ambos ejes mejora la legibilidad de los valores absolutos.</w:t>
      </w:r>
    </w:p>
    <w:p w14:paraId="72A163C2" w14:textId="77777777" w:rsidR="00E02BA0" w:rsidRDefault="00000000">
      <w:r>
        <w:br w:type="page"/>
      </w:r>
    </w:p>
    <w:p w14:paraId="693F0661" w14:textId="6627255E" w:rsidR="00E02BA0" w:rsidRDefault="00000000" w:rsidP="00207A39">
      <w:pPr>
        <w:pStyle w:val="Ttulo1"/>
      </w:pPr>
      <w:r>
        <w:lastRenderedPageBreak/>
        <w:t>PARTE B</w:t>
      </w:r>
      <w:r w:rsidR="00207A39">
        <w:t xml:space="preserve">: </w:t>
      </w:r>
      <w:r>
        <w:t xml:space="preserve">Web </w:t>
      </w:r>
      <w:proofErr w:type="spellStart"/>
      <w:r>
        <w:t>Scraping</w:t>
      </w:r>
      <w:proofErr w:type="spellEnd"/>
      <w:r>
        <w:t xml:space="preserve"> de Noticias</w:t>
      </w:r>
    </w:p>
    <w:p w14:paraId="31E4AC34" w14:textId="17E6C8CF" w:rsidR="00E02BA0" w:rsidRDefault="00000000">
      <w:pPr>
        <w:pStyle w:val="Ttulo2"/>
      </w:pPr>
      <w:r>
        <w:t>Ejercicio 4</w:t>
      </w:r>
      <w:r w:rsidR="00207A39">
        <w:t xml:space="preserve">: </w:t>
      </w:r>
      <w:r>
        <w:t xml:space="preserve">Titulares de portada: La Nación y </w:t>
      </w:r>
      <w:proofErr w:type="spellStart"/>
      <w:r>
        <w:t>The</w:t>
      </w:r>
      <w:proofErr w:type="spellEnd"/>
      <w:r>
        <w:t xml:space="preserve"> Guardian</w:t>
      </w:r>
    </w:p>
    <w:p w14:paraId="2CAF0F1F" w14:textId="24305AE4" w:rsidR="00E02BA0" w:rsidRDefault="00000000">
      <w:pPr>
        <w:spacing w:before="60" w:after="60" w:line="280" w:lineRule="auto"/>
        <w:jc w:val="both"/>
      </w:pPr>
      <w:r>
        <w:t xml:space="preserve">Se realizó web </w:t>
      </w:r>
      <w:proofErr w:type="spellStart"/>
      <w:r>
        <w:t>scraping</w:t>
      </w:r>
      <w:proofErr w:type="spellEnd"/>
      <w:r>
        <w:t xml:space="preserve"> sobre las portadas de dos diarios: La Nación (Argentina) y </w:t>
      </w:r>
      <w:proofErr w:type="spellStart"/>
      <w:r>
        <w:t>The</w:t>
      </w:r>
      <w:proofErr w:type="spellEnd"/>
      <w:r>
        <w:t xml:space="preserve"> Guardian (Reino Unido, en inglés). Para cada uno se extrajeron los titulares de portada y sus links, se armó un </w:t>
      </w:r>
      <w:proofErr w:type="spellStart"/>
      <w:r>
        <w:t>DataFrame</w:t>
      </w:r>
      <w:proofErr w:type="spellEnd"/>
      <w:r>
        <w:t xml:space="preserve"> de 4 columnas y se exportó el resultado a un archivo Excel (noticias_portada_TP1.xlsx).</w:t>
      </w:r>
    </w:p>
    <w:p w14:paraId="52E3F5FF" w14:textId="55C4E073" w:rsidR="00E02BA0" w:rsidRDefault="00E02BA0">
      <w:pPr>
        <w:spacing w:before="100"/>
      </w:pPr>
    </w:p>
    <w:p w14:paraId="0E611A65" w14:textId="75AC1DF0" w:rsidR="00E02BA0" w:rsidRDefault="00000000">
      <w:pPr>
        <w:pStyle w:val="Ttulo3"/>
      </w:pPr>
      <w:r>
        <w:t>1. Capturas de pantalla de las portadas</w:t>
      </w:r>
    </w:p>
    <w:p w14:paraId="3E3E579A" w14:textId="412C869B" w:rsidR="00E02BA0" w:rsidRDefault="00000000">
      <w:pPr>
        <w:spacing w:before="60" w:after="60" w:line="280" w:lineRule="auto"/>
        <w:jc w:val="both"/>
      </w:pPr>
      <w:r>
        <w:t xml:space="preserve">Las capturas se tomaron en el momento de ejecutar el código de </w:t>
      </w:r>
      <w:proofErr w:type="spellStart"/>
      <w:r>
        <w:t>scraping</w:t>
      </w:r>
      <w:proofErr w:type="spellEnd"/>
      <w:r>
        <w:t xml:space="preserve"> para documentar el estado de las portadas y permitir verificar que los links extraídos corresponden a las noticias de ese día y hora.</w:t>
      </w:r>
    </w:p>
    <w:p w14:paraId="78B390A6" w14:textId="1B607FDB" w:rsidR="00E02BA0" w:rsidRDefault="00E02BA0">
      <w:pPr>
        <w:spacing w:before="60"/>
      </w:pPr>
    </w:p>
    <w:p w14:paraId="02758E68" w14:textId="77777777" w:rsidR="00FA64E3" w:rsidRDefault="00FA64E3" w:rsidP="00FA64E3">
      <w:pPr>
        <w:spacing w:before="40" w:after="20"/>
        <w:jc w:val="center"/>
        <w:rPr>
          <w:b/>
          <w:bCs/>
          <w:color w:val="1E2761"/>
          <w:sz w:val="20"/>
          <w:szCs w:val="20"/>
        </w:rPr>
      </w:pPr>
    </w:p>
    <w:p w14:paraId="36C6A9BD" w14:textId="0F954A69" w:rsidR="00207A39" w:rsidRDefault="00000000" w:rsidP="00FA64E3">
      <w:pPr>
        <w:spacing w:before="40" w:after="20"/>
        <w:jc w:val="center"/>
        <w:rPr>
          <w:b/>
          <w:bCs/>
          <w:color w:val="1E2761"/>
          <w:sz w:val="20"/>
          <w:szCs w:val="20"/>
        </w:rPr>
      </w:pPr>
      <w:r>
        <w:rPr>
          <w:b/>
          <w:bCs/>
          <w:color w:val="1E2761"/>
          <w:sz w:val="20"/>
          <w:szCs w:val="20"/>
        </w:rPr>
        <w:t xml:space="preserve">Portada de La Nación </w:t>
      </w:r>
    </w:p>
    <w:p w14:paraId="5A5F6188" w14:textId="4DAB3AC0" w:rsidR="00207A39" w:rsidRDefault="00207A39" w:rsidP="00207A39">
      <w:pPr>
        <w:spacing w:before="40" w:after="20"/>
        <w:rPr>
          <w:b/>
          <w:bCs/>
          <w:color w:val="1E2761"/>
          <w:sz w:val="20"/>
          <w:szCs w:val="20"/>
        </w:rPr>
      </w:pPr>
    </w:p>
    <w:p w14:paraId="2542455A" w14:textId="2253A2A8" w:rsidR="00207A39" w:rsidRDefault="00FA64E3" w:rsidP="00207A39">
      <w:pPr>
        <w:spacing w:before="40" w:after="20"/>
        <w:rPr>
          <w:b/>
          <w:bCs/>
          <w:color w:val="1E2761"/>
          <w:sz w:val="20"/>
          <w:szCs w:val="20"/>
        </w:rPr>
      </w:pPr>
      <w:r>
        <w:rPr>
          <w:noProof/>
        </w:rPr>
        <w:drawing>
          <wp:anchor distT="0" distB="0" distL="114300" distR="114300" simplePos="0" relativeHeight="251661312" behindDoc="1" locked="0" layoutInCell="1" allowOverlap="1" wp14:anchorId="7370BE17" wp14:editId="725E1916">
            <wp:simplePos x="0" y="0"/>
            <wp:positionH relativeFrom="margin">
              <wp:posOffset>-425676</wp:posOffset>
            </wp:positionH>
            <wp:positionV relativeFrom="margin">
              <wp:posOffset>3548487</wp:posOffset>
            </wp:positionV>
            <wp:extent cx="6971665" cy="3557905"/>
            <wp:effectExtent l="0" t="0" r="635" b="0"/>
            <wp:wrapTight wrapText="bothSides">
              <wp:wrapPolygon edited="0">
                <wp:start x="0" y="0"/>
                <wp:lineTo x="0" y="21511"/>
                <wp:lineTo x="21563" y="21511"/>
                <wp:lineTo x="21563" y="0"/>
                <wp:lineTo x="0" y="0"/>
              </wp:wrapPolygon>
            </wp:wrapTight>
            <wp:docPr id="18042123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12366" name="Imagen 18042123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71665" cy="3557905"/>
                    </a:xfrm>
                    <a:prstGeom prst="rect">
                      <a:avLst/>
                    </a:prstGeom>
                  </pic:spPr>
                </pic:pic>
              </a:graphicData>
            </a:graphic>
            <wp14:sizeRelH relativeFrom="margin">
              <wp14:pctWidth>0</wp14:pctWidth>
            </wp14:sizeRelH>
            <wp14:sizeRelV relativeFrom="margin">
              <wp14:pctHeight>0</wp14:pctHeight>
            </wp14:sizeRelV>
          </wp:anchor>
        </w:drawing>
      </w:r>
    </w:p>
    <w:p w14:paraId="01D22E17" w14:textId="783B9F1A" w:rsidR="00207A39" w:rsidRDefault="00207A39" w:rsidP="00207A39">
      <w:pPr>
        <w:spacing w:before="40" w:after="20"/>
        <w:rPr>
          <w:b/>
          <w:bCs/>
          <w:color w:val="1E2761"/>
          <w:sz w:val="20"/>
          <w:szCs w:val="20"/>
        </w:rPr>
      </w:pPr>
    </w:p>
    <w:p w14:paraId="3F1767FD" w14:textId="16CAF975" w:rsidR="00207A39" w:rsidRDefault="00207A39" w:rsidP="00207A39">
      <w:pPr>
        <w:spacing w:before="40" w:after="20"/>
        <w:rPr>
          <w:b/>
          <w:bCs/>
          <w:color w:val="1E2761"/>
          <w:sz w:val="20"/>
          <w:szCs w:val="20"/>
        </w:rPr>
      </w:pPr>
    </w:p>
    <w:p w14:paraId="2DC0DB64" w14:textId="5717E5C3" w:rsidR="00207A39" w:rsidRDefault="00207A39" w:rsidP="00207A39">
      <w:pPr>
        <w:spacing w:before="40" w:after="20"/>
        <w:rPr>
          <w:b/>
          <w:bCs/>
          <w:color w:val="1E2761"/>
          <w:sz w:val="20"/>
          <w:szCs w:val="20"/>
        </w:rPr>
      </w:pPr>
    </w:p>
    <w:p w14:paraId="46B34F74" w14:textId="77777777" w:rsidR="00207A39" w:rsidRDefault="00207A39" w:rsidP="00207A39">
      <w:pPr>
        <w:spacing w:before="40" w:after="20"/>
        <w:rPr>
          <w:b/>
          <w:bCs/>
          <w:color w:val="1E2761"/>
          <w:sz w:val="20"/>
          <w:szCs w:val="20"/>
        </w:rPr>
      </w:pPr>
    </w:p>
    <w:p w14:paraId="447102DC" w14:textId="77777777" w:rsidR="00207A39" w:rsidRDefault="00207A39" w:rsidP="00207A39">
      <w:pPr>
        <w:spacing w:before="40" w:after="20"/>
        <w:rPr>
          <w:b/>
          <w:bCs/>
          <w:color w:val="1E2761"/>
          <w:sz w:val="20"/>
          <w:szCs w:val="20"/>
        </w:rPr>
      </w:pPr>
    </w:p>
    <w:p w14:paraId="1090E660" w14:textId="77777777" w:rsidR="00FA64E3" w:rsidRDefault="00FA64E3" w:rsidP="00FA64E3">
      <w:pPr>
        <w:spacing w:before="40" w:after="20"/>
        <w:rPr>
          <w:b/>
          <w:bCs/>
          <w:color w:val="1E2761"/>
          <w:sz w:val="20"/>
          <w:szCs w:val="20"/>
        </w:rPr>
      </w:pPr>
    </w:p>
    <w:p w14:paraId="2AE0F48B" w14:textId="3C1F307B" w:rsidR="00E02BA0" w:rsidRDefault="00000000" w:rsidP="00FA64E3">
      <w:pPr>
        <w:spacing w:before="40" w:after="20"/>
        <w:jc w:val="center"/>
      </w:pPr>
      <w:r>
        <w:rPr>
          <w:b/>
          <w:bCs/>
          <w:color w:val="1E2761"/>
          <w:sz w:val="20"/>
          <w:szCs w:val="20"/>
        </w:rPr>
        <w:lastRenderedPageBreak/>
        <w:t xml:space="preserve">Portada de </w:t>
      </w:r>
      <w:proofErr w:type="spellStart"/>
      <w:r>
        <w:rPr>
          <w:b/>
          <w:bCs/>
          <w:color w:val="1E2761"/>
          <w:sz w:val="20"/>
          <w:szCs w:val="20"/>
        </w:rPr>
        <w:t>The</w:t>
      </w:r>
      <w:proofErr w:type="spellEnd"/>
      <w:r>
        <w:rPr>
          <w:b/>
          <w:bCs/>
          <w:color w:val="1E2761"/>
          <w:sz w:val="20"/>
          <w:szCs w:val="20"/>
        </w:rPr>
        <w:t xml:space="preserve"> Guardian</w:t>
      </w:r>
    </w:p>
    <w:p w14:paraId="33B9B3F7" w14:textId="1393B215" w:rsidR="00E02BA0" w:rsidRDefault="00FA64E3">
      <w:pPr>
        <w:spacing w:before="100"/>
      </w:pPr>
      <w:r>
        <w:rPr>
          <w:noProof/>
        </w:rPr>
        <w:drawing>
          <wp:anchor distT="0" distB="0" distL="114300" distR="114300" simplePos="0" relativeHeight="251664384" behindDoc="1" locked="0" layoutInCell="1" allowOverlap="1" wp14:anchorId="3655134F" wp14:editId="1ABC7580">
            <wp:simplePos x="0" y="0"/>
            <wp:positionH relativeFrom="column">
              <wp:posOffset>72427</wp:posOffset>
            </wp:positionH>
            <wp:positionV relativeFrom="paragraph">
              <wp:posOffset>324944</wp:posOffset>
            </wp:positionV>
            <wp:extent cx="5943600" cy="3110865"/>
            <wp:effectExtent l="0" t="0" r="0" b="635"/>
            <wp:wrapTight wrapText="bothSides">
              <wp:wrapPolygon edited="0">
                <wp:start x="0" y="0"/>
                <wp:lineTo x="0" y="21516"/>
                <wp:lineTo x="21554" y="21516"/>
                <wp:lineTo x="21554" y="0"/>
                <wp:lineTo x="0" y="0"/>
              </wp:wrapPolygon>
            </wp:wrapTight>
            <wp:docPr id="21271376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37657" name="Imagen 2127137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14:sizeRelH relativeFrom="page">
              <wp14:pctWidth>0</wp14:pctWidth>
            </wp14:sizeRelH>
            <wp14:sizeRelV relativeFrom="page">
              <wp14:pctHeight>0</wp14:pctHeight>
            </wp14:sizeRelV>
          </wp:anchor>
        </w:drawing>
      </w:r>
    </w:p>
    <w:p w14:paraId="7639D907" w14:textId="77777777" w:rsidR="00E02BA0" w:rsidRDefault="00000000">
      <w:pPr>
        <w:pStyle w:val="Ttulo3"/>
      </w:pPr>
      <w:r>
        <w:t xml:space="preserve">2. Diferencias y similitudes: La Nación vs. </w:t>
      </w:r>
      <w:proofErr w:type="spellStart"/>
      <w:r>
        <w:t>The</w:t>
      </w:r>
      <w:proofErr w:type="spellEnd"/>
      <w:r>
        <w:t xml:space="preserve"> Guardian</w:t>
      </w:r>
    </w:p>
    <w:p w14:paraId="2447DAA1" w14:textId="1F248F0B" w:rsidR="00E02BA0" w:rsidRDefault="00000000">
      <w:pPr>
        <w:spacing w:before="60" w:after="60" w:line="280" w:lineRule="auto"/>
        <w:jc w:val="both"/>
      </w:pPr>
      <w:r>
        <w:t xml:space="preserve">Ambos diarios estructuran sus portadas con HTML semántico estándar, empleando etiquetas de encabezado (h2, h3) y vínculos (a), lo que en principio facilita la extracción con </w:t>
      </w:r>
      <w:proofErr w:type="spellStart"/>
      <w:r>
        <w:t>BeautifulSoup</w:t>
      </w:r>
      <w:proofErr w:type="spellEnd"/>
      <w:r>
        <w:t xml:space="preserve">. Sin embargo, presentan diferencias relevantes. La Nación utiliza principalmente etiquetas h2 para sus titulares principales, y los links son en su mayoría rutas relativas que requieren concatenar el dominio base (https://www.lanacion.com.ar). </w:t>
      </w:r>
      <w:proofErr w:type="spellStart"/>
      <w:r>
        <w:t>The</w:t>
      </w:r>
      <w:proofErr w:type="spellEnd"/>
      <w:r>
        <w:t xml:space="preserve"> Guardian distribuye sus titulares entre h2 y h3 con mayor variedad de clases CSS, y los links suelen ser </w:t>
      </w:r>
      <w:proofErr w:type="spellStart"/>
      <w:r>
        <w:t>URLs</w:t>
      </w:r>
      <w:proofErr w:type="spellEnd"/>
      <w:r>
        <w:t xml:space="preserve"> absolutas completas. Desde el punto de vista del contenido, el idioma distinto no genera dificultades técnicas de extracción, aunque sería relevante para análisis de sentimiento posteriores que requerirían modelos entrenados en cada idioma. </w:t>
      </w:r>
    </w:p>
    <w:p w14:paraId="739B1A57" w14:textId="77777777" w:rsidR="00E02BA0" w:rsidRDefault="00E02BA0">
      <w:pPr>
        <w:spacing w:before="80"/>
      </w:pPr>
    </w:p>
    <w:p w14:paraId="204E833A" w14:textId="77777777" w:rsidR="00E02BA0" w:rsidRDefault="00000000">
      <w:pPr>
        <w:pStyle w:val="Ttulo3"/>
      </w:pPr>
      <w:r>
        <w:t>3. Dificultades y soluciones</w:t>
      </w:r>
    </w:p>
    <w:p w14:paraId="387DB3CB" w14:textId="77777777" w:rsidR="00FA64E3" w:rsidRDefault="00FA64E3" w:rsidP="00FA64E3">
      <w:pPr>
        <w:spacing w:before="40" w:after="40"/>
      </w:pPr>
      <w:r>
        <w:t>Se presentaron tres dificultades principales:</w:t>
      </w:r>
    </w:p>
    <w:p w14:paraId="73B2E5D0" w14:textId="77777777" w:rsidR="00FA64E3" w:rsidRDefault="00FA64E3" w:rsidP="00FA64E3">
      <w:pPr>
        <w:pStyle w:val="Prrafodelista"/>
        <w:spacing w:before="40" w:after="40"/>
        <w:ind w:left="720"/>
      </w:pPr>
      <w:r w:rsidRPr="00FA64E3">
        <w:rPr>
          <w:b/>
          <w:bCs/>
          <w:color w:val="1E2761"/>
          <w:sz w:val="20"/>
          <w:szCs w:val="20"/>
        </w:rPr>
        <w:t xml:space="preserve">Estructura HTML diferente entre diarios: </w:t>
      </w:r>
      <w:r>
        <w:t xml:space="preserve">La Nación y </w:t>
      </w:r>
      <w:proofErr w:type="spellStart"/>
      <w:r>
        <w:t>The</w:t>
      </w:r>
      <w:proofErr w:type="spellEnd"/>
      <w:r>
        <w:t xml:space="preserve"> Guardian no organizan sus titulares exactamente del mismo modo dentro del código fuente. En algunos casos los títulos aparecen en etiquetas &lt;h2&gt; y en otros en &lt;h3&gt;, y los links no siempre están ubicados en el mismo lugar. </w:t>
      </w:r>
    </w:p>
    <w:p w14:paraId="496735BB" w14:textId="346DCF35" w:rsidR="00FA64E3" w:rsidRDefault="00FA64E3" w:rsidP="00FA64E3">
      <w:pPr>
        <w:pStyle w:val="Prrafodelista"/>
        <w:spacing w:before="40" w:after="40"/>
        <w:ind w:left="720"/>
      </w:pPr>
      <w:r w:rsidRPr="00FA64E3">
        <w:rPr>
          <w:b/>
          <w:bCs/>
          <w:color w:val="EE0000"/>
          <w:sz w:val="20"/>
          <w:szCs w:val="20"/>
        </w:rPr>
        <w:t xml:space="preserve">Solución: </w:t>
      </w:r>
      <w:r>
        <w:t>se programó una búsqueda flexible, recorriendo distintos encabezados y buscando primero el &lt;a&gt; dentro del título y, si no aparecía, en el elemento padre.</w:t>
      </w:r>
    </w:p>
    <w:p w14:paraId="1AE08D66" w14:textId="77777777" w:rsidR="00FA64E3" w:rsidRDefault="00FA64E3" w:rsidP="00FA64E3">
      <w:pPr>
        <w:pStyle w:val="Prrafodelista"/>
        <w:spacing w:before="40" w:after="40"/>
        <w:ind w:left="720"/>
      </w:pPr>
      <w:r w:rsidRPr="00FA64E3">
        <w:rPr>
          <w:b/>
          <w:bCs/>
          <w:color w:val="1E2761"/>
          <w:sz w:val="20"/>
          <w:szCs w:val="20"/>
        </w:rPr>
        <w:t>Links relativos:</w:t>
      </w:r>
      <w:r>
        <w:t xml:space="preserve"> algunos enlaces extraídos desde el HTML no eran </w:t>
      </w:r>
      <w:proofErr w:type="spellStart"/>
      <w:r>
        <w:t>URLs</w:t>
      </w:r>
      <w:proofErr w:type="spellEnd"/>
      <w:r>
        <w:t xml:space="preserve"> completas, sino rutas relativas que comienzan con /. </w:t>
      </w:r>
    </w:p>
    <w:p w14:paraId="17852F9C" w14:textId="0D58988A" w:rsidR="00FA64E3" w:rsidRDefault="00FA64E3" w:rsidP="00FA64E3">
      <w:pPr>
        <w:pStyle w:val="Prrafodelista"/>
        <w:spacing w:before="40" w:after="40"/>
        <w:ind w:left="720"/>
      </w:pPr>
      <w:r w:rsidRPr="00FA64E3">
        <w:rPr>
          <w:b/>
          <w:bCs/>
          <w:color w:val="EE0000"/>
          <w:sz w:val="20"/>
          <w:szCs w:val="20"/>
        </w:rPr>
        <w:t xml:space="preserve">Solución: </w:t>
      </w:r>
      <w:r>
        <w:t xml:space="preserve">se verificó si el </w:t>
      </w:r>
      <w:proofErr w:type="spellStart"/>
      <w:r>
        <w:t>href</w:t>
      </w:r>
      <w:proofErr w:type="spellEnd"/>
      <w:r>
        <w:t xml:space="preserve"> comenzaba con / y, en ese caso, se concatenó el dominio base de cada diario para construir un link completo y funcional.</w:t>
      </w:r>
    </w:p>
    <w:p w14:paraId="764FA12D" w14:textId="77777777" w:rsidR="00FA64E3" w:rsidRDefault="00FA64E3" w:rsidP="00FA64E3">
      <w:pPr>
        <w:pStyle w:val="Prrafodelista"/>
        <w:spacing w:before="40" w:after="40"/>
        <w:ind w:left="720"/>
      </w:pPr>
      <w:r w:rsidRPr="00FA64E3">
        <w:rPr>
          <w:b/>
          <w:bCs/>
          <w:color w:val="1E2761"/>
          <w:sz w:val="20"/>
          <w:szCs w:val="20"/>
        </w:rPr>
        <w:lastRenderedPageBreak/>
        <w:t>Titulares repetidos o poco útiles:</w:t>
      </w:r>
      <w:r>
        <w:t xml:space="preserve"> en la portada, algunos titulares podían aparecer duplicados o corresponder a textos demasiado cortos, lo que generaba ruido en la base final. </w:t>
      </w:r>
    </w:p>
    <w:p w14:paraId="6E07917B" w14:textId="6DAF39F7" w:rsidR="00E02BA0" w:rsidRDefault="00FA64E3" w:rsidP="00FA64E3">
      <w:pPr>
        <w:pStyle w:val="Prrafodelista"/>
        <w:spacing w:before="40" w:after="40"/>
        <w:ind w:left="720"/>
      </w:pPr>
      <w:r w:rsidRPr="00FA64E3">
        <w:rPr>
          <w:b/>
          <w:bCs/>
          <w:color w:val="EE0000"/>
          <w:sz w:val="20"/>
          <w:szCs w:val="20"/>
        </w:rPr>
        <w:t>Solución:</w:t>
      </w:r>
      <w:r>
        <w:t xml:space="preserve"> antes de guardar cada noticia se controló que el titular no estuviera repetido y que tuviera una longitud mínima, de modo de conservar solo entradas únicas y relevantes en el </w:t>
      </w:r>
      <w:proofErr w:type="spellStart"/>
      <w:r>
        <w:t>DataFrame</w:t>
      </w:r>
      <w:proofErr w:type="spellEnd"/>
      <w:r>
        <w:t>.</w:t>
      </w:r>
    </w:p>
    <w:sectPr w:rsidR="00E02B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806D0"/>
    <w:multiLevelType w:val="hybridMultilevel"/>
    <w:tmpl w:val="1164AA02"/>
    <w:lvl w:ilvl="0" w:tplc="7E9829E4">
      <w:start w:val="1"/>
      <w:numFmt w:val="bullet"/>
      <w:lvlText w:val="●"/>
      <w:lvlJc w:val="left"/>
      <w:pPr>
        <w:ind w:left="720" w:hanging="360"/>
      </w:pPr>
    </w:lvl>
    <w:lvl w:ilvl="1" w:tplc="8300084A">
      <w:start w:val="1"/>
      <w:numFmt w:val="bullet"/>
      <w:lvlText w:val="○"/>
      <w:lvlJc w:val="left"/>
      <w:pPr>
        <w:ind w:left="1440" w:hanging="360"/>
      </w:pPr>
    </w:lvl>
    <w:lvl w:ilvl="2" w:tplc="55AABFD0">
      <w:start w:val="1"/>
      <w:numFmt w:val="bullet"/>
      <w:lvlText w:val="■"/>
      <w:lvlJc w:val="left"/>
      <w:pPr>
        <w:ind w:left="2160" w:hanging="360"/>
      </w:pPr>
    </w:lvl>
    <w:lvl w:ilvl="3" w:tplc="4878A98C">
      <w:start w:val="1"/>
      <w:numFmt w:val="bullet"/>
      <w:lvlText w:val="●"/>
      <w:lvlJc w:val="left"/>
      <w:pPr>
        <w:ind w:left="2880" w:hanging="360"/>
      </w:pPr>
    </w:lvl>
    <w:lvl w:ilvl="4" w:tplc="F9A6F2C0">
      <w:start w:val="1"/>
      <w:numFmt w:val="bullet"/>
      <w:lvlText w:val="○"/>
      <w:lvlJc w:val="left"/>
      <w:pPr>
        <w:ind w:left="3600" w:hanging="360"/>
      </w:pPr>
    </w:lvl>
    <w:lvl w:ilvl="5" w:tplc="394EB9B2">
      <w:start w:val="1"/>
      <w:numFmt w:val="bullet"/>
      <w:lvlText w:val="■"/>
      <w:lvlJc w:val="left"/>
      <w:pPr>
        <w:ind w:left="4320" w:hanging="360"/>
      </w:pPr>
    </w:lvl>
    <w:lvl w:ilvl="6" w:tplc="6C30D7FE">
      <w:start w:val="1"/>
      <w:numFmt w:val="bullet"/>
      <w:lvlText w:val="●"/>
      <w:lvlJc w:val="left"/>
      <w:pPr>
        <w:ind w:left="5040" w:hanging="360"/>
      </w:pPr>
    </w:lvl>
    <w:lvl w:ilvl="7" w:tplc="E3F8648A">
      <w:start w:val="1"/>
      <w:numFmt w:val="bullet"/>
      <w:lvlText w:val="●"/>
      <w:lvlJc w:val="left"/>
      <w:pPr>
        <w:ind w:left="5760" w:hanging="360"/>
      </w:pPr>
    </w:lvl>
    <w:lvl w:ilvl="8" w:tplc="772E8E92">
      <w:start w:val="1"/>
      <w:numFmt w:val="bullet"/>
      <w:lvlText w:val="●"/>
      <w:lvlJc w:val="left"/>
      <w:pPr>
        <w:ind w:left="6480" w:hanging="360"/>
      </w:pPr>
    </w:lvl>
  </w:abstractNum>
  <w:abstractNum w:abstractNumId="1" w15:restartNumberingAfterBreak="0">
    <w:nsid w:val="42E9143F"/>
    <w:multiLevelType w:val="hybridMultilevel"/>
    <w:tmpl w:val="CCB83304"/>
    <w:lvl w:ilvl="0" w:tplc="87EAB27A">
      <w:start w:val="1"/>
      <w:numFmt w:val="bullet"/>
      <w:lvlText w:val="•"/>
      <w:lvlJc w:val="left"/>
      <w:pPr>
        <w:ind w:left="720" w:hanging="360"/>
      </w:pPr>
    </w:lvl>
    <w:lvl w:ilvl="1" w:tplc="907C8DCE">
      <w:numFmt w:val="decimal"/>
      <w:lvlText w:val=""/>
      <w:lvlJc w:val="left"/>
    </w:lvl>
    <w:lvl w:ilvl="2" w:tplc="AFD280F4">
      <w:numFmt w:val="decimal"/>
      <w:lvlText w:val=""/>
      <w:lvlJc w:val="left"/>
    </w:lvl>
    <w:lvl w:ilvl="3" w:tplc="B50641B4">
      <w:numFmt w:val="decimal"/>
      <w:lvlText w:val=""/>
      <w:lvlJc w:val="left"/>
    </w:lvl>
    <w:lvl w:ilvl="4" w:tplc="28DA79E4">
      <w:numFmt w:val="decimal"/>
      <w:lvlText w:val=""/>
      <w:lvlJc w:val="left"/>
    </w:lvl>
    <w:lvl w:ilvl="5" w:tplc="B7941A7C">
      <w:numFmt w:val="decimal"/>
      <w:lvlText w:val=""/>
      <w:lvlJc w:val="left"/>
    </w:lvl>
    <w:lvl w:ilvl="6" w:tplc="67D24FAC">
      <w:numFmt w:val="decimal"/>
      <w:lvlText w:val=""/>
      <w:lvlJc w:val="left"/>
    </w:lvl>
    <w:lvl w:ilvl="7" w:tplc="0FE4DC0E">
      <w:numFmt w:val="decimal"/>
      <w:lvlText w:val=""/>
      <w:lvlJc w:val="left"/>
    </w:lvl>
    <w:lvl w:ilvl="8" w:tplc="8E7A7A60">
      <w:numFmt w:val="decimal"/>
      <w:lvlText w:val=""/>
      <w:lvlJc w:val="left"/>
    </w:lvl>
  </w:abstractNum>
  <w:num w:numId="1" w16cid:durableId="198012238">
    <w:abstractNumId w:val="0"/>
    <w:lvlOverride w:ilvl="0">
      <w:startOverride w:val="1"/>
    </w:lvlOverride>
  </w:num>
  <w:num w:numId="2" w16cid:durableId="1419206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BA0"/>
    <w:rsid w:val="000970B5"/>
    <w:rsid w:val="00207A39"/>
    <w:rsid w:val="004429B3"/>
    <w:rsid w:val="007119EC"/>
    <w:rsid w:val="00A9072E"/>
    <w:rsid w:val="00E02BA0"/>
    <w:rsid w:val="00E7027A"/>
    <w:rsid w:val="00FA64E3"/>
    <w:rsid w:val="00FF3D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39BF"/>
  <w15:docId w15:val="{51E7DABD-EAAB-6148-85BF-62257EEB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E2761"/>
      <w:sz w:val="34"/>
      <w:szCs w:val="34"/>
    </w:rPr>
  </w:style>
  <w:style w:type="paragraph" w:styleId="Ttulo2">
    <w:name w:val="heading 2"/>
    <w:uiPriority w:val="9"/>
    <w:unhideWhenUsed/>
    <w:qFormat/>
    <w:pPr>
      <w:spacing w:before="280" w:after="120"/>
      <w:outlineLvl w:val="1"/>
    </w:pPr>
    <w:rPr>
      <w:b/>
      <w:bCs/>
      <w:color w:val="1E2761"/>
      <w:sz w:val="27"/>
      <w:szCs w:val="27"/>
    </w:rPr>
  </w:style>
  <w:style w:type="paragraph" w:styleId="Ttulo3">
    <w:name w:val="heading 3"/>
    <w:uiPriority w:val="9"/>
    <w:unhideWhenUsed/>
    <w:qFormat/>
    <w:pPr>
      <w:spacing w:before="200" w:after="100"/>
      <w:outlineLvl w:val="2"/>
    </w:pPr>
    <w:rPr>
      <w:b/>
      <w:bCs/>
      <w:color w:val="2563EB"/>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207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nahuelvp/BigDataUba-Grupo-1.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1069</Words>
  <Characters>5883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Nahuel Andres Vasquez</cp:lastModifiedBy>
  <cp:revision>3</cp:revision>
  <dcterms:created xsi:type="dcterms:W3CDTF">2026-03-31T03:04:00Z</dcterms:created>
  <dcterms:modified xsi:type="dcterms:W3CDTF">2026-03-31T03:13:00Z</dcterms:modified>
</cp:coreProperties>
</file>