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935"/>
        <w:gridCol w:w="3030"/>
        <w:gridCol w:w="1380"/>
        <w:tblGridChange w:id="0">
          <w:tblGrid>
            <w:gridCol w:w="4935"/>
            <w:gridCol w:w="3030"/>
            <w:gridCol w:w="138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UTN – FR Mar del Plata – TSP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Laboratorio III -  Primer Parcial Lab 3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Abril 2023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Nombre y Apellido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Nota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firstLine="1080"/>
        <w:jc w:val="both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Crear un proyecto con su Nombre y Apellido </w:t>
      </w:r>
      <w:r w:rsidDel="00000000" w:rsidR="00000000" w:rsidRPr="00000000">
        <w:rPr>
          <w:b w:val="1"/>
          <w:rtl w:val="0"/>
        </w:rPr>
        <w:t xml:space="preserve">(solamente)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firstLine="1080"/>
        <w:jc w:val="both"/>
      </w:pPr>
      <w:r w:rsidDel="00000000" w:rsidR="00000000" w:rsidRPr="00000000">
        <w:rPr>
          <w:rtl w:val="0"/>
        </w:rPr>
        <w:t xml:space="preserve">Añadir comentarios a su código, modularice y sea prolijo en la codificación, no sumará puntos pero podría restar.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firstLine="1080"/>
        <w:jc w:val="both"/>
      </w:pPr>
      <w:r w:rsidDel="00000000" w:rsidR="00000000" w:rsidRPr="00000000">
        <w:rPr>
          <w:rtl w:val="0"/>
        </w:rPr>
        <w:t xml:space="preserve">Al finalizar, comprimalo en un archivo </w:t>
      </w:r>
      <w:r w:rsidDel="00000000" w:rsidR="00000000" w:rsidRPr="00000000">
        <w:rPr>
          <w:b w:val="1"/>
          <w:rtl w:val="0"/>
        </w:rPr>
        <w:t xml:space="preserve">solamente </w:t>
      </w:r>
      <w:r w:rsidDel="00000000" w:rsidR="00000000" w:rsidRPr="00000000">
        <w:rPr>
          <w:rtl w:val="0"/>
        </w:rPr>
        <w:t xml:space="preserve">con su apellido para luego subirlo al campus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firstLine="1080"/>
        <w:jc w:val="both"/>
      </w:pPr>
      <w:r w:rsidDel="00000000" w:rsidR="00000000" w:rsidRPr="00000000">
        <w:rPr>
          <w:rtl w:val="0"/>
        </w:rPr>
        <w:t xml:space="preserve">Desarrolle un main() e invoque únicamente a las funciones que compilen correctamente. La resolución del mismo es obligatoria y sumará puntos extras en caso de necesitarlos. </w:t>
      </w:r>
      <w:r w:rsidDel="00000000" w:rsidR="00000000" w:rsidRPr="00000000">
        <w:rPr>
          <w:b w:val="1"/>
          <w:rtl w:val="0"/>
        </w:rPr>
        <w:t xml:space="preserve">No se pide ingreso por teclado de ningún tipo.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Una empresa de envíos necesita un programa para gestionar el envío de paquetes. Cada paquete tiene un peso y un destino. Los paquetes se pueden enviar por tierra o por aire, y en cada caso se aplican diferentes tarifas. Además la empresa ofrece servicios adicionales como seguro de envío y entrega en el mismo día. Los paquetes que van por tierra tienen adicionalmente la distancia de envío y tipo de vehículo. Los paquetes por aire especifican la aerolínea en la que se transporta y la clase de envío (normal o express). La empresa nos mencionó por arriba ya cuando el café se estaba enfriando que en un futuro muy lejano además de paquetes y envíos ofrecerá almacenamiento, recolección y seguimiento avanzado. Todos estos nuevos servicios tendrán un costo adicional (guiño guiño, aquí es cuando se prende el sentido 🕷️) basado en propiedades propias de cada uno. Nosotros no tomamos nota de esto pero nos quedó resonando en la cabeza cuando nos pusimos a presupuestar…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Diseño de clases siguiendo las pautas del paradigma en cuanto a herencia, clases abstractas y polimorfismo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Constructores vacíos y completos.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toString y equals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calcularTarifaEnvio que los tipos de paquetes deben implementar.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Paquete tierra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2"/>
        </w:numPr>
        <w:spacing w:line="24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peso del paquete * 25$. Si es “camión” el tipo de vehículo +10%. Si la distancia es superior a los 100km, por cada kilómetro adicional, +5%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spacing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Paquete aire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2"/>
        </w:numPr>
        <w:spacing w:line="24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peso del paquete * 30$. Si la aerolínea es AA, sumaría un 50% de impuestos. Y si es express, +1000$ fijos.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calcularCostoAdicional para los servicios adicionales. Si tiene seguro el costo es un adicional de 1500$ para los paquetes que viajan por tierra y 2500$ para los paquetes que viajan por aire. Si dispone de entrega en el mismo día +25% para tierra y 50% para los paquetes que viajan por avión.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calcularTotalPaquete que nos informe el precio final del paquete.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Agregar y listar todos los paquetes de envío.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Informar la cantidad total de paquetes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BONUS TRACK por el 10 y la promoción: gestionar si el paquete ya fue enviado o no. comprobaciones para no enviar un paquete dos veces.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507200" cy="1950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95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