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320"/>
        <w:jc w:val="center"/>
      </w:pPr>
      <w:r>
        <w:rPr>
          <w:rFonts w:ascii="Arial" w:hAnsi="Arial"/>
          <w:b/>
          <w:color w:val="3F3F3F"/>
          <w:sz w:val="30"/>
        </w:rPr>
        <w:t>ÍNDICE</w:t>
      </w:r>
    </w:p>
    <w:p>
      <w:pPr>
        <w:spacing w:after="200"/>
        <w:jc w:val="center"/>
      </w:pPr>
      <w:r>
        <w:rPr>
          <w:rFonts w:ascii="Arial" w:hAnsi="Arial"/>
          <w:b/>
          <w:color w:val="777777"/>
          <w:sz w:val="18"/>
        </w:rPr>
        <w:t>BORRADOR CONTRACTUAL</w:t>
      </w:r>
    </w:p>
    <w:p>
      <w:pPr>
        <w:spacing w:after="120"/>
        <w:jc w:val="center"/>
      </w:pPr>
      <w:r>
        <w:rPr>
          <w:rFonts w:ascii="Arial" w:hAnsi="Arial"/>
          <w:b/>
          <w:color w:val="222222"/>
          <w:sz w:val="50"/>
        </w:rPr>
        <w:t>Acuerdo de distribución y consultoría autorizada</w:t>
      </w:r>
    </w:p>
    <w:p>
      <w:pPr>
        <w:pStyle w:val="Subtitle"/>
        <w:jc w:val="center"/>
      </w:pPr>
      <w:r>
        <w:t>INDICE TECHNOLOGIES INC. · Ontario, Canadá</w:t>
      </w:r>
    </w:p>
    <w:p>
      <w:pPr>
        <w:spacing w:before="360"/>
        <w:jc w:val="center"/>
      </w:pPr>
      <w:r>
        <w:rPr>
          <w:rFonts w:ascii="Arial" w:hAnsi="Arial"/>
          <w:color w:val="777777"/>
          <w:sz w:val="18"/>
        </w:rPr>
        <w:t>Versión 1.0 · Agosto de 2026</w:t>
      </w:r>
    </w:p>
    <w:p>
      <w:pPr>
        <w:spacing w:before="1200"/>
        <w:ind w:left="936" w:right="936"/>
        <w:jc w:val="center"/>
      </w:pPr>
      <w:r>
        <w:rPr>
          <w:rFonts w:ascii="Arial" w:hAnsi="Arial"/>
          <w:b/>
          <w:color w:val="3F3F3F"/>
          <w:sz w:val="18"/>
        </w:rPr>
        <w:t>BORRADOR PARA REVISIÓN JURÍDICA. NO FIRMAR SIN VALIDACIÓN DE UN ABOGADO EN ONTARIO Y EN LOS PAÍSES DONDE OPEREN LOS DISTRIBUIDORES.</w:t>
      </w:r>
    </w:p>
    <w:p>
      <w:r>
        <w:br w:type="page"/>
      </w:r>
    </w:p>
    <w:p>
      <w:r>
        <w:t>Este Acuerdo se celebra a partir del ____ de __________ de 20____ (“Fecha de Vigencia”) entre:</w:t>
      </w:r>
    </w:p>
    <w:p>
      <w:r>
        <w:t>INDICE TECHNOLOGIES INC., corporación de Ontario, OCN 1001534748, con domicilio en 130 King Street West, Toronto, Ontario M5X 1E3, Canada (“Índice”); y</w:t>
      </w:r>
    </w:p>
    <w:p>
      <w:r>
        <w:t>________________________________________, con domicilio en ________________________________________ y número de identificación o registro __________________ (“Distribuidor”).</w:t>
      </w:r>
    </w:p>
    <w:p>
      <w:r>
        <w:t>Índice y el Distribuidor se denominan conjuntamente las “Partes”.</w:t>
      </w:r>
    </w:p>
    <w:tbl>
      <w:tblPr>
        <w:tblW w:type="dxa" w:w="9700"/>
        <w:jc w:val="center"/>
        <w:tblLayout w:type="fixed"/>
        <w:tblLook w:firstColumn="1" w:firstRow="1" w:lastColumn="0" w:lastRow="0" w:noHBand="0" w:noVBand="1" w:val="04A0"/>
        <w:tblInd w:w="0" w:type="dxa"/>
      </w:tblPr>
      <w:tblGrid>
        <w:gridCol w:w="9700"/>
      </w:tblGrid>
      <w:tr>
        <w:trPr>
          <w:cantSplit/>
        </w:trPr>
        <w:tc>
          <w:tcPr>
            <w:tcW w:type="dxa" w:w="9700"/>
            <w:tcMar>
              <w:top w:w="90" w:type="dxa"/>
              <w:start w:w="120" w:type="dxa"/>
              <w:bottom w:w="90" w:type="dxa"/>
              <w:end w:w="120" w:type="dxa"/>
            </w:tcMar>
            <w:vAlign w:val="center"/>
            <w:shd w:fill="F4F4F4"/>
          </w:tcPr>
          <w:p>
            <w:r>
              <w:rPr>
                <w:b/>
                <w:color w:val="3F3F3F"/>
              </w:rPr>
              <w:t xml:space="preserve">ADVERTENCIA  </w:t>
            </w:r>
            <w:r>
              <w:t>La naturaleza real de la relación prevalece sobre el nombre del contrato. Las Partes deberán operar de manera consistente con una relación comercial independiente y revisar requisitos laborales, fiscales y de protección al consumidor en cada país.</w:t>
            </w:r>
          </w:p>
        </w:tc>
      </w:tr>
    </w:tbl>
    <w:p>
      <w:pPr>
        <w:spacing w:after="0"/>
      </w:pPr>
    </w:p>
    <w:p>
      <w:pPr>
        <w:pStyle w:val="Heading1"/>
      </w:pPr>
      <w:r>
        <w:t>1. Objeto</w:t>
      </w:r>
    </w:p>
    <w:p>
      <w:r>
        <w:t>Índice autoriza al Distribuidor, de manera personal, limitada, revocable, no exclusiva y no transferible, a comercializar suscripciones y servicios de Índice conforme a este Acuerdo, las certificaciones vigentes, el Manual Operativo y las políticas comunicadas por Índice.</w:t>
      </w:r>
    </w:p>
    <w:p>
      <w:pPr>
        <w:pStyle w:val="Heading1"/>
      </w:pPr>
      <w:r>
        <w:t>2. Figuras autorizadas</w:t>
      </w:r>
    </w:p>
    <w:p>
      <w:r>
        <w:t>El Distribuidor actuará únicamente bajo la figura marcada en el Anexo A: (a) Distribuidor certificado, autorizado para vender y recibir la comisión inicial, sin soporte posterior; o (b) Distribuidor-consultor, autorizado para vender, implementar, capacitar y acompañar clientes, con comisión inicial y recurrente. Nadie sin certificación vigente puede vender Índice.</w:t>
      </w:r>
    </w:p>
    <w:p>
      <w:pPr>
        <w:pStyle w:val="Heading1"/>
      </w:pPr>
      <w:r>
        <w:t>3. Relación independiente</w:t>
      </w:r>
    </w:p>
    <w:p>
      <w:r>
        <w:t>El Distribuidor actúa como contratista independiente y administra sus métodos, horarios, medios, gastos, seguros, obligaciones fiscales y actividad comercial. No es empleado, agente legal, socio, franquiciado ni representante con facultad para obligar a Índice. No podrá celebrar contratos, modificar condiciones, asumir deudas, ofrecer garantías ni hacer declaraciones vinculantes en nombre de Índice. Esta cláusula no sustituye el análisis legal de la relación real.</w:t>
      </w:r>
    </w:p>
    <w:p>
      <w:pPr>
        <w:pStyle w:val="Heading1"/>
      </w:pPr>
      <w:r>
        <w:t>4. Territorio y no exclusividad</w:t>
      </w:r>
    </w:p>
    <w:p>
      <w:r>
        <w:t>No existe territorio exclusivo. El Distribuidor puede prospectar dentro o fuera de su país, sujeto a la legislación local, sanciones, controles de exportación, privacidad, impuestos y reglas comerciales aplicables. Puede representar productos competidores, pero no puede usar información confidencial, tecnología, listas de clientes ni materiales internos de Índice para favorecerlos.</w:t>
      </w:r>
    </w:p>
    <w:p>
      <w:pPr>
        <w:pStyle w:val="Heading1"/>
      </w:pPr>
      <w:r>
        <w:t>5. Registro y atribución de prospectos</w:t>
      </w:r>
    </w:p>
    <w:p>
      <w:r>
        <w:t>Todo prospecto deberá registrarse en el sistema interno de contratos. La protección comercial dura un mes y exige evidencia de comunicación y avance. Ante conflicto, prevalece el primer registro respaldado por comunicación efectiva. Índice puede rechazar, liberar o reasignar registros falsos, duplicados, inactivos o contrarios a sus políticas.</w:t>
      </w:r>
    </w:p>
    <w:p>
      <w:pPr>
        <w:pStyle w:val="Heading1"/>
      </w:pPr>
      <w:r>
        <w:t>6. Comisiones y devengo</w:t>
      </w:r>
    </w:p>
    <w:p>
      <w:r>
        <w:t>Las comisiones se calculan sobre el importe de la factura descontando únicamente impuestos. El Distribuidor certificado recibe 100% de la primera factura y no recibe comisión recurrente. El Distribuidor-consultor recibe 100% de la primera factura y 30% de facturas mensuales posteriores mientras el cliente permanezca activo y sea atendido conforme al Acuerdo. La comisión recurrente incluye aumentos por módulos, empleados o servicios. Un cliente que regresa nunca vuelve a generar comisión inicial.</w:t>
      </w:r>
    </w:p>
    <w:p>
      <w:pPr>
        <w:pStyle w:val="Heading1"/>
      </w:pPr>
      <w:r>
        <w:t>7. Pago, ajustes y cobro</w:t>
      </w:r>
    </w:p>
    <w:p>
      <w:r>
        <w:t>Índice pagará la comisión hasta cinco días después de recibir el pago del cliente, sin mínimo de pago. La falta o demora de pago del cliente aplaza el devengo y pago de la comisión. Reembolsos, contracargos o reversos se compensarán contra pagos posteriores. El Distribuidor-consultor podrá apoyar la cobranza y gestión inicial de conflictos bajo asesoría de Índice, sin realizar amenazas, prácticas engañosas ni actos jurídicos no autorizados.</w:t>
      </w:r>
    </w:p>
    <w:p>
      <w:pPr>
        <w:pStyle w:val="Heading1"/>
      </w:pPr>
      <w:r>
        <w:t>8. Clientes asignados por Índice</w:t>
      </w:r>
    </w:p>
    <w:p>
      <w:r>
        <w:t>Cuando Índice origine y asigne un cliente, el Distribuidor-consultor no recibe comisión inicial, pero recibe el 30% recurrente mientras cumpla el acompañamiento. La asignación no crea propiedad sobre el cliente; la relación contractual y los datos del cliente pertenecen a Índice, sujeto a derechos legales del cliente.</w:t>
      </w:r>
    </w:p>
    <w:p>
      <w:pPr>
        <w:pStyle w:val="Heading1"/>
      </w:pPr>
      <w:r>
        <w:t>9. Servicios de acompañamiento</w:t>
      </w:r>
    </w:p>
    <w:p>
      <w:r>
        <w:t>El Distribuidor-consultor realizará las seis sesiones iniciales o las incluidas en el paquete contratado, cubriendo onboarding, capacitación, consultoría, revisión de uso, problemas y recomendaciones. Responderá en un máximo de 24 horas; los asuntos extensos deberán convertirse en sesión agendada. Después de la etapa inicial ofrecerá hasta dos sesiones mensuales sin costo y documentará todas las sesiones en la plataforma. Los primeros tres meses tendrán como referencia mínima cuatro horas mensuales cuando la implantación y el paquete lo exijan.</w:t>
      </w:r>
    </w:p>
    <w:p>
      <w:pPr>
        <w:pStyle w:val="Heading1"/>
      </w:pPr>
      <w:r>
        <w:t>10. Sesiones adicionales</w:t>
      </w:r>
    </w:p>
    <w:p>
      <w:r>
        <w:t>Después de las dos sesiones mensuales gratuitas, cada sesión adicional tendrá un precio de USD 79 antes de impuestos: USD 50 para el consultor y USD 29 para Índice. La contratación, agenda, cobro y registro se realizarán mediante el sistema. Si el consultor decide regalar una sesión adicional, asumirá el tratamiento económico mostrado por el sistema.</w:t>
      </w:r>
    </w:p>
    <w:p>
      <w:pPr>
        <w:pStyle w:val="Heading1"/>
      </w:pPr>
      <w:r>
        <w:t>11. Certificación</w:t>
      </w:r>
    </w:p>
    <w:p>
      <w:r>
        <w:t>La certificación inicial y las certificaciones ofrecidas por Índice no tienen costo. Índice podrá requerir entre una y seis certificaciones al año. Todo módulo complementario exige certificación para venderse. El Distribuidor tendrá 60 días desde la notificación o disponibilidad para aprobarla; vencido el plazo, no podrá vender el módulo y deberá pagar USD 99 mensuales por cada certificación pendiente hasta regularizarse. Índice podrá verificar conocimientos y suspender facultades relacionadas con módulos no certificados.</w:t>
      </w:r>
    </w:p>
    <w:p>
      <w:pPr>
        <w:pStyle w:val="Heading1"/>
      </w:pPr>
      <w:r>
        <w:t>12. Soporte, calidad y contacto con clientes</w:t>
      </w:r>
    </w:p>
    <w:p>
      <w:r>
        <w:t>El Distribuidor-consultor resolverá dudas de uso y capacitación y escalará a Índice aquello que no pueda solucionar o requiera opiniones adicionales. Índice podrá contactar clientes, enviar encuestas, auditar calidad, revisar registros y coordinar apoyo de otros consultores. La colaboración de otro consultor no modifica comisiones salvo reasignación o cambio formal.</w:t>
      </w:r>
    </w:p>
    <w:p>
      <w:pPr>
        <w:pStyle w:val="Heading1"/>
      </w:pPr>
      <w:r>
        <w:t>13. Quejas, investigación y apelación</w:t>
      </w:r>
    </w:p>
    <w:p>
      <w:r>
        <w:t>Antes de sancionar una queja ordinaria, Índice investigará, notificará al Distribuidor, le permitirá presentar pruebas y resolverá la apelación registrada en el sistema. Las medidas se aplican por cliente: primera incidencia válida, reducción del 50% de la comisión recurrente por un mes; segunda, reducción del 50% por dos meses; tercera, reasignación. La investigación no impide medidas preventivas inmediatas cuando exista riesgo para personas, datos, clientes, marca o tecnología.</w:t>
      </w:r>
    </w:p>
    <w:p>
      <w:pPr>
        <w:pStyle w:val="Heading1"/>
      </w:pPr>
      <w:r>
        <w:t>14. Reasignación y transición</w:t>
      </w:r>
    </w:p>
    <w:p>
      <w:r>
        <w:t>En una reasignación por incumplimiento habrá una transición de 30 días, salvo que la gravedad exija separación inmediata. Al concluir, el consultor anterior pierde toda comisión y el nuevo recibe el 30% recurrente, sin comisión inicial. En un cambio voluntario sin incumplimiento, ambos consultores reciben 15% durante seis meses y después el nuevo recibe 30%. El consultor saliente entregará registros, acuerdos, configuraciones, pendientes y contexto sin retener información.</w:t>
      </w:r>
    </w:p>
    <w:p>
      <w:pPr>
        <w:pStyle w:val="Heading1"/>
      </w:pPr>
      <w:r>
        <w:t>15. Conductas graves</w:t>
      </w:r>
    </w:p>
    <w:p>
      <w:r>
        <w:t>Índice podrá suspender o terminar inmediatamente por peleas, insultos, discriminación, amenazas, acoso, fraude, robo, apropiación de pagos, falsificación, uso indebido de datos o marca, conflicto de interés oculto, violación material de seguridad, transmisión de tecnología a competidores o incumplimiento grave del reglamento anual. Se respetarán los derechos de respuesta cuando las circunstancias lo permitan.</w:t>
      </w:r>
    </w:p>
    <w:p>
      <w:pPr>
        <w:pStyle w:val="Heading1"/>
      </w:pPr>
      <w:r>
        <w:t>16. Licencia de marca</w:t>
      </w:r>
    </w:p>
    <w:p>
      <w:r>
        <w:t>Durante la vigencia y certificación, Índice concede una licencia limitada, revocable, no exclusiva, no sublicenciable y sin transferencia de propiedad para usar las marcas y la señalización oficial únicamente al comercializar servicios autorizados. El Distribuidor podrá pagar publicidad, crear contenido, realizar eventos y actuar como especialista o influencer, siempre que respete materiales, tono y calidad definidos por Índice. Todo beneficio y reputación derivados del uso de las marcas redundará en favor de Índice.</w:t>
      </w:r>
    </w:p>
    <w:p>
      <w:pPr>
        <w:pStyle w:val="Heading1"/>
      </w:pPr>
      <w:r>
        <w:t>17. Control de marca y publicidad</w:t>
      </w:r>
    </w:p>
    <w:p>
      <w:r>
        <w:t>El Distribuidor mantendrá colores, proporciones y archivos oficiales; usará la denominación autorizada correspondiente; identificará su carácter independiente; retirará o corregirá materiales cuando Índice lo solicite; y conservará pruebas de campañas. No podrá alterar marcas, registrar signos, dominios o perfiles confundibles, presentarse como corporativo, anunciar información falsa, prometer funciones o descuentos no aprobados, comprar palabras clave engañosas ni usar testimonios o datos sin autorización válida.</w:t>
      </w:r>
    </w:p>
    <w:p>
      <w:pPr>
        <w:pStyle w:val="Heading1"/>
      </w:pPr>
      <w:r>
        <w:t>18. Propiedad intelectual</w:t>
      </w:r>
    </w:p>
    <w:p>
      <w:r>
        <w:t>Índice conserva todos los derechos sobre software, código, arquitectura, documentación, marcas, contenidos, métodos, configuraciones, mejoras y tecnología. El Distribuidor recibe únicamente los derechos expresos de este Acuerdo. No podrá copiar, descompilar, eludir controles, extraer código, crear derivados, revender accesos no autorizados, transferir conocimiento técnico a competidores ni reclamar propiedad sobre mejoras de Índice. Las sugerencias podrán ser usadas por Índice sin obligación, salvo acuerdo escrito distinto.</w:t>
      </w:r>
    </w:p>
    <w:p>
      <w:pPr>
        <w:pStyle w:val="Heading1"/>
      </w:pPr>
      <w:r>
        <w:t>19. Confidencialidad y seguridad</w:t>
      </w:r>
    </w:p>
    <w:p>
      <w:r>
        <w:t>El Distribuidor protegerá información no pública de Índice y de clientes, la usará solo para cumplir el Acuerdo y limitará acceso a quien esté autorizado. Aplicará medidas razonables de seguridad, no compartirá credenciales y notificará inmediatamente incidentes, accesos indebidos o pérdida de información. Al terminar devolverá o eliminará información conforme a instrucciones y obligaciones legales. Los secretos comerciales permanecerán protegidos mientras conserven ese carácter; las demás obligaciones sobrevivirán cinco años.</w:t>
      </w:r>
    </w:p>
    <w:p>
      <w:pPr>
        <w:pStyle w:val="Heading1"/>
      </w:pPr>
      <w:r>
        <w:t>20. Privacidad y datos personales</w:t>
      </w:r>
    </w:p>
    <w:p>
      <w:r>
        <w:t>Cada Parte cumplirá las leyes de privacidad aplicables en los territorios donde opere. El Distribuidor solo accederá a datos necesarios, seguirá instrucciones documentadas, no descargará ni reutilizará datos para fines propios y cooperará con solicitudes, investigaciones e incidentes. Cuando corresponda, las Partes celebrarán un acuerdo de tratamiento de datos separado.</w:t>
      </w:r>
    </w:p>
    <w:p>
      <w:pPr>
        <w:pStyle w:val="Heading1"/>
      </w:pPr>
      <w:r>
        <w:t>21. Cumplimiento legal y fiscal</w:t>
      </w:r>
    </w:p>
    <w:p>
      <w:r>
        <w:t>El Distribuidor cumplirá leyes de publicidad, competencia, consumidores, anticorrupción, impuestos, privacidad, comunicaciones comerciales y licencias locales. Será responsable de registrar y pagar sus impuestos y de emitir documentación fiscal cuando corresponda. Índice podrá retener montos exigidos por ley y solicitar formularios o comprobantes razonables.</w:t>
      </w:r>
    </w:p>
    <w:p>
      <w:pPr>
        <w:pStyle w:val="Heading1"/>
      </w:pPr>
      <w:r>
        <w:t>22. Vigencia y renovación</w:t>
      </w:r>
    </w:p>
    <w:p>
      <w:r>
        <w:t>El Acuerdo dura un año desde la Fecha de Vigencia y se renueva automáticamente por periodos anuales, salvo aviso escrito de no renovación con al menos 30 días de anticipación. El Distribuidor puede retirarse con aviso escrito de 30 días. Índice puede terminar por incumplimiento no subsanado dentro del plazo indicado en la notificación o inmediatamente por una conducta grave.</w:t>
      </w:r>
    </w:p>
    <w:p>
      <w:pPr>
        <w:pStyle w:val="Heading1"/>
      </w:pPr>
      <w:r>
        <w:t>23. Efectos de terminación</w:t>
      </w:r>
    </w:p>
    <w:p>
      <w:r>
        <w:t>Al terminar cesan la autorización de venta, certificación operativa, uso de marca y comisiones recurrentes futuras. Permanecen pagaderas las comisiones correctamente devengadas antes de la terminación, sujetas a reembolsos, compensaciones y sanciones válidas. Los clientes se reasignarán y el Distribuidor cooperará durante la transición. Sobreviven confidencialidad, propiedad intelectual, privacidad, pagos pendientes, responsabilidad y solución de controversias.</w:t>
      </w:r>
    </w:p>
    <w:p>
      <w:pPr>
        <w:pStyle w:val="Heading1"/>
      </w:pPr>
      <w:r>
        <w:t>24. Responsabilidad e indemnización</w:t>
      </w:r>
    </w:p>
    <w:p>
      <w:r>
        <w:t>Cada Parte responde por sus actos y omisiones. En la máxima medida permitida por ley, ninguna Parte responderá por daños indirectos, especiales o consecuenciales, salvo fraude, conducta dolosa, violación de confidencialidad, privacidad, propiedad intelectual, obligaciones de indemnización o montos que legalmente no puedan limitarse. El Distribuidor indemnizará a Índice por reclamaciones derivadas de promesas no autorizadas, publicidad propia ilegal, negligencia grave, conducta dolosa o incumplimiento del Acuerdo. La limitación monetaria general deberá ser definida por asesoría jurídica antes de firma.</w:t>
      </w:r>
    </w:p>
    <w:p>
      <w:pPr>
        <w:pStyle w:val="Heading1"/>
      </w:pPr>
      <w:r>
        <w:t>25. Ley aplicable y controversias</w:t>
      </w:r>
    </w:p>
    <w:p>
      <w:r>
        <w:t>El Acuerdo se rige por las leyes de Ontario y las leyes federales de Canadá aplicables. Las Partes intentarán resolver disputas mediante negociación de buena fe durante 15 días. Si no se resuelven, se someterán a los tribunales competentes de Toronto, Ontario, y las Partes aceptan su jurisdicción exclusiva. Nada impide solicitar medidas urgentes para proteger información, datos, marca o propiedad intelectual.</w:t>
      </w:r>
    </w:p>
    <w:p>
      <w:pPr>
        <w:pStyle w:val="Heading1"/>
      </w:pPr>
      <w:r>
        <w:t>26. Notificaciones</w:t>
      </w:r>
    </w:p>
    <w:p>
      <w:r>
        <w:t>Las notificaciones se enviarán por correo electrónico y, cuando sean materiales, también por mensajería o correo certificado a los domicilios del encabezado o a los actualizados por escrito. Para Índice: 130 King Street West, Toronto, Ontario M5X 1E3, Canada; correo: ____________________. Para el Distribuidor: el domicilio y correo indicados en la firma.</w:t>
      </w:r>
    </w:p>
    <w:p>
      <w:pPr>
        <w:pStyle w:val="Heading1"/>
      </w:pPr>
      <w:r>
        <w:t>27. Disposiciones generales</w:t>
      </w:r>
    </w:p>
    <w:p>
      <w:r>
        <w:t>Este Acuerdo, sus anexos, el Manual Operativo y las políticas incorporadas constituyen el acuerdo completo. Ante contradicción, prevalece este Acuerdo, luego sus anexos y después el Manual. Las modificaciones materiales requieren escrito firmado, salvo actualizaciones operativas o de marca razonables notificadas por Índice. La invalidez de una disposición no afecta las restantes. La falta de ejercicio no implica renuncia. El Distribuidor no puede ceder el Acuerdo sin consentimiento escrito; Índice puede cederlo en una reorganización, fusión o venta del negocio. Se permiten firmas electrónicas y contrapartes.</w:t>
      </w:r>
    </w:p>
    <w:p>
      <w:pPr>
        <w:pStyle w:val="Heading1"/>
      </w:pPr>
      <w:r>
        <w:t>Anexo A. Selección de figura y datos comerciales</w:t>
      </w:r>
    </w:p>
    <w:tbl>
      <w:tblPr>
        <w:tblStyle w:val="TableGrid"/>
        <w:tblW w:type="dxa" w:w="9700"/>
        <w:jc w:val="center"/>
        <w:tblLayout w:type="fixed"/>
        <w:tblLook w:firstColumn="1" w:firstRow="1" w:lastColumn="0" w:lastRow="0" w:noHBand="0" w:noVBand="1" w:val="04A0"/>
        <w:tblInd w:w="0" w:type="dxa"/>
      </w:tblPr>
      <w:tblGrid>
        <w:gridCol w:w="3000"/>
        <w:gridCol w:w="6700"/>
      </w:tblGrid>
      <w:tr>
        <w:trPr>
          <w:tblHeader w:val="true"/>
          <w:cantSplit/>
        </w:trPr>
        <w:tc>
          <w:tcPr>
            <w:tcW w:type="dxa" w:w="3000"/>
            <w:shd w:fill="3F3F3F"/>
            <w:tcMar>
              <w:top w:w="90" w:type="dxa"/>
              <w:start w:w="120" w:type="dxa"/>
              <w:bottom w:w="90" w:type="dxa"/>
              <w:end w:w="120" w:type="dxa"/>
            </w:tcMar>
            <w:vAlign w:val="center"/>
          </w:tcPr>
          <w:p>
            <w:r>
              <w:rPr>
                <w:b/>
                <w:color w:val="FFFFFF"/>
                <w:sz w:val="18"/>
              </w:rPr>
              <w:t>Campo</w:t>
            </w:r>
          </w:p>
        </w:tc>
        <w:tc>
          <w:tcPr>
            <w:tcW w:type="dxa" w:w="6700"/>
            <w:shd w:fill="3F3F3F"/>
            <w:tcMar>
              <w:top w:w="90" w:type="dxa"/>
              <w:start w:w="120" w:type="dxa"/>
              <w:bottom w:w="90" w:type="dxa"/>
              <w:end w:w="120" w:type="dxa"/>
            </w:tcMar>
            <w:vAlign w:val="center"/>
          </w:tcPr>
          <w:p>
            <w:r>
              <w:rPr>
                <w:b/>
                <w:color w:val="FFFFFF"/>
                <w:sz w:val="18"/>
              </w:rPr>
              <w:t>Selección / información</w:t>
            </w:r>
          </w:p>
        </w:tc>
      </w:tr>
      <w:tr>
        <w:trPr>
          <w:cantSplit/>
        </w:trPr>
        <w:tc>
          <w:tcPr>
            <w:tcW w:type="dxa" w:w="3000"/>
            <w:tcMar>
              <w:top w:w="90" w:type="dxa"/>
              <w:start w:w="120" w:type="dxa"/>
              <w:bottom w:w="90" w:type="dxa"/>
              <w:end w:w="120" w:type="dxa"/>
            </w:tcMar>
            <w:vAlign w:val="center"/>
          </w:tcPr>
          <w:p>
            <w:pPr>
              <w:spacing w:after="0"/>
            </w:pPr>
            <w:r>
              <w:rPr>
                <w:sz w:val="18"/>
              </w:rPr>
              <w:t>Figura autorizada</w:t>
            </w:r>
          </w:p>
        </w:tc>
        <w:tc>
          <w:tcPr>
            <w:tcW w:type="dxa" w:w="6700"/>
            <w:tcMar>
              <w:top w:w="90" w:type="dxa"/>
              <w:start w:w="120" w:type="dxa"/>
              <w:bottom w:w="90" w:type="dxa"/>
              <w:end w:w="120" w:type="dxa"/>
            </w:tcMar>
            <w:vAlign w:val="center"/>
          </w:tcPr>
          <w:p>
            <w:pPr>
              <w:spacing w:after="0"/>
            </w:pPr>
            <w:r>
              <w:rPr>
                <w:sz w:val="18"/>
              </w:rPr>
              <w:t>☐ Distribuidor certificado   ☐ Distribuidor-consultor</w:t>
            </w:r>
          </w:p>
        </w:tc>
      </w:tr>
      <w:tr>
        <w:trPr>
          <w:cantSplit/>
        </w:trPr>
        <w:tc>
          <w:tcPr>
            <w:tcW w:type="dxa" w:w="3000"/>
            <w:shd w:fill="F4F4F4"/>
            <w:tcMar>
              <w:top w:w="90" w:type="dxa"/>
              <w:start w:w="120" w:type="dxa"/>
              <w:bottom w:w="90" w:type="dxa"/>
              <w:end w:w="120" w:type="dxa"/>
            </w:tcMar>
            <w:vAlign w:val="center"/>
          </w:tcPr>
          <w:p>
            <w:pPr>
              <w:spacing w:after="0"/>
            </w:pPr>
            <w:r>
              <w:rPr>
                <w:sz w:val="18"/>
              </w:rPr>
              <w:t>Nombre legal</w:t>
            </w:r>
          </w:p>
        </w:tc>
        <w:tc>
          <w:tcPr>
            <w:tcW w:type="dxa" w:w="6700"/>
            <w:shd w:fill="F4F4F4"/>
            <w:tcMar>
              <w:top w:w="90" w:type="dxa"/>
              <w:start w:w="120" w:type="dxa"/>
              <w:bottom w:w="90" w:type="dxa"/>
              <w:end w:w="120" w:type="dxa"/>
            </w:tcMar>
            <w:vAlign w:val="center"/>
          </w:tcPr>
          <w:p>
            <w:pPr>
              <w:spacing w:after="0"/>
            </w:pPr>
            <w:r>
              <w:rPr>
                <w:sz w:val="18"/>
              </w:rPr>
            </w:r>
          </w:p>
        </w:tc>
      </w:tr>
      <w:tr>
        <w:trPr>
          <w:cantSplit/>
        </w:trPr>
        <w:tc>
          <w:tcPr>
            <w:tcW w:type="dxa" w:w="3000"/>
            <w:tcMar>
              <w:top w:w="90" w:type="dxa"/>
              <w:start w:w="120" w:type="dxa"/>
              <w:bottom w:w="90" w:type="dxa"/>
              <w:end w:w="120" w:type="dxa"/>
            </w:tcMar>
            <w:vAlign w:val="center"/>
          </w:tcPr>
          <w:p>
            <w:pPr>
              <w:spacing w:after="0"/>
            </w:pPr>
            <w:r>
              <w:rPr>
                <w:sz w:val="18"/>
              </w:rPr>
              <w:t>Nombre comercial</w:t>
            </w:r>
          </w:p>
        </w:tc>
        <w:tc>
          <w:tcPr>
            <w:tcW w:type="dxa" w:w="6700"/>
            <w:tcMar>
              <w:top w:w="90" w:type="dxa"/>
              <w:start w:w="120" w:type="dxa"/>
              <w:bottom w:w="90" w:type="dxa"/>
              <w:end w:w="120" w:type="dxa"/>
            </w:tcMar>
            <w:vAlign w:val="center"/>
          </w:tcPr>
          <w:p>
            <w:pPr>
              <w:spacing w:after="0"/>
            </w:pPr>
            <w:r>
              <w:rPr>
                <w:sz w:val="18"/>
              </w:rPr>
            </w:r>
          </w:p>
        </w:tc>
      </w:tr>
      <w:tr>
        <w:trPr>
          <w:cantSplit/>
        </w:trPr>
        <w:tc>
          <w:tcPr>
            <w:tcW w:type="dxa" w:w="3000"/>
            <w:shd w:fill="F4F4F4"/>
            <w:tcMar>
              <w:top w:w="90" w:type="dxa"/>
              <w:start w:w="120" w:type="dxa"/>
              <w:bottom w:w="90" w:type="dxa"/>
              <w:end w:w="120" w:type="dxa"/>
            </w:tcMar>
            <w:vAlign w:val="center"/>
          </w:tcPr>
          <w:p>
            <w:pPr>
              <w:spacing w:after="0"/>
            </w:pPr>
            <w:r>
              <w:rPr>
                <w:sz w:val="18"/>
              </w:rPr>
              <w:t>País principal de operación</w:t>
            </w:r>
          </w:p>
        </w:tc>
        <w:tc>
          <w:tcPr>
            <w:tcW w:type="dxa" w:w="6700"/>
            <w:shd w:fill="F4F4F4"/>
            <w:tcMar>
              <w:top w:w="90" w:type="dxa"/>
              <w:start w:w="120" w:type="dxa"/>
              <w:bottom w:w="90" w:type="dxa"/>
              <w:end w:w="120" w:type="dxa"/>
            </w:tcMar>
            <w:vAlign w:val="center"/>
          </w:tcPr>
          <w:p>
            <w:pPr>
              <w:spacing w:after="0"/>
            </w:pPr>
            <w:r>
              <w:rPr>
                <w:sz w:val="18"/>
              </w:rPr>
            </w:r>
          </w:p>
        </w:tc>
      </w:tr>
      <w:tr>
        <w:trPr>
          <w:cantSplit/>
        </w:trPr>
        <w:tc>
          <w:tcPr>
            <w:tcW w:type="dxa" w:w="3000"/>
            <w:tcMar>
              <w:top w:w="90" w:type="dxa"/>
              <w:start w:w="120" w:type="dxa"/>
              <w:bottom w:w="90" w:type="dxa"/>
              <w:end w:w="120" w:type="dxa"/>
            </w:tcMar>
            <w:vAlign w:val="center"/>
          </w:tcPr>
          <w:p>
            <w:pPr>
              <w:spacing w:after="0"/>
            </w:pPr>
            <w:r>
              <w:rPr>
                <w:sz w:val="18"/>
              </w:rPr>
              <w:t>Correo</w:t>
            </w:r>
          </w:p>
        </w:tc>
        <w:tc>
          <w:tcPr>
            <w:tcW w:type="dxa" w:w="6700"/>
            <w:tcMar>
              <w:top w:w="90" w:type="dxa"/>
              <w:start w:w="120" w:type="dxa"/>
              <w:bottom w:w="90" w:type="dxa"/>
              <w:end w:w="120" w:type="dxa"/>
            </w:tcMar>
            <w:vAlign w:val="center"/>
          </w:tcPr>
          <w:p>
            <w:pPr>
              <w:spacing w:after="0"/>
            </w:pPr>
            <w:r>
              <w:rPr>
                <w:sz w:val="18"/>
              </w:rPr>
            </w:r>
          </w:p>
        </w:tc>
      </w:tr>
      <w:tr>
        <w:trPr>
          <w:cantSplit/>
        </w:trPr>
        <w:tc>
          <w:tcPr>
            <w:tcW w:type="dxa" w:w="3000"/>
            <w:shd w:fill="F4F4F4"/>
            <w:tcMar>
              <w:top w:w="90" w:type="dxa"/>
              <w:start w:w="120" w:type="dxa"/>
              <w:bottom w:w="90" w:type="dxa"/>
              <w:end w:w="120" w:type="dxa"/>
            </w:tcMar>
            <w:vAlign w:val="center"/>
          </w:tcPr>
          <w:p>
            <w:pPr>
              <w:spacing w:after="0"/>
            </w:pPr>
            <w:r>
              <w:rPr>
                <w:sz w:val="18"/>
              </w:rPr>
              <w:t>Teléfono</w:t>
            </w:r>
          </w:p>
        </w:tc>
        <w:tc>
          <w:tcPr>
            <w:tcW w:type="dxa" w:w="6700"/>
            <w:shd w:fill="F4F4F4"/>
            <w:tcMar>
              <w:top w:w="90" w:type="dxa"/>
              <w:start w:w="120" w:type="dxa"/>
              <w:bottom w:w="90" w:type="dxa"/>
              <w:end w:w="120" w:type="dxa"/>
            </w:tcMar>
            <w:vAlign w:val="center"/>
          </w:tcPr>
          <w:p>
            <w:pPr>
              <w:spacing w:after="0"/>
            </w:pPr>
            <w:r>
              <w:rPr>
                <w:sz w:val="18"/>
              </w:rPr>
            </w:r>
          </w:p>
        </w:tc>
      </w:tr>
      <w:tr>
        <w:trPr>
          <w:cantSplit/>
        </w:trPr>
        <w:tc>
          <w:tcPr>
            <w:tcW w:type="dxa" w:w="3000"/>
            <w:tcMar>
              <w:top w:w="90" w:type="dxa"/>
              <w:start w:w="120" w:type="dxa"/>
              <w:bottom w:w="90" w:type="dxa"/>
              <w:end w:w="120" w:type="dxa"/>
            </w:tcMar>
            <w:vAlign w:val="center"/>
          </w:tcPr>
          <w:p>
            <w:pPr>
              <w:spacing w:after="0"/>
            </w:pPr>
            <w:r>
              <w:rPr>
                <w:sz w:val="18"/>
              </w:rPr>
              <w:t>Identificación fiscal</w:t>
            </w:r>
          </w:p>
        </w:tc>
        <w:tc>
          <w:tcPr>
            <w:tcW w:type="dxa" w:w="6700"/>
            <w:tcMar>
              <w:top w:w="90" w:type="dxa"/>
              <w:start w:w="120" w:type="dxa"/>
              <w:bottom w:w="90" w:type="dxa"/>
              <w:end w:w="120" w:type="dxa"/>
            </w:tcMar>
            <w:vAlign w:val="center"/>
          </w:tcPr>
          <w:p>
            <w:pPr>
              <w:spacing w:after="0"/>
            </w:pPr>
            <w:r>
              <w:rPr>
                <w:sz w:val="18"/>
              </w:rPr>
            </w:r>
          </w:p>
        </w:tc>
      </w:tr>
      <w:tr>
        <w:trPr>
          <w:cantSplit/>
        </w:trPr>
        <w:tc>
          <w:tcPr>
            <w:tcW w:type="dxa" w:w="3000"/>
            <w:shd w:fill="F4F4F4"/>
            <w:tcMar>
              <w:top w:w="90" w:type="dxa"/>
              <w:start w:w="120" w:type="dxa"/>
              <w:bottom w:w="90" w:type="dxa"/>
              <w:end w:w="120" w:type="dxa"/>
            </w:tcMar>
            <w:vAlign w:val="center"/>
          </w:tcPr>
          <w:p>
            <w:pPr>
              <w:spacing w:after="0"/>
            </w:pPr>
            <w:r>
              <w:rPr>
                <w:sz w:val="18"/>
              </w:rPr>
              <w:t>Fecha de certificación inicial</w:t>
            </w:r>
          </w:p>
        </w:tc>
        <w:tc>
          <w:tcPr>
            <w:tcW w:type="dxa" w:w="6700"/>
            <w:shd w:fill="F4F4F4"/>
            <w:tcMar>
              <w:top w:w="90" w:type="dxa"/>
              <w:start w:w="120" w:type="dxa"/>
              <w:bottom w:w="90" w:type="dxa"/>
              <w:end w:w="120" w:type="dxa"/>
            </w:tcMar>
            <w:vAlign w:val="center"/>
          </w:tcPr>
          <w:p>
            <w:pPr>
              <w:spacing w:after="0"/>
            </w:pPr>
            <w:r>
              <w:rPr>
                <w:sz w:val="18"/>
              </w:rPr>
            </w:r>
          </w:p>
        </w:tc>
      </w:tr>
      <w:tr>
        <w:trPr>
          <w:cantSplit/>
        </w:trPr>
        <w:tc>
          <w:tcPr>
            <w:tcW w:type="dxa" w:w="3000"/>
            <w:tcMar>
              <w:top w:w="90" w:type="dxa"/>
              <w:start w:w="120" w:type="dxa"/>
              <w:bottom w:w="90" w:type="dxa"/>
              <w:end w:w="120" w:type="dxa"/>
            </w:tcMar>
            <w:vAlign w:val="center"/>
          </w:tcPr>
          <w:p>
            <w:pPr>
              <w:spacing w:after="0"/>
            </w:pPr>
            <w:r>
              <w:rPr>
                <w:sz w:val="18"/>
              </w:rPr>
              <w:t>Certificaciones complementarias</w:t>
            </w:r>
          </w:p>
        </w:tc>
        <w:tc>
          <w:tcPr>
            <w:tcW w:type="dxa" w:w="6700"/>
            <w:tcMar>
              <w:top w:w="90" w:type="dxa"/>
              <w:start w:w="120" w:type="dxa"/>
              <w:bottom w:w="90" w:type="dxa"/>
              <w:end w:w="120" w:type="dxa"/>
            </w:tcMar>
            <w:vAlign w:val="center"/>
          </w:tcPr>
          <w:p>
            <w:pPr>
              <w:spacing w:after="0"/>
            </w:pPr>
            <w:r>
              <w:rPr>
                <w:sz w:val="18"/>
              </w:rPr>
            </w:r>
          </w:p>
        </w:tc>
      </w:tr>
    </w:tbl>
    <w:p>
      <w:pPr>
        <w:spacing w:after="0"/>
      </w:pPr>
    </w:p>
    <w:p>
      <w:pPr>
        <w:pStyle w:val="Heading1"/>
      </w:pPr>
      <w:r>
        <w:t>Anexo B. Resumen económico</w:t>
      </w:r>
    </w:p>
    <w:tbl>
      <w:tblPr>
        <w:tblStyle w:val="TableGrid"/>
        <w:tblW w:type="dxa" w:w="9700"/>
        <w:jc w:val="center"/>
        <w:tblLayout w:type="fixed"/>
        <w:tblLook w:firstColumn="1" w:firstRow="1" w:lastColumn="0" w:lastRow="0" w:noHBand="0" w:noVBand="1" w:val="04A0"/>
        <w:tblInd w:w="0" w:type="dxa"/>
      </w:tblPr>
      <w:tblGrid>
        <w:gridCol w:w="3000"/>
        <w:gridCol w:w="3300"/>
        <w:gridCol w:w="3400"/>
      </w:tblGrid>
      <w:tr>
        <w:trPr>
          <w:tblHeader w:val="true"/>
          <w:cantSplit/>
        </w:trPr>
        <w:tc>
          <w:tcPr>
            <w:tcW w:type="dxa" w:w="3000"/>
            <w:shd w:fill="3F3F3F"/>
            <w:tcMar>
              <w:top w:w="90" w:type="dxa"/>
              <w:start w:w="120" w:type="dxa"/>
              <w:bottom w:w="90" w:type="dxa"/>
              <w:end w:w="120" w:type="dxa"/>
            </w:tcMar>
            <w:vAlign w:val="center"/>
          </w:tcPr>
          <w:p>
            <w:r>
              <w:rPr>
                <w:b/>
                <w:color w:val="FFFFFF"/>
                <w:sz w:val="18"/>
              </w:rPr>
              <w:t>Concepto</w:t>
            </w:r>
          </w:p>
        </w:tc>
        <w:tc>
          <w:tcPr>
            <w:tcW w:type="dxa" w:w="3300"/>
            <w:shd w:fill="3F3F3F"/>
            <w:tcMar>
              <w:top w:w="90" w:type="dxa"/>
              <w:start w:w="120" w:type="dxa"/>
              <w:bottom w:w="90" w:type="dxa"/>
              <w:end w:w="120" w:type="dxa"/>
            </w:tcMar>
            <w:vAlign w:val="center"/>
          </w:tcPr>
          <w:p>
            <w:r>
              <w:rPr>
                <w:b/>
                <w:color w:val="FFFFFF"/>
                <w:sz w:val="18"/>
              </w:rPr>
              <w:t>Distribuidor certificado</w:t>
            </w:r>
          </w:p>
        </w:tc>
        <w:tc>
          <w:tcPr>
            <w:tcW w:type="dxa" w:w="3400"/>
            <w:shd w:fill="3F3F3F"/>
            <w:tcMar>
              <w:top w:w="90" w:type="dxa"/>
              <w:start w:w="120" w:type="dxa"/>
              <w:bottom w:w="90" w:type="dxa"/>
              <w:end w:w="120" w:type="dxa"/>
            </w:tcMar>
            <w:vAlign w:val="center"/>
          </w:tcPr>
          <w:p>
            <w:r>
              <w:rPr>
                <w:b/>
                <w:color w:val="FFFFFF"/>
                <w:sz w:val="18"/>
              </w:rPr>
              <w:t>Distribuidor-consultor</w:t>
            </w:r>
          </w:p>
        </w:tc>
      </w:tr>
      <w:tr>
        <w:trPr>
          <w:cantSplit/>
        </w:trPr>
        <w:tc>
          <w:tcPr>
            <w:tcW w:type="dxa" w:w="3000"/>
            <w:tcMar>
              <w:top w:w="90" w:type="dxa"/>
              <w:start w:w="120" w:type="dxa"/>
              <w:bottom w:w="90" w:type="dxa"/>
              <w:end w:w="120" w:type="dxa"/>
            </w:tcMar>
            <w:vAlign w:val="center"/>
          </w:tcPr>
          <w:p>
            <w:pPr>
              <w:spacing w:after="0"/>
            </w:pPr>
            <w:r>
              <w:rPr>
                <w:sz w:val="18"/>
              </w:rPr>
              <w:t>Primera factura</w:t>
            </w:r>
          </w:p>
        </w:tc>
        <w:tc>
          <w:tcPr>
            <w:tcW w:type="dxa" w:w="3300"/>
            <w:tcMar>
              <w:top w:w="90" w:type="dxa"/>
              <w:start w:w="120" w:type="dxa"/>
              <w:bottom w:w="90" w:type="dxa"/>
              <w:end w:w="120" w:type="dxa"/>
            </w:tcMar>
            <w:vAlign w:val="center"/>
          </w:tcPr>
          <w:p>
            <w:pPr>
              <w:spacing w:after="0"/>
            </w:pPr>
            <w:r>
              <w:rPr>
                <w:sz w:val="18"/>
              </w:rPr>
              <w:t>100% menos impuestos</w:t>
            </w:r>
          </w:p>
        </w:tc>
        <w:tc>
          <w:tcPr>
            <w:tcW w:type="dxa" w:w="3400"/>
            <w:tcMar>
              <w:top w:w="90" w:type="dxa"/>
              <w:start w:w="120" w:type="dxa"/>
              <w:bottom w:w="90" w:type="dxa"/>
              <w:end w:w="120" w:type="dxa"/>
            </w:tcMar>
            <w:vAlign w:val="center"/>
          </w:tcPr>
          <w:p>
            <w:pPr>
              <w:spacing w:after="0"/>
            </w:pPr>
            <w:r>
              <w:rPr>
                <w:sz w:val="18"/>
              </w:rPr>
              <w:t>100% menos impuestos</w:t>
            </w:r>
          </w:p>
        </w:tc>
      </w:tr>
      <w:tr>
        <w:trPr>
          <w:cantSplit/>
        </w:trPr>
        <w:tc>
          <w:tcPr>
            <w:tcW w:type="dxa" w:w="3000"/>
            <w:shd w:fill="F4F4F4"/>
            <w:tcMar>
              <w:top w:w="90" w:type="dxa"/>
              <w:start w:w="120" w:type="dxa"/>
              <w:bottom w:w="90" w:type="dxa"/>
              <w:end w:w="120" w:type="dxa"/>
            </w:tcMar>
            <w:vAlign w:val="center"/>
          </w:tcPr>
          <w:p>
            <w:pPr>
              <w:spacing w:after="0"/>
            </w:pPr>
            <w:r>
              <w:rPr>
                <w:sz w:val="18"/>
              </w:rPr>
              <w:t>Recurrente</w:t>
            </w:r>
          </w:p>
        </w:tc>
        <w:tc>
          <w:tcPr>
            <w:tcW w:type="dxa" w:w="3300"/>
            <w:shd w:fill="F4F4F4"/>
            <w:tcMar>
              <w:top w:w="90" w:type="dxa"/>
              <w:start w:w="120" w:type="dxa"/>
              <w:bottom w:w="90" w:type="dxa"/>
              <w:end w:w="120" w:type="dxa"/>
            </w:tcMar>
            <w:vAlign w:val="center"/>
          </w:tcPr>
          <w:p>
            <w:pPr>
              <w:spacing w:after="0"/>
            </w:pPr>
            <w:r>
              <w:rPr>
                <w:sz w:val="18"/>
              </w:rPr>
              <w:t>No aplica</w:t>
            </w:r>
          </w:p>
        </w:tc>
        <w:tc>
          <w:tcPr>
            <w:tcW w:type="dxa" w:w="3400"/>
            <w:shd w:fill="F4F4F4"/>
            <w:tcMar>
              <w:top w:w="90" w:type="dxa"/>
              <w:start w:w="120" w:type="dxa"/>
              <w:bottom w:w="90" w:type="dxa"/>
              <w:end w:w="120" w:type="dxa"/>
            </w:tcMar>
            <w:vAlign w:val="center"/>
          </w:tcPr>
          <w:p>
            <w:pPr>
              <w:spacing w:after="0"/>
            </w:pPr>
            <w:r>
              <w:rPr>
                <w:sz w:val="18"/>
              </w:rPr>
              <w:t>30% mensual</w:t>
            </w:r>
          </w:p>
        </w:tc>
      </w:tr>
      <w:tr>
        <w:trPr>
          <w:cantSplit/>
        </w:trPr>
        <w:tc>
          <w:tcPr>
            <w:tcW w:type="dxa" w:w="3000"/>
            <w:tcMar>
              <w:top w:w="90" w:type="dxa"/>
              <w:start w:w="120" w:type="dxa"/>
              <w:bottom w:w="90" w:type="dxa"/>
              <w:end w:w="120" w:type="dxa"/>
            </w:tcMar>
            <w:vAlign w:val="center"/>
          </w:tcPr>
          <w:p>
            <w:pPr>
              <w:spacing w:after="0"/>
            </w:pPr>
            <w:r>
              <w:rPr>
                <w:sz w:val="18"/>
              </w:rPr>
              <w:t>Cuenta asignada por Índice</w:t>
            </w:r>
          </w:p>
        </w:tc>
        <w:tc>
          <w:tcPr>
            <w:tcW w:type="dxa" w:w="3300"/>
            <w:tcMar>
              <w:top w:w="90" w:type="dxa"/>
              <w:start w:w="120" w:type="dxa"/>
              <w:bottom w:w="90" w:type="dxa"/>
              <w:end w:w="120" w:type="dxa"/>
            </w:tcMar>
            <w:vAlign w:val="center"/>
          </w:tcPr>
          <w:p>
            <w:pPr>
              <w:spacing w:after="0"/>
            </w:pPr>
            <w:r>
              <w:rPr>
                <w:sz w:val="18"/>
              </w:rPr>
              <w:t>No aplica</w:t>
            </w:r>
          </w:p>
        </w:tc>
        <w:tc>
          <w:tcPr>
            <w:tcW w:type="dxa" w:w="3400"/>
            <w:tcMar>
              <w:top w:w="90" w:type="dxa"/>
              <w:start w:w="120" w:type="dxa"/>
              <w:bottom w:w="90" w:type="dxa"/>
              <w:end w:w="120" w:type="dxa"/>
            </w:tcMar>
            <w:vAlign w:val="center"/>
          </w:tcPr>
          <w:p>
            <w:pPr>
              <w:spacing w:after="0"/>
            </w:pPr>
            <w:r>
              <w:rPr>
                <w:sz w:val="18"/>
              </w:rPr>
              <w:t>30% mensual; sin primera factura</w:t>
            </w:r>
          </w:p>
        </w:tc>
      </w:tr>
      <w:tr>
        <w:trPr>
          <w:cantSplit/>
        </w:trPr>
        <w:tc>
          <w:tcPr>
            <w:tcW w:type="dxa" w:w="3000"/>
            <w:shd w:fill="F4F4F4"/>
            <w:tcMar>
              <w:top w:w="90" w:type="dxa"/>
              <w:start w:w="120" w:type="dxa"/>
              <w:bottom w:w="90" w:type="dxa"/>
              <w:end w:w="120" w:type="dxa"/>
            </w:tcMar>
            <w:vAlign w:val="center"/>
          </w:tcPr>
          <w:p>
            <w:pPr>
              <w:spacing w:after="0"/>
            </w:pPr>
            <w:r>
              <w:rPr>
                <w:sz w:val="18"/>
              </w:rPr>
              <w:t>Sesión adicional</w:t>
            </w:r>
          </w:p>
        </w:tc>
        <w:tc>
          <w:tcPr>
            <w:tcW w:type="dxa" w:w="3300"/>
            <w:shd w:fill="F4F4F4"/>
            <w:tcMar>
              <w:top w:w="90" w:type="dxa"/>
              <w:start w:w="120" w:type="dxa"/>
              <w:bottom w:w="90" w:type="dxa"/>
              <w:end w:w="120" w:type="dxa"/>
            </w:tcMar>
            <w:vAlign w:val="center"/>
          </w:tcPr>
          <w:p>
            <w:pPr>
              <w:spacing w:after="0"/>
            </w:pPr>
            <w:r>
              <w:rPr>
                <w:sz w:val="18"/>
              </w:rPr>
              <w:t>No aplica</w:t>
            </w:r>
          </w:p>
        </w:tc>
        <w:tc>
          <w:tcPr>
            <w:tcW w:type="dxa" w:w="3400"/>
            <w:shd w:fill="F4F4F4"/>
            <w:tcMar>
              <w:top w:w="90" w:type="dxa"/>
              <w:start w:w="120" w:type="dxa"/>
              <w:bottom w:w="90" w:type="dxa"/>
              <w:end w:w="120" w:type="dxa"/>
            </w:tcMar>
            <w:vAlign w:val="center"/>
          </w:tcPr>
          <w:p>
            <w:pPr>
              <w:spacing w:after="0"/>
            </w:pPr>
            <w:r>
              <w:rPr>
                <w:sz w:val="18"/>
              </w:rPr>
              <w:t>USD 50; Índice USD 29</w:t>
            </w:r>
          </w:p>
        </w:tc>
      </w:tr>
      <w:tr>
        <w:trPr>
          <w:cantSplit/>
        </w:trPr>
        <w:tc>
          <w:tcPr>
            <w:tcW w:type="dxa" w:w="3000"/>
            <w:tcMar>
              <w:top w:w="90" w:type="dxa"/>
              <w:start w:w="120" w:type="dxa"/>
              <w:bottom w:w="90" w:type="dxa"/>
              <w:end w:w="120" w:type="dxa"/>
            </w:tcMar>
            <w:vAlign w:val="center"/>
          </w:tcPr>
          <w:p>
            <w:pPr>
              <w:spacing w:after="0"/>
            </w:pPr>
            <w:r>
              <w:rPr>
                <w:sz w:val="18"/>
              </w:rPr>
              <w:t>Certificación pendiente</w:t>
            </w:r>
          </w:p>
        </w:tc>
        <w:tc>
          <w:tcPr>
            <w:tcW w:type="dxa" w:w="3300"/>
            <w:tcMar>
              <w:top w:w="90" w:type="dxa"/>
              <w:start w:w="120" w:type="dxa"/>
              <w:bottom w:w="90" w:type="dxa"/>
              <w:end w:w="120" w:type="dxa"/>
            </w:tcMar>
            <w:vAlign w:val="center"/>
          </w:tcPr>
          <w:p>
            <w:pPr>
              <w:spacing w:after="0"/>
            </w:pPr>
            <w:r>
              <w:rPr>
                <w:sz w:val="18"/>
              </w:rPr>
              <w:t>USD 99/mes por certificación</w:t>
            </w:r>
          </w:p>
        </w:tc>
        <w:tc>
          <w:tcPr>
            <w:tcW w:type="dxa" w:w="3400"/>
            <w:tcMar>
              <w:top w:w="90" w:type="dxa"/>
              <w:start w:w="120" w:type="dxa"/>
              <w:bottom w:w="90" w:type="dxa"/>
              <w:end w:w="120" w:type="dxa"/>
            </w:tcMar>
            <w:vAlign w:val="center"/>
          </w:tcPr>
          <w:p>
            <w:pPr>
              <w:spacing w:after="0"/>
            </w:pPr>
            <w:r>
              <w:rPr>
                <w:sz w:val="18"/>
              </w:rPr>
              <w:t>USD 99/mes por certificación</w:t>
            </w:r>
          </w:p>
        </w:tc>
      </w:tr>
    </w:tbl>
    <w:p>
      <w:pPr>
        <w:spacing w:after="0"/>
      </w:pPr>
    </w:p>
    <w:p>
      <w:r>
        <w:br w:type="page"/>
      </w:r>
    </w:p>
    <w:p>
      <w:pPr>
        <w:pStyle w:val="Heading1"/>
      </w:pPr>
      <w:r>
        <w:t>Anexo C. Firmas</w:t>
      </w:r>
    </w:p>
    <w:p>
      <w:r>
        <w:t>Las Partes declaran haber leído y comprendido este Acuerdo y sus anexos.</w:t>
      </w:r>
    </w:p>
    <w:tbl>
      <w:tblPr>
        <w:tblStyle w:val="TableGrid"/>
        <w:tblW w:type="dxa" w:w="9700"/>
        <w:jc w:val="center"/>
        <w:tblLayout w:type="fixed"/>
        <w:tblLook w:firstColumn="1" w:firstRow="1" w:lastColumn="0" w:lastRow="0" w:noHBand="0" w:noVBand="1" w:val="04A0"/>
        <w:tblInd w:w="0" w:type="dxa"/>
      </w:tblPr>
      <w:tblGrid>
        <w:gridCol w:w="4850"/>
        <w:gridCol w:w="4850"/>
      </w:tblGrid>
      <w:tr>
        <w:trPr>
          <w:tblHeader w:val="true"/>
          <w:cantSplit/>
        </w:trPr>
        <w:tc>
          <w:tcPr>
            <w:tcW w:type="dxa" w:w="4850"/>
            <w:shd w:fill="3F3F3F"/>
            <w:tcMar>
              <w:top w:w="90" w:type="dxa"/>
              <w:start w:w="120" w:type="dxa"/>
              <w:bottom w:w="90" w:type="dxa"/>
              <w:end w:w="120" w:type="dxa"/>
            </w:tcMar>
            <w:vAlign w:val="center"/>
          </w:tcPr>
          <w:p>
            <w:r>
              <w:rPr>
                <w:b/>
                <w:color w:val="FFFFFF"/>
                <w:sz w:val="18"/>
              </w:rPr>
              <w:t>Por INDICE TECHNOLOGIES INC.</w:t>
            </w:r>
          </w:p>
        </w:tc>
        <w:tc>
          <w:tcPr>
            <w:tcW w:type="dxa" w:w="4850"/>
            <w:shd w:fill="3F3F3F"/>
            <w:tcMar>
              <w:top w:w="90" w:type="dxa"/>
              <w:start w:w="120" w:type="dxa"/>
              <w:bottom w:w="90" w:type="dxa"/>
              <w:end w:w="120" w:type="dxa"/>
            </w:tcMar>
            <w:vAlign w:val="center"/>
          </w:tcPr>
          <w:p>
            <w:r>
              <w:rPr>
                <w:b/>
                <w:color w:val="FFFFFF"/>
                <w:sz w:val="18"/>
              </w:rPr>
              <w:t>Por el Distribuidor</w:t>
            </w:r>
          </w:p>
        </w:tc>
      </w:tr>
      <w:tr>
        <w:trPr>
          <w:cantSplit/>
        </w:trPr>
        <w:tc>
          <w:tcPr>
            <w:tcW w:type="dxa" w:w="4850"/>
            <w:tcMar>
              <w:top w:w="90" w:type="dxa"/>
              <w:start w:w="120" w:type="dxa"/>
              <w:bottom w:w="90" w:type="dxa"/>
              <w:end w:w="120" w:type="dxa"/>
            </w:tcMar>
            <w:vAlign w:val="center"/>
          </w:tcPr>
          <w:p>
            <w:pPr>
              <w:spacing w:after="0"/>
            </w:pPr>
            <w:r>
              <w:rPr>
                <w:sz w:val="18"/>
              </w:rPr>
              <w:t>Nombre: ______________________________</w:t>
            </w:r>
          </w:p>
        </w:tc>
        <w:tc>
          <w:tcPr>
            <w:tcW w:type="dxa" w:w="4850"/>
            <w:tcMar>
              <w:top w:w="90" w:type="dxa"/>
              <w:start w:w="120" w:type="dxa"/>
              <w:bottom w:w="90" w:type="dxa"/>
              <w:end w:w="120" w:type="dxa"/>
            </w:tcMar>
            <w:vAlign w:val="center"/>
          </w:tcPr>
          <w:p>
            <w:pPr>
              <w:spacing w:after="0"/>
            </w:pPr>
            <w:r>
              <w:rPr>
                <w:sz w:val="18"/>
              </w:rPr>
              <w:t>Nombre: ______________________________</w:t>
            </w:r>
          </w:p>
        </w:tc>
      </w:tr>
      <w:tr>
        <w:trPr>
          <w:cantSplit/>
        </w:trPr>
        <w:tc>
          <w:tcPr>
            <w:tcW w:type="dxa" w:w="4850"/>
            <w:shd w:fill="F4F4F4"/>
            <w:tcMar>
              <w:top w:w="90" w:type="dxa"/>
              <w:start w:w="120" w:type="dxa"/>
              <w:bottom w:w="90" w:type="dxa"/>
              <w:end w:w="120" w:type="dxa"/>
            </w:tcMar>
            <w:vAlign w:val="center"/>
          </w:tcPr>
          <w:p>
            <w:pPr>
              <w:spacing w:after="0"/>
            </w:pPr>
            <w:r>
              <w:rPr>
                <w:sz w:val="18"/>
              </w:rPr>
              <w:t>Cargo: _______________________________</w:t>
            </w:r>
          </w:p>
        </w:tc>
        <w:tc>
          <w:tcPr>
            <w:tcW w:type="dxa" w:w="4850"/>
            <w:shd w:fill="F4F4F4"/>
            <w:tcMar>
              <w:top w:w="90" w:type="dxa"/>
              <w:start w:w="120" w:type="dxa"/>
              <w:bottom w:w="90" w:type="dxa"/>
              <w:end w:w="120" w:type="dxa"/>
            </w:tcMar>
            <w:vAlign w:val="center"/>
          </w:tcPr>
          <w:p>
            <w:pPr>
              <w:spacing w:after="0"/>
            </w:pPr>
            <w:r>
              <w:rPr>
                <w:sz w:val="18"/>
              </w:rPr>
              <w:t>Cargo: _______________________________</w:t>
            </w:r>
          </w:p>
        </w:tc>
      </w:tr>
      <w:tr>
        <w:trPr>
          <w:cantSplit/>
        </w:trPr>
        <w:tc>
          <w:tcPr>
            <w:tcW w:type="dxa" w:w="4850"/>
            <w:tcMar>
              <w:top w:w="90" w:type="dxa"/>
              <w:start w:w="120" w:type="dxa"/>
              <w:bottom w:w="90" w:type="dxa"/>
              <w:end w:w="120" w:type="dxa"/>
            </w:tcMar>
            <w:vAlign w:val="center"/>
          </w:tcPr>
          <w:p>
            <w:pPr>
              <w:spacing w:after="0"/>
            </w:pPr>
            <w:r>
              <w:rPr>
                <w:sz w:val="18"/>
              </w:rPr>
              <w:t>Firma: _______________________________</w:t>
            </w:r>
          </w:p>
        </w:tc>
        <w:tc>
          <w:tcPr>
            <w:tcW w:type="dxa" w:w="4850"/>
            <w:tcMar>
              <w:top w:w="90" w:type="dxa"/>
              <w:start w:w="120" w:type="dxa"/>
              <w:bottom w:w="90" w:type="dxa"/>
              <w:end w:w="120" w:type="dxa"/>
            </w:tcMar>
            <w:vAlign w:val="center"/>
          </w:tcPr>
          <w:p>
            <w:pPr>
              <w:spacing w:after="0"/>
            </w:pPr>
            <w:r>
              <w:rPr>
                <w:sz w:val="18"/>
              </w:rPr>
              <w:t>Firma: _______________________________</w:t>
            </w:r>
          </w:p>
        </w:tc>
      </w:tr>
      <w:tr>
        <w:trPr>
          <w:cantSplit/>
        </w:trPr>
        <w:tc>
          <w:tcPr>
            <w:tcW w:type="dxa" w:w="4850"/>
            <w:shd w:fill="F4F4F4"/>
            <w:tcMar>
              <w:top w:w="90" w:type="dxa"/>
              <w:start w:w="120" w:type="dxa"/>
              <w:bottom w:w="90" w:type="dxa"/>
              <w:end w:w="120" w:type="dxa"/>
            </w:tcMar>
            <w:vAlign w:val="center"/>
          </w:tcPr>
          <w:p>
            <w:pPr>
              <w:spacing w:after="0"/>
            </w:pPr>
            <w:r>
              <w:rPr>
                <w:sz w:val="18"/>
              </w:rPr>
              <w:t>Fecha: _______________________________</w:t>
            </w:r>
          </w:p>
        </w:tc>
        <w:tc>
          <w:tcPr>
            <w:tcW w:type="dxa" w:w="4850"/>
            <w:shd w:fill="F4F4F4"/>
            <w:tcMar>
              <w:top w:w="90" w:type="dxa"/>
              <w:start w:w="120" w:type="dxa"/>
              <w:bottom w:w="90" w:type="dxa"/>
              <w:end w:w="120" w:type="dxa"/>
            </w:tcMar>
            <w:vAlign w:val="center"/>
          </w:tcPr>
          <w:p>
            <w:pPr>
              <w:spacing w:after="0"/>
            </w:pPr>
            <w:r>
              <w:rPr>
                <w:sz w:val="18"/>
              </w:rPr>
              <w:t>Fecha: _______________________________</w:t>
            </w:r>
          </w:p>
        </w:tc>
      </w:tr>
    </w:tbl>
    <w:p>
      <w:pPr>
        <w:spacing w:after="0"/>
      </w:pPr>
    </w:p>
    <w:p>
      <w:pPr>
        <w:pStyle w:val="Heading1"/>
      </w:pPr>
      <w:r>
        <w:t>Notas obligatorias para revisión jurídica</w:t>
      </w:r>
    </w:p>
    <w:p>
      <w:pPr>
        <w:pStyle w:val="ListBullet"/>
        <w:spacing w:after="60"/>
        <w:ind w:left="360" w:hanging="216"/>
      </w:pPr>
      <w:r>
        <w:t>Validar clasificación como contratista independiente según la operación real, no solo la etiqueta contractual.</w:t>
      </w:r>
    </w:p>
    <w:p>
      <w:pPr>
        <w:pStyle w:val="ListBullet"/>
        <w:spacing w:after="60"/>
        <w:ind w:left="360" w:hanging="216"/>
      </w:pPr>
      <w:r>
        <w:t>Definir un límite monetario de responsabilidad y cobertura de seguros apropiada.</w:t>
      </w:r>
    </w:p>
    <w:p>
      <w:pPr>
        <w:pStyle w:val="ListBullet"/>
        <w:spacing w:after="60"/>
        <w:ind w:left="360" w:hanging="216"/>
      </w:pPr>
      <w:r>
        <w:t>Revisar impuestos, retenciones, privacidad, publicidad y protección al consumidor en cada país de operación.</w:t>
      </w:r>
    </w:p>
    <w:p>
      <w:pPr>
        <w:pStyle w:val="ListBullet"/>
        <w:spacing w:after="60"/>
        <w:ind w:left="360" w:hanging="216"/>
      </w:pPr>
      <w:r>
        <w:t>Confirmar si se desea mediación o arbitraje en lugar de tribunales de Toronto.</w:t>
      </w:r>
    </w:p>
    <w:p>
      <w:pPr>
        <w:pStyle w:val="ListBullet"/>
        <w:spacing w:after="60"/>
        <w:ind w:left="360" w:hanging="216"/>
      </w:pPr>
      <w:r>
        <w:t>Agregar correo legal de notificaciones y versión vigente del reglamento anual.</w:t>
      </w:r>
    </w:p>
    <w:sectPr w:rsidR="00FC693F" w:rsidRPr="0006063C" w:rsidSect="00034616">
      <w:headerReference w:type="default" r:id="rId9"/>
      <w:footerReference w:type="default" r:id="rId10"/>
      <w:pgSz w:w="11909" w:h="16834"/>
      <w:pgMar w:top="1037" w:right="1094" w:bottom="979"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77777"/>
        <w:sz w:val="16"/>
      </w:rPr>
      <w:t xml:space="preserve">INDICE TECHNOLOGIES INC.   •   </w:t>
    </w:r>
    <w:r>
      <w:rPr>
        <w:rFonts w:ascii="Arial" w:hAnsi="Arial"/>
        <w:color w:val="777777"/>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777777"/>
        <w:sz w:val="16"/>
      </w:rPr>
      <w:t>ÍNDICE  |  ACUERDO DE DISTRIBUCIÓN Y CONSULTORÍA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3F3F3F"/>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3F3F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22222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77777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de distribución y consultoría</dc:title>
  <dc:subject>Programa de distribuidores Índice</dc:subject>
  <dc:creator>INDICE TECHNOLOGIES INC.</dc:creator>
  <cp:keywords>Índice, distribuidores, consultoría, contrato</cp:keywords>
  <dc:description>generated by python-docx</dc:description>
  <cp:lastModifiedBy/>
  <cp:revision>1</cp:revision>
  <dcterms:created xsi:type="dcterms:W3CDTF">2013-12-23T23:15:00Z</dcterms:created>
  <dcterms:modified xsi:type="dcterms:W3CDTF">2013-12-23T23:15:00Z</dcterms:modified>
  <cp:category/>
</cp:coreProperties>
</file>